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94" w:rsidRPr="004254C8" w:rsidRDefault="00616694" w:rsidP="00616694">
      <w:pPr>
        <w:rPr>
          <w:rFonts w:cs="Arial"/>
          <w:b/>
          <w:sz w:val="22"/>
          <w:szCs w:val="22"/>
        </w:rPr>
      </w:pPr>
      <w:r w:rsidRPr="004254C8">
        <w:rPr>
          <w:rFonts w:cs="Arial"/>
          <w:b/>
          <w:sz w:val="22"/>
          <w:szCs w:val="22"/>
        </w:rPr>
        <w:t>Anleitung zu den von der FMA zur Verfügung gestellten und zu verwendenden Arbeitsp</w:t>
      </w:r>
      <w:r w:rsidRPr="004254C8">
        <w:rPr>
          <w:rFonts w:cs="Arial"/>
          <w:b/>
          <w:sz w:val="22"/>
          <w:szCs w:val="22"/>
        </w:rPr>
        <w:t>a</w:t>
      </w:r>
      <w:r w:rsidRPr="004254C8">
        <w:rPr>
          <w:rFonts w:cs="Arial"/>
          <w:b/>
          <w:sz w:val="22"/>
          <w:szCs w:val="22"/>
        </w:rPr>
        <w:t xml:space="preserve">pieren zur Durchführung von </w:t>
      </w:r>
      <w:r w:rsidR="004254C8">
        <w:rPr>
          <w:rFonts w:cs="Arial"/>
          <w:b/>
          <w:sz w:val="22"/>
          <w:szCs w:val="22"/>
        </w:rPr>
        <w:t>Vor-Ort-</w:t>
      </w:r>
      <w:r w:rsidRPr="004254C8">
        <w:rPr>
          <w:rFonts w:cs="Arial"/>
          <w:b/>
          <w:sz w:val="22"/>
          <w:szCs w:val="22"/>
        </w:rPr>
        <w:t>Kontrollen nach Art. 24 und 25 des Gesetzes über berufliche Sorgfaltspflichten zur Bekämpfung von Geldwäscherei, organisierter Kriminal</w:t>
      </w:r>
      <w:r w:rsidRPr="004254C8">
        <w:rPr>
          <w:rFonts w:cs="Arial"/>
          <w:b/>
          <w:sz w:val="22"/>
          <w:szCs w:val="22"/>
        </w:rPr>
        <w:t>i</w:t>
      </w:r>
      <w:r w:rsidRPr="004254C8">
        <w:rPr>
          <w:rFonts w:cs="Arial"/>
          <w:b/>
          <w:sz w:val="22"/>
          <w:szCs w:val="22"/>
        </w:rPr>
        <w:t>tät und Terrorismusfinanzierung (Sorgfaltspflichtgesetz; SPG)</w:t>
      </w:r>
    </w:p>
    <w:p w:rsidR="00616694" w:rsidRPr="004254C8" w:rsidRDefault="00616694" w:rsidP="00917C3E">
      <w:pPr>
        <w:pStyle w:val="Kommentartext"/>
        <w:spacing w:after="0" w:line="240" w:lineRule="atLeast"/>
        <w:jc w:val="center"/>
        <w:rPr>
          <w:rFonts w:ascii="Arial" w:hAnsi="Arial" w:cs="Arial"/>
          <w:sz w:val="22"/>
          <w:szCs w:val="22"/>
        </w:rPr>
      </w:pPr>
      <w:r w:rsidRPr="004254C8">
        <w:rPr>
          <w:rFonts w:ascii="Arial" w:hAnsi="Arial" w:cs="Arial"/>
          <w:sz w:val="22"/>
          <w:szCs w:val="22"/>
        </w:rPr>
        <w:t>_________________________________________________</w:t>
      </w:r>
      <w:r w:rsidR="00917C3E">
        <w:rPr>
          <w:rFonts w:ascii="Arial" w:hAnsi="Arial" w:cs="Arial"/>
          <w:sz w:val="22"/>
          <w:szCs w:val="22"/>
        </w:rPr>
        <w:t>____________________________</w:t>
      </w:r>
    </w:p>
    <w:p w:rsidR="00616694" w:rsidRPr="004254C8" w:rsidRDefault="00616694" w:rsidP="00917C3E">
      <w:pPr>
        <w:jc w:val="center"/>
        <w:rPr>
          <w:rFonts w:cs="Arial"/>
          <w:sz w:val="22"/>
          <w:szCs w:val="22"/>
        </w:rPr>
      </w:pPr>
    </w:p>
    <w:p w:rsidR="00616694" w:rsidRPr="004254C8" w:rsidRDefault="00616694" w:rsidP="00616694">
      <w:pPr>
        <w:rPr>
          <w:rFonts w:cs="Arial"/>
          <w:sz w:val="22"/>
          <w:szCs w:val="22"/>
        </w:rPr>
      </w:pPr>
    </w:p>
    <w:p w:rsidR="00616694" w:rsidRPr="004254C8" w:rsidRDefault="00616694" w:rsidP="00616694">
      <w:pPr>
        <w:pStyle w:val="Kommentarthema"/>
        <w:spacing w:after="0" w:line="240" w:lineRule="atLeast"/>
        <w:ind w:left="567" w:hanging="567"/>
        <w:rPr>
          <w:rFonts w:ascii="Arial" w:hAnsi="Arial" w:cs="Arial"/>
          <w:bCs w:val="0"/>
          <w:sz w:val="22"/>
          <w:szCs w:val="22"/>
        </w:rPr>
      </w:pPr>
      <w:r w:rsidRPr="004254C8">
        <w:rPr>
          <w:rFonts w:ascii="Arial" w:hAnsi="Arial" w:cs="Arial"/>
          <w:bCs w:val="0"/>
          <w:sz w:val="22"/>
          <w:szCs w:val="22"/>
        </w:rPr>
        <w:t xml:space="preserve">1. </w:t>
      </w:r>
      <w:r w:rsidRPr="004254C8">
        <w:rPr>
          <w:rFonts w:ascii="Arial" w:hAnsi="Arial" w:cs="Arial"/>
          <w:bCs w:val="0"/>
          <w:sz w:val="22"/>
          <w:szCs w:val="22"/>
        </w:rPr>
        <w:tab/>
        <w:t>Generelles</w:t>
      </w:r>
    </w:p>
    <w:p w:rsidR="00616694" w:rsidRPr="004254C8" w:rsidRDefault="00616694" w:rsidP="00616694">
      <w:pPr>
        <w:rPr>
          <w:rFonts w:cs="Arial"/>
          <w:sz w:val="22"/>
          <w:szCs w:val="22"/>
        </w:rPr>
      </w:pPr>
    </w:p>
    <w:p w:rsidR="00616694" w:rsidRPr="004254C8" w:rsidRDefault="000A50B1" w:rsidP="00616694">
      <w:pPr>
        <w:rPr>
          <w:rFonts w:cs="Arial"/>
          <w:sz w:val="22"/>
          <w:szCs w:val="22"/>
        </w:rPr>
      </w:pPr>
      <w:r>
        <w:rPr>
          <w:rFonts w:cs="Arial"/>
          <w:sz w:val="22"/>
          <w:szCs w:val="22"/>
        </w:rPr>
        <w:t>Die</w:t>
      </w:r>
      <w:r w:rsidR="00616694" w:rsidRPr="004254C8">
        <w:rPr>
          <w:rFonts w:cs="Arial"/>
          <w:sz w:val="22"/>
          <w:szCs w:val="22"/>
        </w:rPr>
        <w:t xml:space="preserve"> Finanzmarktaufsicht (FMA) Liechtenstein </w:t>
      </w:r>
      <w:r>
        <w:rPr>
          <w:rFonts w:cs="Arial"/>
          <w:sz w:val="22"/>
          <w:szCs w:val="22"/>
        </w:rPr>
        <w:t xml:space="preserve">stellt </w:t>
      </w:r>
      <w:r w:rsidR="00616694" w:rsidRPr="004254C8">
        <w:rPr>
          <w:rFonts w:cs="Arial"/>
          <w:sz w:val="22"/>
          <w:szCs w:val="22"/>
        </w:rPr>
        <w:t xml:space="preserve">den Prüfern zur Durchführung von </w:t>
      </w:r>
      <w:r w:rsidR="00917C3E">
        <w:rPr>
          <w:rFonts w:cs="Arial"/>
          <w:sz w:val="22"/>
          <w:szCs w:val="22"/>
        </w:rPr>
        <w:t>Vor-Ort-Kontrollen nach dem SPG</w:t>
      </w:r>
      <w:r w:rsidR="004254C8">
        <w:rPr>
          <w:rFonts w:cs="Arial"/>
          <w:sz w:val="22"/>
          <w:szCs w:val="22"/>
        </w:rPr>
        <w:t xml:space="preserve"> </w:t>
      </w:r>
      <w:r w:rsidR="00616694" w:rsidRPr="004254C8">
        <w:rPr>
          <w:rFonts w:cs="Arial"/>
          <w:sz w:val="22"/>
          <w:szCs w:val="22"/>
        </w:rPr>
        <w:t>Arbeit</w:t>
      </w:r>
      <w:r w:rsidR="00616694" w:rsidRPr="004254C8">
        <w:rPr>
          <w:rFonts w:cs="Arial"/>
          <w:sz w:val="22"/>
          <w:szCs w:val="22"/>
        </w:rPr>
        <w:t>s</w:t>
      </w:r>
      <w:r w:rsidR="00616694" w:rsidRPr="004254C8">
        <w:rPr>
          <w:rFonts w:cs="Arial"/>
          <w:sz w:val="22"/>
          <w:szCs w:val="22"/>
        </w:rPr>
        <w:t xml:space="preserve">papiere zur Verfügung. Diese Arbeitspapiere sind </w:t>
      </w:r>
      <w:r w:rsidR="00616694" w:rsidRPr="004254C8">
        <w:rPr>
          <w:rFonts w:cs="Arial"/>
          <w:b/>
          <w:sz w:val="22"/>
          <w:szCs w:val="22"/>
        </w:rPr>
        <w:t>zwingend</w:t>
      </w:r>
      <w:r w:rsidR="00616694" w:rsidRPr="004254C8">
        <w:rPr>
          <w:rFonts w:cs="Arial"/>
          <w:sz w:val="22"/>
          <w:szCs w:val="22"/>
        </w:rPr>
        <w:t xml:space="preserve"> von allen Prüfern zur Durchfüh</w:t>
      </w:r>
      <w:r w:rsidR="00D43869">
        <w:rPr>
          <w:rFonts w:cs="Arial"/>
          <w:sz w:val="22"/>
          <w:szCs w:val="22"/>
        </w:rPr>
        <w:t xml:space="preserve">rung von </w:t>
      </w:r>
      <w:r w:rsidR="00616694" w:rsidRPr="004254C8">
        <w:rPr>
          <w:rFonts w:cs="Arial"/>
          <w:sz w:val="22"/>
          <w:szCs w:val="22"/>
        </w:rPr>
        <w:t xml:space="preserve">ordentlichen wie </w:t>
      </w:r>
      <w:proofErr w:type="spellStart"/>
      <w:r w:rsidR="00616694" w:rsidRPr="004254C8">
        <w:rPr>
          <w:rFonts w:cs="Arial"/>
          <w:sz w:val="22"/>
          <w:szCs w:val="22"/>
        </w:rPr>
        <w:t>ausserordentlichen</w:t>
      </w:r>
      <w:proofErr w:type="spellEnd"/>
      <w:r w:rsidR="00616694" w:rsidRPr="004254C8">
        <w:rPr>
          <w:rFonts w:cs="Arial"/>
          <w:sz w:val="22"/>
          <w:szCs w:val="22"/>
        </w:rPr>
        <w:t xml:space="preserve"> Sorgfaltspflichtko</w:t>
      </w:r>
      <w:r w:rsidR="00616694" w:rsidRPr="004254C8">
        <w:rPr>
          <w:rFonts w:cs="Arial"/>
          <w:sz w:val="22"/>
          <w:szCs w:val="22"/>
        </w:rPr>
        <w:t>n</w:t>
      </w:r>
      <w:r w:rsidR="00616694" w:rsidRPr="004254C8">
        <w:rPr>
          <w:rFonts w:cs="Arial"/>
          <w:sz w:val="22"/>
          <w:szCs w:val="22"/>
        </w:rPr>
        <w:t xml:space="preserve">trollen und zur Auftragsdokumentation derselben zu verwenden. Auf die Ausführungen in der FMA-Richtlinie 2013/2 betreffend die Sorgfaltspflichtkontrollen durch beauftragte </w:t>
      </w:r>
      <w:r w:rsidR="00ED120F">
        <w:rPr>
          <w:rFonts w:cs="Arial"/>
          <w:sz w:val="22"/>
          <w:szCs w:val="22"/>
        </w:rPr>
        <w:t>Sorgfaltspflich</w:t>
      </w:r>
      <w:r w:rsidR="00ED120F">
        <w:rPr>
          <w:rFonts w:cs="Arial"/>
          <w:sz w:val="22"/>
          <w:szCs w:val="22"/>
        </w:rPr>
        <w:t>t</w:t>
      </w:r>
      <w:r w:rsidR="00616694" w:rsidRPr="004254C8">
        <w:rPr>
          <w:rFonts w:cs="Arial"/>
          <w:sz w:val="22"/>
          <w:szCs w:val="22"/>
        </w:rPr>
        <w:t>prüfer zur Au</w:t>
      </w:r>
      <w:r w:rsidR="00616694" w:rsidRPr="004254C8">
        <w:rPr>
          <w:rFonts w:cs="Arial"/>
          <w:sz w:val="22"/>
          <w:szCs w:val="22"/>
        </w:rPr>
        <w:t>f</w:t>
      </w:r>
      <w:r w:rsidR="00616694" w:rsidRPr="004254C8">
        <w:rPr>
          <w:rFonts w:cs="Arial"/>
          <w:sz w:val="22"/>
          <w:szCs w:val="22"/>
        </w:rPr>
        <w:t xml:space="preserve">tragsdurchführung und </w:t>
      </w:r>
      <w:r w:rsidR="00652BAC">
        <w:rPr>
          <w:rFonts w:cs="Arial"/>
          <w:sz w:val="22"/>
          <w:szCs w:val="22"/>
        </w:rPr>
        <w:t>-</w:t>
      </w:r>
      <w:r w:rsidR="00616694" w:rsidRPr="004254C8">
        <w:rPr>
          <w:rFonts w:cs="Arial"/>
          <w:sz w:val="22"/>
          <w:szCs w:val="22"/>
        </w:rPr>
        <w:t>dokumentation wird verwiesen.</w:t>
      </w:r>
    </w:p>
    <w:p w:rsidR="00616694" w:rsidRPr="004254C8" w:rsidRDefault="00616694" w:rsidP="00616694">
      <w:pPr>
        <w:rPr>
          <w:rFonts w:cs="Arial"/>
          <w:sz w:val="22"/>
          <w:szCs w:val="22"/>
        </w:rPr>
      </w:pPr>
    </w:p>
    <w:p w:rsidR="00616694" w:rsidRPr="004254C8" w:rsidRDefault="00616694" w:rsidP="00F1232C">
      <w:pPr>
        <w:pStyle w:val="Textkrper"/>
        <w:jc w:val="both"/>
        <w:rPr>
          <w:sz w:val="22"/>
          <w:szCs w:val="22"/>
        </w:rPr>
      </w:pPr>
      <w:r w:rsidRPr="004254C8">
        <w:rPr>
          <w:sz w:val="22"/>
          <w:szCs w:val="22"/>
        </w:rPr>
        <w:t>Die Arbeitspapiere bilden die aktuell geltende Fassung des SPG und der entsprechenden Ve</w:t>
      </w:r>
      <w:r w:rsidRPr="004254C8">
        <w:rPr>
          <w:sz w:val="22"/>
          <w:szCs w:val="22"/>
        </w:rPr>
        <w:t>r</w:t>
      </w:r>
      <w:r w:rsidRPr="004254C8">
        <w:rPr>
          <w:sz w:val="22"/>
          <w:szCs w:val="22"/>
        </w:rPr>
        <w:t xml:space="preserve">ordnung über berufliche Sorgfaltspflichten zur Bekämpfung von Geldwäscherei, organisierter Kriminalität und Terrorismusfinanzierung (Sorgfaltspflichtverordnung; SPV) ab. Von den Prüfern sind jedoch insbesondere jeweils die entsprechenden </w:t>
      </w:r>
      <w:proofErr w:type="spellStart"/>
      <w:r w:rsidRPr="004254C8">
        <w:rPr>
          <w:sz w:val="22"/>
          <w:szCs w:val="22"/>
        </w:rPr>
        <w:t>Inkraft</w:t>
      </w:r>
      <w:proofErr w:type="spellEnd"/>
      <w:r w:rsidRPr="004254C8">
        <w:rPr>
          <w:sz w:val="22"/>
          <w:szCs w:val="22"/>
        </w:rPr>
        <w:t xml:space="preserve">- und </w:t>
      </w:r>
      <w:proofErr w:type="spellStart"/>
      <w:r w:rsidRPr="004254C8">
        <w:rPr>
          <w:sz w:val="22"/>
          <w:szCs w:val="22"/>
        </w:rPr>
        <w:t>Ausserkrafttretensbestimmu</w:t>
      </w:r>
      <w:r w:rsidRPr="004254C8">
        <w:rPr>
          <w:sz w:val="22"/>
          <w:szCs w:val="22"/>
        </w:rPr>
        <w:t>n</w:t>
      </w:r>
      <w:r w:rsidRPr="004254C8">
        <w:rPr>
          <w:sz w:val="22"/>
          <w:szCs w:val="22"/>
        </w:rPr>
        <w:t>gen</w:t>
      </w:r>
      <w:proofErr w:type="spellEnd"/>
      <w:r w:rsidRPr="004254C8">
        <w:rPr>
          <w:sz w:val="22"/>
          <w:szCs w:val="22"/>
        </w:rPr>
        <w:t xml:space="preserve"> sowie allfällige Übergangsbestimmungen zu beachten.</w:t>
      </w:r>
    </w:p>
    <w:p w:rsidR="00616694" w:rsidRPr="004254C8" w:rsidRDefault="00616694" w:rsidP="00616694">
      <w:pPr>
        <w:rPr>
          <w:rFonts w:cs="Arial"/>
          <w:sz w:val="22"/>
          <w:szCs w:val="22"/>
        </w:rPr>
      </w:pPr>
    </w:p>
    <w:p w:rsidR="00616694" w:rsidRPr="004254C8" w:rsidRDefault="00616694" w:rsidP="00616694">
      <w:pPr>
        <w:rPr>
          <w:rFonts w:cs="Arial"/>
          <w:sz w:val="22"/>
          <w:szCs w:val="22"/>
        </w:rPr>
      </w:pPr>
      <w:r w:rsidRPr="004254C8">
        <w:rPr>
          <w:rFonts w:cs="Arial"/>
          <w:sz w:val="22"/>
          <w:szCs w:val="22"/>
        </w:rPr>
        <w:t>Es gibt die folgenden Arbeitspapiere:</w:t>
      </w:r>
    </w:p>
    <w:p w:rsidR="00616694" w:rsidRPr="004254C8" w:rsidRDefault="00616694" w:rsidP="00616694">
      <w:pPr>
        <w:rPr>
          <w:rFonts w:cs="Arial"/>
          <w:sz w:val="22"/>
          <w:szCs w:val="22"/>
        </w:rPr>
      </w:pPr>
    </w:p>
    <w:p w:rsidR="00616694" w:rsidRPr="004254C8" w:rsidRDefault="00616694" w:rsidP="00616694">
      <w:pPr>
        <w:pStyle w:val="Listenabsatz"/>
        <w:numPr>
          <w:ilvl w:val="0"/>
          <w:numId w:val="25"/>
        </w:numPr>
        <w:spacing w:after="0" w:line="240" w:lineRule="atLeast"/>
        <w:rPr>
          <w:rFonts w:ascii="Arial" w:hAnsi="Arial" w:cs="Arial"/>
          <w:sz w:val="22"/>
          <w:szCs w:val="22"/>
        </w:rPr>
      </w:pPr>
      <w:r w:rsidRPr="004254C8">
        <w:rPr>
          <w:rFonts w:ascii="Arial" w:hAnsi="Arial" w:cs="Arial"/>
          <w:sz w:val="22"/>
          <w:szCs w:val="22"/>
        </w:rPr>
        <w:t>Checkliste Vorbereitung und Nachbearbeitung</w:t>
      </w:r>
    </w:p>
    <w:p w:rsidR="00616694" w:rsidRPr="004254C8" w:rsidRDefault="000A50B1" w:rsidP="00616694">
      <w:pPr>
        <w:pStyle w:val="Listenabsatz"/>
        <w:numPr>
          <w:ilvl w:val="0"/>
          <w:numId w:val="25"/>
        </w:numPr>
        <w:spacing w:after="0" w:line="240" w:lineRule="atLeast"/>
        <w:rPr>
          <w:rFonts w:ascii="Arial" w:hAnsi="Arial" w:cs="Arial"/>
          <w:sz w:val="22"/>
          <w:szCs w:val="22"/>
        </w:rPr>
      </w:pPr>
      <w:r>
        <w:rPr>
          <w:rFonts w:ascii="Arial" w:hAnsi="Arial" w:cs="Arial"/>
          <w:sz w:val="22"/>
          <w:szCs w:val="22"/>
        </w:rPr>
        <w:t>Firm Review</w:t>
      </w:r>
      <w:r w:rsidR="003E2268">
        <w:rPr>
          <w:rFonts w:ascii="Arial" w:hAnsi="Arial" w:cs="Arial"/>
          <w:sz w:val="22"/>
          <w:szCs w:val="22"/>
        </w:rPr>
        <w:t xml:space="preserve"> (Prüfung Organisation)</w:t>
      </w:r>
    </w:p>
    <w:p w:rsidR="00616694" w:rsidRPr="004254C8" w:rsidRDefault="000A50B1" w:rsidP="00616694">
      <w:pPr>
        <w:pStyle w:val="Listenabsatz"/>
        <w:numPr>
          <w:ilvl w:val="0"/>
          <w:numId w:val="25"/>
        </w:numPr>
        <w:spacing w:after="0" w:line="240" w:lineRule="atLeast"/>
        <w:rPr>
          <w:rFonts w:ascii="Arial" w:hAnsi="Arial" w:cs="Arial"/>
          <w:sz w:val="22"/>
          <w:szCs w:val="22"/>
        </w:rPr>
      </w:pPr>
      <w:r>
        <w:rPr>
          <w:rFonts w:ascii="Arial" w:hAnsi="Arial" w:cs="Arial"/>
          <w:sz w:val="22"/>
          <w:szCs w:val="22"/>
        </w:rPr>
        <w:t>File Review</w:t>
      </w:r>
      <w:r w:rsidR="003E2268">
        <w:rPr>
          <w:rFonts w:ascii="Arial" w:hAnsi="Arial" w:cs="Arial"/>
          <w:sz w:val="22"/>
          <w:szCs w:val="22"/>
        </w:rPr>
        <w:t xml:space="preserve"> (Prüfung Geschäftsbeziehung)</w:t>
      </w:r>
    </w:p>
    <w:p w:rsidR="00222F48" w:rsidRDefault="00222F48" w:rsidP="00F1232C">
      <w:pPr>
        <w:pStyle w:val="Textkrper"/>
        <w:jc w:val="both"/>
        <w:rPr>
          <w:sz w:val="22"/>
          <w:szCs w:val="22"/>
        </w:rPr>
      </w:pPr>
    </w:p>
    <w:p w:rsidR="00616694" w:rsidRPr="004254C8" w:rsidRDefault="00616694" w:rsidP="00F1232C">
      <w:pPr>
        <w:pStyle w:val="Textkrper"/>
        <w:jc w:val="both"/>
        <w:rPr>
          <w:sz w:val="22"/>
          <w:szCs w:val="22"/>
        </w:rPr>
      </w:pPr>
      <w:r w:rsidRPr="004254C8">
        <w:rPr>
          <w:sz w:val="22"/>
          <w:szCs w:val="22"/>
        </w:rPr>
        <w:t xml:space="preserve">Sämtliche Arbeitspapiere sind im Word-Format erstellt. </w:t>
      </w:r>
      <w:r w:rsidR="000A50B1">
        <w:rPr>
          <w:sz w:val="22"/>
          <w:szCs w:val="22"/>
        </w:rPr>
        <w:t>In Absprache mit der FMA kann beim A</w:t>
      </w:r>
      <w:r w:rsidR="000A50B1">
        <w:rPr>
          <w:sz w:val="22"/>
          <w:szCs w:val="22"/>
        </w:rPr>
        <w:t>r</w:t>
      </w:r>
      <w:r w:rsidR="000A50B1">
        <w:rPr>
          <w:sz w:val="22"/>
          <w:szCs w:val="22"/>
        </w:rPr>
        <w:t xml:space="preserve">beitspapier File Review vom Format abgewichen werden. </w:t>
      </w:r>
      <w:r w:rsidRPr="004254C8">
        <w:rPr>
          <w:sz w:val="22"/>
          <w:szCs w:val="22"/>
        </w:rPr>
        <w:t>Je nach Arbeitsweise des Prüfers kö</w:t>
      </w:r>
      <w:r w:rsidRPr="004254C8">
        <w:rPr>
          <w:sz w:val="22"/>
          <w:szCs w:val="22"/>
        </w:rPr>
        <w:t>n</w:t>
      </w:r>
      <w:r w:rsidRPr="004254C8">
        <w:rPr>
          <w:sz w:val="22"/>
          <w:szCs w:val="22"/>
        </w:rPr>
        <w:t xml:space="preserve">nen diese entweder manuell oder elektronisch </w:t>
      </w:r>
      <w:proofErr w:type="spellStart"/>
      <w:r w:rsidRPr="004254C8">
        <w:rPr>
          <w:sz w:val="22"/>
          <w:szCs w:val="22"/>
        </w:rPr>
        <w:t>befüllt</w:t>
      </w:r>
      <w:proofErr w:type="spellEnd"/>
      <w:r w:rsidRPr="004254C8">
        <w:rPr>
          <w:sz w:val="22"/>
          <w:szCs w:val="22"/>
        </w:rPr>
        <w:t xml:space="preserve"> werden. </w:t>
      </w:r>
    </w:p>
    <w:p w:rsidR="00616694" w:rsidRPr="004254C8" w:rsidRDefault="00616694" w:rsidP="00616694">
      <w:pPr>
        <w:pStyle w:val="Kommentartext"/>
        <w:spacing w:after="0" w:line="240" w:lineRule="atLeast"/>
        <w:rPr>
          <w:rFonts w:ascii="Arial" w:hAnsi="Arial" w:cs="Arial"/>
          <w:sz w:val="22"/>
          <w:szCs w:val="22"/>
        </w:rPr>
      </w:pPr>
    </w:p>
    <w:p w:rsidR="00616694" w:rsidRPr="004254C8" w:rsidRDefault="000A50B1" w:rsidP="00616694">
      <w:pPr>
        <w:rPr>
          <w:rFonts w:cs="Arial"/>
          <w:sz w:val="22"/>
          <w:szCs w:val="22"/>
        </w:rPr>
      </w:pPr>
      <w:r>
        <w:rPr>
          <w:rFonts w:cs="Arial"/>
          <w:sz w:val="22"/>
          <w:szCs w:val="22"/>
        </w:rPr>
        <w:t>Der File</w:t>
      </w:r>
      <w:r w:rsidR="00F629B7">
        <w:rPr>
          <w:rFonts w:cs="Arial"/>
          <w:sz w:val="22"/>
          <w:szCs w:val="22"/>
        </w:rPr>
        <w:t>- und Firm</w:t>
      </w:r>
      <w:r>
        <w:rPr>
          <w:rFonts w:cs="Arial"/>
          <w:sz w:val="22"/>
          <w:szCs w:val="22"/>
        </w:rPr>
        <w:t xml:space="preserve"> Review ist</w:t>
      </w:r>
      <w:r w:rsidR="00616694" w:rsidRPr="004254C8">
        <w:rPr>
          <w:rFonts w:cs="Arial"/>
          <w:sz w:val="22"/>
          <w:szCs w:val="22"/>
        </w:rPr>
        <w:t xml:space="preserve"> so aufgebaut, dass die Fragen jeweils mit </w:t>
      </w:r>
      <w:r w:rsidR="00CB5CB3">
        <w:rPr>
          <w:rFonts w:cs="Arial"/>
          <w:sz w:val="22"/>
          <w:szCs w:val="22"/>
        </w:rPr>
        <w:t>„</w:t>
      </w:r>
      <w:r w:rsidR="00616694" w:rsidRPr="004254C8">
        <w:rPr>
          <w:rFonts w:cs="Arial"/>
          <w:sz w:val="22"/>
          <w:szCs w:val="22"/>
        </w:rPr>
        <w:t>ja</w:t>
      </w:r>
      <w:r w:rsidR="00CB5CB3">
        <w:rPr>
          <w:rFonts w:cs="Arial"/>
          <w:sz w:val="22"/>
          <w:szCs w:val="22"/>
        </w:rPr>
        <w:t>“</w:t>
      </w:r>
      <w:r w:rsidR="00616694" w:rsidRPr="004254C8">
        <w:rPr>
          <w:rFonts w:cs="Arial"/>
          <w:sz w:val="22"/>
          <w:szCs w:val="22"/>
        </w:rPr>
        <w:t xml:space="preserve">, </w:t>
      </w:r>
      <w:r w:rsidR="00CB5CB3">
        <w:rPr>
          <w:rFonts w:cs="Arial"/>
          <w:sz w:val="22"/>
          <w:szCs w:val="22"/>
        </w:rPr>
        <w:t>„</w:t>
      </w:r>
      <w:r w:rsidR="00616694" w:rsidRPr="004254C8">
        <w:rPr>
          <w:rFonts w:cs="Arial"/>
          <w:sz w:val="22"/>
          <w:szCs w:val="22"/>
        </w:rPr>
        <w:t>nein</w:t>
      </w:r>
      <w:r w:rsidR="00CB5CB3">
        <w:rPr>
          <w:rFonts w:cs="Arial"/>
          <w:sz w:val="22"/>
          <w:szCs w:val="22"/>
        </w:rPr>
        <w:t>“</w:t>
      </w:r>
      <w:r w:rsidR="00616694" w:rsidRPr="004254C8">
        <w:rPr>
          <w:rFonts w:cs="Arial"/>
          <w:sz w:val="22"/>
          <w:szCs w:val="22"/>
        </w:rPr>
        <w:t xml:space="preserve"> oder </w:t>
      </w:r>
      <w:r w:rsidR="00CB5CB3">
        <w:rPr>
          <w:rFonts w:cs="Arial"/>
          <w:sz w:val="22"/>
          <w:szCs w:val="22"/>
        </w:rPr>
        <w:t>„</w:t>
      </w:r>
      <w:r w:rsidR="00616694" w:rsidRPr="004254C8">
        <w:rPr>
          <w:rFonts w:cs="Arial"/>
          <w:sz w:val="22"/>
          <w:szCs w:val="22"/>
        </w:rPr>
        <w:t>nicht anwendbar</w:t>
      </w:r>
      <w:r w:rsidR="00F1232C">
        <w:rPr>
          <w:rFonts w:cs="Arial"/>
          <w:sz w:val="22"/>
          <w:szCs w:val="22"/>
        </w:rPr>
        <w:t>“</w:t>
      </w:r>
      <w:r w:rsidR="00616694" w:rsidRPr="004254C8">
        <w:rPr>
          <w:rFonts w:cs="Arial"/>
          <w:sz w:val="22"/>
          <w:szCs w:val="22"/>
        </w:rPr>
        <w:t xml:space="preserve"> (n/a) zu beantworten sind. Zu jeder Frage gibt es auch eine </w:t>
      </w:r>
      <w:r w:rsidR="00616694" w:rsidRPr="004254C8">
        <w:rPr>
          <w:rFonts w:cs="Arial"/>
          <w:b/>
          <w:sz w:val="22"/>
          <w:szCs w:val="22"/>
        </w:rPr>
        <w:t>Spalte „</w:t>
      </w:r>
      <w:r>
        <w:rPr>
          <w:rFonts w:cs="Arial"/>
          <w:b/>
          <w:sz w:val="22"/>
          <w:szCs w:val="22"/>
        </w:rPr>
        <w:t>Komme</w:t>
      </w:r>
      <w:r>
        <w:rPr>
          <w:rFonts w:cs="Arial"/>
          <w:b/>
          <w:sz w:val="22"/>
          <w:szCs w:val="22"/>
        </w:rPr>
        <w:t>n</w:t>
      </w:r>
      <w:r>
        <w:rPr>
          <w:rFonts w:cs="Arial"/>
          <w:b/>
          <w:sz w:val="22"/>
          <w:szCs w:val="22"/>
        </w:rPr>
        <w:t>tar/Prüfungsfeststellung</w:t>
      </w:r>
      <w:r w:rsidR="00616694" w:rsidRPr="004254C8">
        <w:rPr>
          <w:rFonts w:cs="Arial"/>
          <w:b/>
          <w:sz w:val="22"/>
          <w:szCs w:val="22"/>
        </w:rPr>
        <w:t>“</w:t>
      </w:r>
      <w:r w:rsidR="00616694" w:rsidRPr="004254C8">
        <w:rPr>
          <w:rFonts w:cs="Arial"/>
          <w:sz w:val="22"/>
          <w:szCs w:val="22"/>
        </w:rPr>
        <w:t>. In dieser Spalte m</w:t>
      </w:r>
      <w:r>
        <w:rPr>
          <w:rFonts w:cs="Arial"/>
          <w:sz w:val="22"/>
          <w:szCs w:val="22"/>
        </w:rPr>
        <w:t>üssen Ausführungen zu</w:t>
      </w:r>
      <w:r w:rsidR="00616694" w:rsidRPr="004254C8">
        <w:rPr>
          <w:rFonts w:cs="Arial"/>
          <w:sz w:val="22"/>
          <w:szCs w:val="22"/>
        </w:rPr>
        <w:t xml:space="preserve"> Feststellung</w:t>
      </w:r>
      <w:r>
        <w:rPr>
          <w:rFonts w:cs="Arial"/>
          <w:sz w:val="22"/>
          <w:szCs w:val="22"/>
        </w:rPr>
        <w:t>en oder Em</w:t>
      </w:r>
      <w:r>
        <w:rPr>
          <w:rFonts w:cs="Arial"/>
          <w:sz w:val="22"/>
          <w:szCs w:val="22"/>
        </w:rPr>
        <w:t>p</w:t>
      </w:r>
      <w:r>
        <w:rPr>
          <w:rFonts w:cs="Arial"/>
          <w:sz w:val="22"/>
          <w:szCs w:val="22"/>
        </w:rPr>
        <w:t>fehlungen</w:t>
      </w:r>
      <w:r w:rsidR="00616694" w:rsidRPr="004254C8">
        <w:rPr>
          <w:rFonts w:cs="Arial"/>
          <w:b/>
          <w:sz w:val="22"/>
          <w:szCs w:val="22"/>
        </w:rPr>
        <w:t xml:space="preserve"> </w:t>
      </w:r>
      <w:r w:rsidR="00616694" w:rsidRPr="004254C8">
        <w:rPr>
          <w:rFonts w:cs="Arial"/>
          <w:sz w:val="22"/>
          <w:szCs w:val="22"/>
        </w:rPr>
        <w:t>erfolgen.</w:t>
      </w:r>
      <w:r>
        <w:rPr>
          <w:rFonts w:cs="Arial"/>
          <w:sz w:val="22"/>
          <w:szCs w:val="22"/>
        </w:rPr>
        <w:t xml:space="preserve"> Zudem ist in der Spalte „Verweis/Referenzen“ auf allfällige andere Dokume</w:t>
      </w:r>
      <w:r>
        <w:rPr>
          <w:rFonts w:cs="Arial"/>
          <w:sz w:val="22"/>
          <w:szCs w:val="22"/>
        </w:rPr>
        <w:t>n</w:t>
      </w:r>
      <w:r>
        <w:rPr>
          <w:rFonts w:cs="Arial"/>
          <w:sz w:val="22"/>
          <w:szCs w:val="22"/>
        </w:rPr>
        <w:t>te zu verweisen.</w:t>
      </w:r>
    </w:p>
    <w:p w:rsidR="00616694" w:rsidRPr="004254C8" w:rsidRDefault="00616694" w:rsidP="00616694">
      <w:pPr>
        <w:rPr>
          <w:rFonts w:cs="Arial"/>
          <w:sz w:val="22"/>
          <w:szCs w:val="22"/>
        </w:rPr>
      </w:pPr>
    </w:p>
    <w:p w:rsidR="00616694" w:rsidRPr="004254C8" w:rsidRDefault="00616694" w:rsidP="00616694">
      <w:pPr>
        <w:rPr>
          <w:rFonts w:cs="Arial"/>
          <w:sz w:val="22"/>
          <w:szCs w:val="22"/>
        </w:rPr>
      </w:pPr>
      <w:r w:rsidRPr="004254C8">
        <w:rPr>
          <w:rFonts w:cs="Arial"/>
          <w:sz w:val="22"/>
          <w:szCs w:val="22"/>
        </w:rPr>
        <w:t xml:space="preserve">Teilweise gibt es auch Fragen, bei welchen kein Ankreuzen von </w:t>
      </w:r>
      <w:r w:rsidR="00CB5CB3">
        <w:rPr>
          <w:rFonts w:cs="Arial"/>
          <w:sz w:val="22"/>
          <w:szCs w:val="22"/>
        </w:rPr>
        <w:t>„</w:t>
      </w:r>
      <w:r w:rsidRPr="004254C8">
        <w:rPr>
          <w:rFonts w:cs="Arial"/>
          <w:sz w:val="22"/>
          <w:szCs w:val="22"/>
        </w:rPr>
        <w:t>ja</w:t>
      </w:r>
      <w:r w:rsidR="00CB5CB3">
        <w:rPr>
          <w:rFonts w:cs="Arial"/>
          <w:sz w:val="22"/>
          <w:szCs w:val="22"/>
        </w:rPr>
        <w:t>“</w:t>
      </w:r>
      <w:r w:rsidRPr="004254C8">
        <w:rPr>
          <w:rFonts w:cs="Arial"/>
          <w:sz w:val="22"/>
          <w:szCs w:val="22"/>
        </w:rPr>
        <w:t xml:space="preserve">, </w:t>
      </w:r>
      <w:r w:rsidR="00CB5CB3">
        <w:rPr>
          <w:rFonts w:cs="Arial"/>
          <w:sz w:val="22"/>
          <w:szCs w:val="22"/>
        </w:rPr>
        <w:t>„</w:t>
      </w:r>
      <w:r w:rsidRPr="004254C8">
        <w:rPr>
          <w:rFonts w:cs="Arial"/>
          <w:sz w:val="22"/>
          <w:szCs w:val="22"/>
        </w:rPr>
        <w:t>nein</w:t>
      </w:r>
      <w:r w:rsidR="00CB5CB3">
        <w:rPr>
          <w:rFonts w:cs="Arial"/>
          <w:sz w:val="22"/>
          <w:szCs w:val="22"/>
        </w:rPr>
        <w:t>“</w:t>
      </w:r>
      <w:r w:rsidRPr="004254C8">
        <w:rPr>
          <w:rFonts w:cs="Arial"/>
          <w:sz w:val="22"/>
          <w:szCs w:val="22"/>
        </w:rPr>
        <w:t xml:space="preserve"> oder </w:t>
      </w:r>
      <w:r w:rsidR="00CB5CB3">
        <w:rPr>
          <w:rFonts w:cs="Arial"/>
          <w:sz w:val="22"/>
          <w:szCs w:val="22"/>
        </w:rPr>
        <w:t>„</w:t>
      </w:r>
      <w:r w:rsidRPr="004254C8">
        <w:rPr>
          <w:rFonts w:cs="Arial"/>
          <w:sz w:val="22"/>
          <w:szCs w:val="22"/>
        </w:rPr>
        <w:t>n/a</w:t>
      </w:r>
      <w:r w:rsidR="00CB5CB3">
        <w:rPr>
          <w:rFonts w:cs="Arial"/>
          <w:sz w:val="22"/>
          <w:szCs w:val="22"/>
        </w:rPr>
        <w:t>“</w:t>
      </w:r>
      <w:r w:rsidRPr="004254C8">
        <w:rPr>
          <w:rFonts w:cs="Arial"/>
          <w:sz w:val="22"/>
          <w:szCs w:val="22"/>
        </w:rPr>
        <w:t xml:space="preserve"> notwendig ist, sondern eine Beschreibung oder eine konkrete Antwort verlangt ist, wofür ein separates Feld vorgesehen ist.</w:t>
      </w:r>
      <w:r w:rsidR="00FB18A1">
        <w:rPr>
          <w:rFonts w:cs="Arial"/>
          <w:sz w:val="22"/>
          <w:szCs w:val="22"/>
        </w:rPr>
        <w:t xml:space="preserve"> Diese Fragen sind in den A</w:t>
      </w:r>
      <w:r w:rsidR="00425016">
        <w:rPr>
          <w:rFonts w:cs="Arial"/>
          <w:sz w:val="22"/>
          <w:szCs w:val="22"/>
        </w:rPr>
        <w:t>rbeitspapieren nicht besonders gekennzeichnet</w:t>
      </w:r>
      <w:r w:rsidR="00FB18A1">
        <w:rPr>
          <w:rFonts w:cs="Arial"/>
          <w:sz w:val="22"/>
          <w:szCs w:val="22"/>
        </w:rPr>
        <w:t>.</w:t>
      </w:r>
    </w:p>
    <w:p w:rsidR="00616694" w:rsidRDefault="00616694" w:rsidP="00616694">
      <w:pPr>
        <w:rPr>
          <w:rFonts w:cs="Arial"/>
          <w:sz w:val="22"/>
          <w:szCs w:val="22"/>
        </w:rPr>
      </w:pPr>
    </w:p>
    <w:p w:rsidR="00616694" w:rsidRPr="004254C8" w:rsidRDefault="00616694" w:rsidP="00616694">
      <w:pPr>
        <w:rPr>
          <w:rFonts w:cs="Arial"/>
          <w:sz w:val="22"/>
          <w:szCs w:val="22"/>
        </w:rPr>
      </w:pPr>
      <w:r w:rsidRPr="004254C8">
        <w:rPr>
          <w:rFonts w:cs="Arial"/>
          <w:sz w:val="22"/>
          <w:szCs w:val="22"/>
        </w:rPr>
        <w:t>Es ist zu berücksichtigen und sicherzustellen, dass die im Rahmen der Prüfung in den Arbeitsp</w:t>
      </w:r>
      <w:r w:rsidRPr="004254C8">
        <w:rPr>
          <w:rFonts w:cs="Arial"/>
          <w:sz w:val="22"/>
          <w:szCs w:val="22"/>
        </w:rPr>
        <w:t>a</w:t>
      </w:r>
      <w:r w:rsidRPr="004254C8">
        <w:rPr>
          <w:rFonts w:cs="Arial"/>
          <w:sz w:val="22"/>
          <w:szCs w:val="22"/>
        </w:rPr>
        <w:t xml:space="preserve">pieren dokumentierten Feststellungen und Empfehlungen vollumfänglich und in aggregierter Form in den Kontrollbericht </w:t>
      </w:r>
      <w:proofErr w:type="spellStart"/>
      <w:r w:rsidRPr="004254C8">
        <w:rPr>
          <w:rFonts w:cs="Arial"/>
          <w:sz w:val="22"/>
          <w:szCs w:val="22"/>
        </w:rPr>
        <w:t>einfliessen</w:t>
      </w:r>
      <w:proofErr w:type="spellEnd"/>
      <w:r w:rsidRPr="004254C8">
        <w:rPr>
          <w:rFonts w:cs="Arial"/>
          <w:sz w:val="22"/>
          <w:szCs w:val="22"/>
        </w:rPr>
        <w:t>.</w:t>
      </w:r>
    </w:p>
    <w:p w:rsidR="00616694" w:rsidRPr="004254C8" w:rsidRDefault="00616694" w:rsidP="00616694">
      <w:pPr>
        <w:rPr>
          <w:rFonts w:cs="Arial"/>
          <w:sz w:val="22"/>
          <w:szCs w:val="22"/>
        </w:rPr>
      </w:pPr>
    </w:p>
    <w:p w:rsidR="00616694" w:rsidRDefault="00652BAC" w:rsidP="00616694">
      <w:pPr>
        <w:rPr>
          <w:rFonts w:cs="Arial"/>
          <w:sz w:val="22"/>
          <w:szCs w:val="22"/>
        </w:rPr>
      </w:pPr>
      <w:r>
        <w:rPr>
          <w:rFonts w:cs="Arial"/>
          <w:sz w:val="22"/>
          <w:szCs w:val="22"/>
        </w:rPr>
        <w:t>Zu beachten ist</w:t>
      </w:r>
      <w:r w:rsidR="00616694" w:rsidRPr="004254C8">
        <w:rPr>
          <w:rFonts w:cs="Arial"/>
          <w:sz w:val="22"/>
          <w:szCs w:val="22"/>
        </w:rPr>
        <w:t xml:space="preserve">, dass </w:t>
      </w:r>
      <w:proofErr w:type="spellStart"/>
      <w:r w:rsidR="00616694" w:rsidRPr="004254C8">
        <w:rPr>
          <w:rFonts w:cs="Arial"/>
          <w:sz w:val="22"/>
          <w:szCs w:val="22"/>
        </w:rPr>
        <w:t>gemäss</w:t>
      </w:r>
      <w:proofErr w:type="spellEnd"/>
      <w:r w:rsidR="00616694" w:rsidRPr="004254C8">
        <w:rPr>
          <w:rFonts w:cs="Arial"/>
          <w:sz w:val="22"/>
          <w:szCs w:val="22"/>
        </w:rPr>
        <w:t xml:space="preserve"> Art. 27 Abs. 1 Bst. a SPG Wirtschaftsprüfer, Revisionsgesellscha</w:t>
      </w:r>
      <w:r w:rsidR="00616694" w:rsidRPr="004254C8">
        <w:rPr>
          <w:rFonts w:cs="Arial"/>
          <w:sz w:val="22"/>
          <w:szCs w:val="22"/>
        </w:rPr>
        <w:t>f</w:t>
      </w:r>
      <w:r w:rsidR="00616694" w:rsidRPr="004254C8">
        <w:rPr>
          <w:rFonts w:cs="Arial"/>
          <w:sz w:val="22"/>
          <w:szCs w:val="22"/>
        </w:rPr>
        <w:t>ten oder die spezialgesetzliche Revisionsstelle verpflichtet sind, der FMA auf Verlangen sämtliche im Rahmen der Kontrollen erstellten Arbeitspapiere zur Qualitätsprüfung zur Verfügung zu ste</w:t>
      </w:r>
      <w:r w:rsidR="00616694" w:rsidRPr="004254C8">
        <w:rPr>
          <w:rFonts w:cs="Arial"/>
          <w:sz w:val="22"/>
          <w:szCs w:val="22"/>
        </w:rPr>
        <w:t>l</w:t>
      </w:r>
      <w:r w:rsidR="00616694" w:rsidRPr="004254C8">
        <w:rPr>
          <w:rFonts w:cs="Arial"/>
          <w:sz w:val="22"/>
          <w:szCs w:val="22"/>
        </w:rPr>
        <w:lastRenderedPageBreak/>
        <w:t>len. Zudem sind die Arbeitspapiere sowie alle damit zusammenhängenden Dokumente und D</w:t>
      </w:r>
      <w:r w:rsidR="00616694" w:rsidRPr="004254C8">
        <w:rPr>
          <w:rFonts w:cs="Arial"/>
          <w:sz w:val="22"/>
          <w:szCs w:val="22"/>
        </w:rPr>
        <w:t>a</w:t>
      </w:r>
      <w:r w:rsidR="00616694" w:rsidRPr="004254C8">
        <w:rPr>
          <w:rFonts w:cs="Arial"/>
          <w:sz w:val="22"/>
          <w:szCs w:val="22"/>
        </w:rPr>
        <w:t>tenträger während zehn Jahren nach Abschluss der jeweiligen Kontrollen im Inland aufzubewa</w:t>
      </w:r>
      <w:r w:rsidR="00616694" w:rsidRPr="004254C8">
        <w:rPr>
          <w:rFonts w:cs="Arial"/>
          <w:sz w:val="22"/>
          <w:szCs w:val="22"/>
        </w:rPr>
        <w:t>h</w:t>
      </w:r>
      <w:r w:rsidR="00616694" w:rsidRPr="004254C8">
        <w:rPr>
          <w:rFonts w:cs="Arial"/>
          <w:sz w:val="22"/>
          <w:szCs w:val="22"/>
        </w:rPr>
        <w:t>ren (vgl. Art. 41 SPV).</w:t>
      </w:r>
      <w:r w:rsidR="00F629B7">
        <w:rPr>
          <w:rFonts w:cs="Arial"/>
          <w:sz w:val="22"/>
          <w:szCs w:val="22"/>
        </w:rPr>
        <w:t xml:space="preserve"> Kundendokumente und äquivalente Datenträger sind nur dann aufzub</w:t>
      </w:r>
      <w:r w:rsidR="00F629B7">
        <w:rPr>
          <w:rFonts w:cs="Arial"/>
          <w:sz w:val="22"/>
          <w:szCs w:val="22"/>
        </w:rPr>
        <w:t>e</w:t>
      </w:r>
      <w:r w:rsidR="00F629B7">
        <w:rPr>
          <w:rFonts w:cs="Arial"/>
          <w:sz w:val="22"/>
          <w:szCs w:val="22"/>
        </w:rPr>
        <w:t>wahren, wenn diese Feststellungsrelevant sind.</w:t>
      </w:r>
    </w:p>
    <w:p w:rsidR="00C510DA" w:rsidRDefault="00C510DA" w:rsidP="00616694">
      <w:pPr>
        <w:rPr>
          <w:rFonts w:cs="Arial"/>
          <w:sz w:val="22"/>
          <w:szCs w:val="22"/>
        </w:rPr>
      </w:pPr>
    </w:p>
    <w:p w:rsidR="00C510DA" w:rsidRPr="004254C8" w:rsidRDefault="00C510DA" w:rsidP="00616694">
      <w:pPr>
        <w:rPr>
          <w:rFonts w:cs="Arial"/>
          <w:sz w:val="22"/>
          <w:szCs w:val="22"/>
        </w:rPr>
      </w:pPr>
      <w:proofErr w:type="spellStart"/>
      <w:r>
        <w:rPr>
          <w:rFonts w:cs="Arial"/>
          <w:sz w:val="22"/>
          <w:szCs w:val="22"/>
        </w:rPr>
        <w:t>Weiters</w:t>
      </w:r>
      <w:proofErr w:type="spellEnd"/>
      <w:r>
        <w:rPr>
          <w:rFonts w:cs="Arial"/>
          <w:sz w:val="22"/>
          <w:szCs w:val="22"/>
        </w:rPr>
        <w:t xml:space="preserve"> sind bei im Rahmen der Sorgfaltspflichtkontrollen </w:t>
      </w:r>
      <w:r w:rsidR="00F629B7">
        <w:rPr>
          <w:rFonts w:cs="Arial"/>
          <w:sz w:val="22"/>
          <w:szCs w:val="22"/>
        </w:rPr>
        <w:t>getroffenen Feststellungen</w:t>
      </w:r>
      <w:r>
        <w:rPr>
          <w:rFonts w:cs="Arial"/>
          <w:sz w:val="22"/>
          <w:szCs w:val="22"/>
        </w:rPr>
        <w:t xml:space="preserve"> – soweit möglich – Abschriften von den der Festste</w:t>
      </w:r>
      <w:r>
        <w:rPr>
          <w:rFonts w:cs="Arial"/>
          <w:sz w:val="22"/>
          <w:szCs w:val="22"/>
        </w:rPr>
        <w:t>l</w:t>
      </w:r>
      <w:r>
        <w:rPr>
          <w:rFonts w:cs="Arial"/>
          <w:sz w:val="22"/>
          <w:szCs w:val="22"/>
        </w:rPr>
        <w:t>lung zugrundeliegenden Doku</w:t>
      </w:r>
      <w:r w:rsidR="00A2747C">
        <w:rPr>
          <w:rFonts w:cs="Arial"/>
          <w:sz w:val="22"/>
          <w:szCs w:val="22"/>
        </w:rPr>
        <w:t>mente</w:t>
      </w:r>
      <w:r>
        <w:rPr>
          <w:rFonts w:cs="Arial"/>
          <w:sz w:val="22"/>
          <w:szCs w:val="22"/>
        </w:rPr>
        <w:t xml:space="preserve"> zu erstellen und an die FMA zu übermitteln</w:t>
      </w:r>
      <w:r w:rsidR="00F629B7">
        <w:rPr>
          <w:rFonts w:cs="Arial"/>
          <w:sz w:val="22"/>
          <w:szCs w:val="22"/>
        </w:rPr>
        <w:t xml:space="preserve"> bzw. vorrätig zu halten.</w:t>
      </w:r>
    </w:p>
    <w:p w:rsidR="00616694" w:rsidRPr="004254C8" w:rsidRDefault="00616694" w:rsidP="00616694">
      <w:pPr>
        <w:pStyle w:val="Kommentartext"/>
        <w:spacing w:after="0" w:line="240" w:lineRule="atLeast"/>
        <w:rPr>
          <w:rFonts w:ascii="Arial" w:hAnsi="Arial" w:cs="Arial"/>
          <w:sz w:val="22"/>
          <w:szCs w:val="22"/>
        </w:rPr>
      </w:pPr>
    </w:p>
    <w:p w:rsidR="00616694" w:rsidRPr="004254C8" w:rsidRDefault="00616694" w:rsidP="00616694">
      <w:pPr>
        <w:pStyle w:val="Kommentartext"/>
        <w:spacing w:after="0" w:line="240" w:lineRule="atLeast"/>
        <w:rPr>
          <w:rFonts w:ascii="Arial" w:hAnsi="Arial" w:cs="Arial"/>
          <w:sz w:val="22"/>
          <w:szCs w:val="22"/>
        </w:rPr>
      </w:pPr>
    </w:p>
    <w:p w:rsidR="00616694" w:rsidRPr="004254C8" w:rsidRDefault="00616694" w:rsidP="00616694">
      <w:pPr>
        <w:pStyle w:val="Kommentartext"/>
        <w:spacing w:after="0" w:line="240" w:lineRule="atLeast"/>
        <w:rPr>
          <w:rFonts w:ascii="Arial" w:hAnsi="Arial" w:cs="Arial"/>
          <w:sz w:val="22"/>
          <w:szCs w:val="22"/>
        </w:rPr>
      </w:pPr>
      <w:r w:rsidRPr="004254C8">
        <w:rPr>
          <w:rFonts w:ascii="Arial" w:hAnsi="Arial" w:cs="Arial"/>
          <w:sz w:val="22"/>
          <w:szCs w:val="22"/>
        </w:rPr>
        <w:t>Es werden die folgenden Abkürzungen in den Arbeitspapieren verwendet:</w:t>
      </w:r>
    </w:p>
    <w:p w:rsidR="00616694" w:rsidRPr="004254C8" w:rsidRDefault="00616694" w:rsidP="00616694">
      <w:pPr>
        <w:pStyle w:val="Kommentartext"/>
        <w:spacing w:after="0" w:line="240" w:lineRule="atLeast"/>
        <w:rPr>
          <w:rFonts w:ascii="Arial" w:hAnsi="Arial" w:cs="Arial"/>
          <w:sz w:val="22"/>
          <w:szCs w:val="22"/>
        </w:rPr>
      </w:pPr>
      <w:r w:rsidRPr="004254C8">
        <w:rPr>
          <w:rFonts w:ascii="Arial" w:hAnsi="Arial" w:cs="Arial"/>
          <w:sz w:val="22"/>
          <w:szCs w:val="22"/>
        </w:rPr>
        <w:t>GB: Geschäftsbeziehung(en)</w:t>
      </w:r>
    </w:p>
    <w:p w:rsidR="00616694" w:rsidRPr="004254C8" w:rsidRDefault="00616694" w:rsidP="00616694">
      <w:pPr>
        <w:pStyle w:val="Kommentartext"/>
        <w:spacing w:after="0" w:line="240" w:lineRule="atLeast"/>
        <w:rPr>
          <w:rFonts w:ascii="Arial" w:hAnsi="Arial" w:cs="Arial"/>
          <w:sz w:val="22"/>
          <w:szCs w:val="22"/>
        </w:rPr>
      </w:pPr>
      <w:r w:rsidRPr="004254C8">
        <w:rPr>
          <w:rFonts w:ascii="Arial" w:hAnsi="Arial" w:cs="Arial"/>
          <w:sz w:val="22"/>
          <w:szCs w:val="22"/>
        </w:rPr>
        <w:t>PEP: Politisch exponierte Person(en)</w:t>
      </w:r>
    </w:p>
    <w:p w:rsidR="00616694" w:rsidRPr="004254C8" w:rsidRDefault="00616694" w:rsidP="00616694">
      <w:pPr>
        <w:pStyle w:val="Kommentartext"/>
        <w:spacing w:after="0" w:line="240" w:lineRule="atLeast"/>
        <w:rPr>
          <w:rFonts w:ascii="Arial" w:hAnsi="Arial" w:cs="Arial"/>
          <w:sz w:val="22"/>
          <w:szCs w:val="22"/>
          <w:lang w:val="de-CH"/>
        </w:rPr>
      </w:pPr>
      <w:r w:rsidRPr="004254C8">
        <w:rPr>
          <w:rFonts w:ascii="Arial" w:hAnsi="Arial" w:cs="Arial"/>
          <w:sz w:val="22"/>
          <w:szCs w:val="22"/>
          <w:lang w:val="de-CH"/>
        </w:rPr>
        <w:t xml:space="preserve">SFIU: Stabsstelle Financial </w:t>
      </w:r>
      <w:proofErr w:type="spellStart"/>
      <w:r w:rsidRPr="004254C8">
        <w:rPr>
          <w:rFonts w:ascii="Arial" w:hAnsi="Arial" w:cs="Arial"/>
          <w:sz w:val="22"/>
          <w:szCs w:val="22"/>
          <w:lang w:val="de-CH"/>
        </w:rPr>
        <w:t>Intelligence</w:t>
      </w:r>
      <w:proofErr w:type="spellEnd"/>
      <w:r w:rsidRPr="004254C8">
        <w:rPr>
          <w:rFonts w:ascii="Arial" w:hAnsi="Arial" w:cs="Arial"/>
          <w:sz w:val="22"/>
          <w:szCs w:val="22"/>
          <w:lang w:val="de-CH"/>
        </w:rPr>
        <w:t xml:space="preserve"> Unit</w:t>
      </w:r>
    </w:p>
    <w:p w:rsidR="00616694" w:rsidRPr="004254C8" w:rsidRDefault="00616694" w:rsidP="00616694">
      <w:pPr>
        <w:pStyle w:val="Kommentartext"/>
        <w:spacing w:after="0" w:line="240" w:lineRule="atLeast"/>
        <w:rPr>
          <w:rFonts w:ascii="Arial" w:hAnsi="Arial" w:cs="Arial"/>
          <w:sz w:val="22"/>
          <w:szCs w:val="22"/>
          <w:lang w:val="de-CH"/>
        </w:rPr>
      </w:pPr>
      <w:r w:rsidRPr="004254C8">
        <w:rPr>
          <w:rFonts w:ascii="Arial" w:hAnsi="Arial" w:cs="Arial"/>
          <w:sz w:val="22"/>
          <w:szCs w:val="22"/>
          <w:lang w:val="de-CH"/>
        </w:rPr>
        <w:t>SPG: Sorgfaltspflichtgesetz</w:t>
      </w:r>
    </w:p>
    <w:p w:rsidR="00616694" w:rsidRPr="004254C8" w:rsidRDefault="00146A9A" w:rsidP="00616694">
      <w:pPr>
        <w:pStyle w:val="Kommentartext"/>
        <w:spacing w:after="0" w:line="240" w:lineRule="atLeast"/>
        <w:rPr>
          <w:rFonts w:ascii="Arial" w:hAnsi="Arial" w:cs="Arial"/>
          <w:sz w:val="22"/>
          <w:szCs w:val="22"/>
          <w:lang w:val="de-CH"/>
        </w:rPr>
      </w:pPr>
      <w:r>
        <w:rPr>
          <w:rFonts w:ascii="Arial" w:hAnsi="Arial" w:cs="Arial"/>
          <w:sz w:val="22"/>
          <w:szCs w:val="22"/>
          <w:lang w:val="de-CH"/>
        </w:rPr>
        <w:t>SPV:</w:t>
      </w:r>
      <w:r w:rsidR="00616694" w:rsidRPr="004254C8">
        <w:rPr>
          <w:rFonts w:ascii="Arial" w:hAnsi="Arial" w:cs="Arial"/>
          <w:sz w:val="22"/>
          <w:szCs w:val="22"/>
          <w:lang w:val="de-CH"/>
        </w:rPr>
        <w:t xml:space="preserve"> Sorgfaltspflichtverordnung</w:t>
      </w:r>
    </w:p>
    <w:p w:rsidR="00616694" w:rsidRPr="004254C8" w:rsidRDefault="00616694" w:rsidP="00616694">
      <w:pPr>
        <w:pStyle w:val="Kommentartext"/>
        <w:spacing w:after="0" w:line="240" w:lineRule="atLeast"/>
        <w:rPr>
          <w:rFonts w:ascii="Arial" w:hAnsi="Arial" w:cs="Arial"/>
          <w:sz w:val="22"/>
          <w:szCs w:val="22"/>
        </w:rPr>
      </w:pPr>
      <w:r w:rsidRPr="004254C8">
        <w:rPr>
          <w:rFonts w:ascii="Arial" w:hAnsi="Arial" w:cs="Arial"/>
          <w:sz w:val="22"/>
          <w:szCs w:val="22"/>
        </w:rPr>
        <w:t>VP: Vertragspartner</w:t>
      </w:r>
    </w:p>
    <w:p w:rsidR="00616694" w:rsidRPr="004254C8" w:rsidRDefault="007911BE" w:rsidP="00616694">
      <w:pPr>
        <w:pStyle w:val="Kommentartext"/>
        <w:spacing w:after="0" w:line="240" w:lineRule="atLeast"/>
        <w:rPr>
          <w:rFonts w:ascii="Arial" w:hAnsi="Arial" w:cs="Arial"/>
          <w:sz w:val="22"/>
          <w:szCs w:val="22"/>
        </w:rPr>
      </w:pPr>
      <w:r>
        <w:rPr>
          <w:rFonts w:ascii="Arial" w:hAnsi="Arial" w:cs="Arial"/>
          <w:sz w:val="22"/>
          <w:szCs w:val="22"/>
        </w:rPr>
        <w:t>W</w:t>
      </w:r>
      <w:r w:rsidR="00616694" w:rsidRPr="004254C8">
        <w:rPr>
          <w:rFonts w:ascii="Arial" w:hAnsi="Arial" w:cs="Arial"/>
          <w:sz w:val="22"/>
          <w:szCs w:val="22"/>
        </w:rPr>
        <w:t>B: wirtschaftlich berechtigte Person(en)</w:t>
      </w:r>
    </w:p>
    <w:p w:rsidR="00616694" w:rsidRPr="004254C8" w:rsidRDefault="00616694" w:rsidP="00616694">
      <w:pPr>
        <w:pStyle w:val="Kommentarthema"/>
        <w:spacing w:after="0" w:line="240" w:lineRule="atLeast"/>
        <w:ind w:left="567" w:hanging="567"/>
        <w:rPr>
          <w:rFonts w:ascii="Arial" w:hAnsi="Arial" w:cs="Arial"/>
          <w:bCs w:val="0"/>
          <w:sz w:val="22"/>
          <w:szCs w:val="22"/>
        </w:rPr>
      </w:pPr>
    </w:p>
    <w:p w:rsidR="00616694" w:rsidRPr="004254C8" w:rsidRDefault="00616694" w:rsidP="00616694">
      <w:pPr>
        <w:pStyle w:val="Kommentartext"/>
        <w:rPr>
          <w:rFonts w:ascii="Arial" w:hAnsi="Arial" w:cs="Arial"/>
          <w:sz w:val="22"/>
          <w:szCs w:val="22"/>
        </w:rPr>
      </w:pPr>
      <w:r w:rsidRPr="004254C8">
        <w:rPr>
          <w:rFonts w:ascii="Arial" w:hAnsi="Arial" w:cs="Arial"/>
          <w:sz w:val="22"/>
          <w:szCs w:val="22"/>
        </w:rPr>
        <w:t>Zusätzlich zur Verwendung der Arbeitspapiere sind vom Prüfer die relevanten Richtlinien, Wegle</w:t>
      </w:r>
      <w:r w:rsidRPr="004254C8">
        <w:rPr>
          <w:rFonts w:ascii="Arial" w:hAnsi="Arial" w:cs="Arial"/>
          <w:sz w:val="22"/>
          <w:szCs w:val="22"/>
        </w:rPr>
        <w:t>i</w:t>
      </w:r>
      <w:r w:rsidRPr="004254C8">
        <w:rPr>
          <w:rFonts w:ascii="Arial" w:hAnsi="Arial" w:cs="Arial"/>
          <w:sz w:val="22"/>
          <w:szCs w:val="22"/>
        </w:rPr>
        <w:t xml:space="preserve">tungen sowie Mitteilungen der FMA </w:t>
      </w:r>
      <w:r w:rsidR="00055736">
        <w:rPr>
          <w:rFonts w:ascii="Arial" w:hAnsi="Arial" w:cs="Arial"/>
          <w:sz w:val="22"/>
          <w:szCs w:val="22"/>
        </w:rPr>
        <w:t>unter Berücksichtigung der berufsüblichen kritischen Grun</w:t>
      </w:r>
      <w:r w:rsidR="00055736">
        <w:rPr>
          <w:rFonts w:ascii="Arial" w:hAnsi="Arial" w:cs="Arial"/>
          <w:sz w:val="22"/>
          <w:szCs w:val="22"/>
        </w:rPr>
        <w:t>d</w:t>
      </w:r>
      <w:r w:rsidR="00055736">
        <w:rPr>
          <w:rFonts w:ascii="Arial" w:hAnsi="Arial" w:cs="Arial"/>
          <w:sz w:val="22"/>
          <w:szCs w:val="22"/>
        </w:rPr>
        <w:t>haltung zu beachten.</w:t>
      </w:r>
    </w:p>
    <w:p w:rsidR="00616694" w:rsidRPr="004254C8" w:rsidRDefault="00616694" w:rsidP="00616694">
      <w:pPr>
        <w:pStyle w:val="Kommentarthema"/>
        <w:spacing w:after="0" w:line="240" w:lineRule="atLeast"/>
        <w:ind w:left="567" w:hanging="567"/>
        <w:rPr>
          <w:rFonts w:ascii="Arial" w:hAnsi="Arial" w:cs="Arial"/>
          <w:bCs w:val="0"/>
          <w:sz w:val="22"/>
          <w:szCs w:val="22"/>
        </w:rPr>
      </w:pPr>
      <w:r w:rsidRPr="004254C8">
        <w:rPr>
          <w:rFonts w:ascii="Arial" w:hAnsi="Arial" w:cs="Arial"/>
          <w:bCs w:val="0"/>
          <w:sz w:val="22"/>
          <w:szCs w:val="22"/>
        </w:rPr>
        <w:t xml:space="preserve">2. </w:t>
      </w:r>
      <w:r w:rsidRPr="004254C8">
        <w:rPr>
          <w:rFonts w:ascii="Arial" w:hAnsi="Arial" w:cs="Arial"/>
          <w:bCs w:val="0"/>
          <w:sz w:val="22"/>
          <w:szCs w:val="22"/>
        </w:rPr>
        <w:tab/>
        <w:t>Einzelne Dokumente</w:t>
      </w:r>
    </w:p>
    <w:p w:rsidR="00616694" w:rsidRPr="004254C8" w:rsidRDefault="00616694" w:rsidP="00616694">
      <w:pPr>
        <w:rPr>
          <w:rFonts w:cs="Arial"/>
          <w:sz w:val="22"/>
          <w:szCs w:val="22"/>
        </w:rPr>
      </w:pPr>
    </w:p>
    <w:p w:rsidR="00616694" w:rsidRPr="004254C8" w:rsidRDefault="00616694" w:rsidP="00616694">
      <w:pPr>
        <w:rPr>
          <w:rFonts w:cs="Arial"/>
          <w:b/>
          <w:sz w:val="22"/>
          <w:szCs w:val="22"/>
        </w:rPr>
      </w:pPr>
      <w:r w:rsidRPr="004254C8">
        <w:rPr>
          <w:rFonts w:cs="Arial"/>
          <w:b/>
          <w:sz w:val="22"/>
          <w:szCs w:val="22"/>
        </w:rPr>
        <w:t>Checkliste Vorbereitung und Nachbearbeitung</w:t>
      </w:r>
    </w:p>
    <w:p w:rsidR="00616694" w:rsidRPr="004254C8" w:rsidRDefault="00616694" w:rsidP="00616694">
      <w:pPr>
        <w:rPr>
          <w:rFonts w:cs="Arial"/>
          <w:sz w:val="22"/>
          <w:szCs w:val="22"/>
        </w:rPr>
      </w:pPr>
      <w:r w:rsidRPr="004254C8">
        <w:rPr>
          <w:rFonts w:cs="Arial"/>
          <w:sz w:val="22"/>
          <w:szCs w:val="22"/>
        </w:rPr>
        <w:t xml:space="preserve">Diese Checkliste dient vor allem der Vorbereitung des Prüfers auf die durchzuführende </w:t>
      </w:r>
      <w:r w:rsidR="004254C8">
        <w:rPr>
          <w:rFonts w:cs="Arial"/>
          <w:sz w:val="22"/>
          <w:szCs w:val="22"/>
        </w:rPr>
        <w:t>Vor-Ort-</w:t>
      </w:r>
      <w:r w:rsidRPr="004254C8">
        <w:rPr>
          <w:rFonts w:cs="Arial"/>
          <w:sz w:val="22"/>
          <w:szCs w:val="22"/>
        </w:rPr>
        <w:t xml:space="preserve">Kontrolle. Mittels Übermittlung dieser Liste kann den zu Prüfenden vorab zur Durchführung der </w:t>
      </w:r>
      <w:r w:rsidR="004254C8">
        <w:rPr>
          <w:rFonts w:cs="Arial"/>
          <w:sz w:val="22"/>
          <w:szCs w:val="22"/>
        </w:rPr>
        <w:t>Vor-Ort-</w:t>
      </w:r>
      <w:r w:rsidRPr="004254C8">
        <w:rPr>
          <w:rFonts w:cs="Arial"/>
          <w:sz w:val="22"/>
          <w:szCs w:val="22"/>
        </w:rPr>
        <w:t xml:space="preserve">Kontrolle mitgeteilt werden, welche Dokumente und Daten zum Zeitpunkt der </w:t>
      </w:r>
      <w:r w:rsidR="004254C8">
        <w:rPr>
          <w:rFonts w:cs="Arial"/>
          <w:sz w:val="22"/>
          <w:szCs w:val="22"/>
        </w:rPr>
        <w:t>Vor-Ort-</w:t>
      </w:r>
      <w:r w:rsidRPr="004254C8">
        <w:rPr>
          <w:rFonts w:cs="Arial"/>
          <w:sz w:val="22"/>
          <w:szCs w:val="22"/>
        </w:rPr>
        <w:t xml:space="preserve">Kontrolle vorliegen müssen. </w:t>
      </w:r>
    </w:p>
    <w:p w:rsidR="00616694" w:rsidRPr="004254C8" w:rsidRDefault="00616694" w:rsidP="00616694">
      <w:pPr>
        <w:rPr>
          <w:rFonts w:cs="Arial"/>
          <w:sz w:val="22"/>
          <w:szCs w:val="22"/>
        </w:rPr>
      </w:pPr>
    </w:p>
    <w:p w:rsidR="00616694" w:rsidRPr="004254C8" w:rsidRDefault="00616694" w:rsidP="00616694">
      <w:pPr>
        <w:rPr>
          <w:rFonts w:cs="Arial"/>
          <w:sz w:val="22"/>
          <w:szCs w:val="22"/>
        </w:rPr>
      </w:pPr>
      <w:r w:rsidRPr="004254C8">
        <w:rPr>
          <w:rFonts w:cs="Arial"/>
          <w:sz w:val="22"/>
          <w:szCs w:val="22"/>
        </w:rPr>
        <w:t xml:space="preserve">Zu beachten ist, dass bei der Vorbereitung der </w:t>
      </w:r>
      <w:r w:rsidR="004254C8">
        <w:rPr>
          <w:rFonts w:cs="Arial"/>
          <w:sz w:val="22"/>
          <w:szCs w:val="22"/>
        </w:rPr>
        <w:t>Vor-Ort-</w:t>
      </w:r>
      <w:r w:rsidRPr="004254C8">
        <w:rPr>
          <w:rFonts w:cs="Arial"/>
          <w:sz w:val="22"/>
          <w:szCs w:val="22"/>
        </w:rPr>
        <w:t>Kontrolle auch die Vorgaben des individ</w:t>
      </w:r>
      <w:r w:rsidRPr="004254C8">
        <w:rPr>
          <w:rFonts w:cs="Arial"/>
          <w:sz w:val="22"/>
          <w:szCs w:val="22"/>
        </w:rPr>
        <w:t>u</w:t>
      </w:r>
      <w:r w:rsidRPr="004254C8">
        <w:rPr>
          <w:rFonts w:cs="Arial"/>
          <w:sz w:val="22"/>
          <w:szCs w:val="22"/>
        </w:rPr>
        <w:t>ellen Prüfauftrags</w:t>
      </w:r>
      <w:r w:rsidR="00E945CA">
        <w:rPr>
          <w:rFonts w:cs="Arial"/>
          <w:sz w:val="22"/>
          <w:szCs w:val="22"/>
        </w:rPr>
        <w:t xml:space="preserve"> der FMA</w:t>
      </w:r>
      <w:r w:rsidRPr="004254C8">
        <w:rPr>
          <w:rFonts w:cs="Arial"/>
          <w:sz w:val="22"/>
          <w:szCs w:val="22"/>
        </w:rPr>
        <w:t>, so beispie</w:t>
      </w:r>
      <w:r w:rsidR="00E945CA">
        <w:rPr>
          <w:rFonts w:cs="Arial"/>
          <w:sz w:val="22"/>
          <w:szCs w:val="22"/>
        </w:rPr>
        <w:t>lsweise eine Schwerpunktprüfung,</w:t>
      </w:r>
      <w:r w:rsidRPr="004254C8">
        <w:rPr>
          <w:rFonts w:cs="Arial"/>
          <w:sz w:val="22"/>
          <w:szCs w:val="22"/>
        </w:rPr>
        <w:t xml:space="preserve"> zu berücksichtigen sind. Dies kann es u.U. notwendig machen, dass die Checkliste Vorbereitung und Nachbearbeitung noch ergänzt werden muss. </w:t>
      </w:r>
    </w:p>
    <w:p w:rsidR="00616694" w:rsidRPr="004254C8" w:rsidRDefault="00616694" w:rsidP="00616694">
      <w:pPr>
        <w:rPr>
          <w:rFonts w:cs="Arial"/>
          <w:sz w:val="22"/>
          <w:szCs w:val="22"/>
        </w:rPr>
      </w:pPr>
    </w:p>
    <w:p w:rsidR="00616694" w:rsidRPr="004254C8" w:rsidRDefault="00616694" w:rsidP="00616694">
      <w:pPr>
        <w:rPr>
          <w:rFonts w:cs="Arial"/>
          <w:sz w:val="22"/>
          <w:szCs w:val="22"/>
        </w:rPr>
      </w:pPr>
      <w:r w:rsidRPr="004254C8">
        <w:rPr>
          <w:rFonts w:cs="Arial"/>
          <w:sz w:val="22"/>
          <w:szCs w:val="22"/>
        </w:rPr>
        <w:t xml:space="preserve">Vorab zur Durchführung der </w:t>
      </w:r>
      <w:r w:rsidR="004254C8">
        <w:rPr>
          <w:rFonts w:cs="Arial"/>
          <w:sz w:val="22"/>
          <w:szCs w:val="22"/>
        </w:rPr>
        <w:t>Vor-Ort-</w:t>
      </w:r>
      <w:r w:rsidRPr="004254C8">
        <w:rPr>
          <w:rFonts w:cs="Arial"/>
          <w:sz w:val="22"/>
          <w:szCs w:val="22"/>
        </w:rPr>
        <w:t>Kontrolle stellt die FMA dem externen Prüfer ebenfalls mi</w:t>
      </w:r>
      <w:r w:rsidRPr="004254C8">
        <w:rPr>
          <w:rFonts w:cs="Arial"/>
          <w:sz w:val="22"/>
          <w:szCs w:val="22"/>
        </w:rPr>
        <w:t>t</w:t>
      </w:r>
      <w:r w:rsidRPr="004254C8">
        <w:rPr>
          <w:rFonts w:cs="Arial"/>
          <w:sz w:val="22"/>
          <w:szCs w:val="22"/>
        </w:rPr>
        <w:t xml:space="preserve">tels eines individuellen Prüfauftrags künftig gegebenenfalls zusätzlich Daten, die </w:t>
      </w:r>
      <w:r w:rsidR="00813F7B">
        <w:rPr>
          <w:rFonts w:cs="Arial"/>
          <w:sz w:val="22"/>
          <w:szCs w:val="22"/>
        </w:rPr>
        <w:t>via</w:t>
      </w:r>
      <w:r w:rsidR="00A2747C">
        <w:rPr>
          <w:rFonts w:cs="Arial"/>
          <w:sz w:val="22"/>
          <w:szCs w:val="22"/>
        </w:rPr>
        <w:t xml:space="preserve"> </w:t>
      </w:r>
      <w:r w:rsidRPr="004254C8">
        <w:rPr>
          <w:rFonts w:cs="Arial"/>
          <w:sz w:val="22"/>
          <w:szCs w:val="22"/>
        </w:rPr>
        <w:t>elektron</w:t>
      </w:r>
      <w:r w:rsidRPr="004254C8">
        <w:rPr>
          <w:rFonts w:cs="Arial"/>
          <w:sz w:val="22"/>
          <w:szCs w:val="22"/>
        </w:rPr>
        <w:t>i</w:t>
      </w:r>
      <w:r w:rsidR="00A2747C">
        <w:rPr>
          <w:rFonts w:cs="Arial"/>
          <w:sz w:val="22"/>
          <w:szCs w:val="22"/>
        </w:rPr>
        <w:t>sches</w:t>
      </w:r>
      <w:r w:rsidRPr="004254C8">
        <w:rPr>
          <w:rFonts w:cs="Arial"/>
          <w:sz w:val="22"/>
          <w:szCs w:val="22"/>
        </w:rPr>
        <w:t xml:space="preserve"> Meldewesen bei der FMA eingehen, zur Verfügung. </w:t>
      </w:r>
    </w:p>
    <w:p w:rsidR="00616694" w:rsidRPr="004254C8" w:rsidRDefault="00616694" w:rsidP="00616694">
      <w:pPr>
        <w:rPr>
          <w:rFonts w:cs="Arial"/>
          <w:sz w:val="22"/>
          <w:szCs w:val="22"/>
        </w:rPr>
      </w:pPr>
    </w:p>
    <w:p w:rsidR="00616694" w:rsidRPr="004254C8" w:rsidRDefault="00616694" w:rsidP="00616694">
      <w:pPr>
        <w:rPr>
          <w:rFonts w:cs="Arial"/>
          <w:sz w:val="22"/>
          <w:szCs w:val="22"/>
        </w:rPr>
      </w:pPr>
      <w:r w:rsidRPr="004254C8">
        <w:rPr>
          <w:rFonts w:cs="Arial"/>
          <w:sz w:val="22"/>
          <w:szCs w:val="22"/>
        </w:rPr>
        <w:t>Die Checkliste enthält eine demonstrative Aufzählung von Dokumenten. Folglich kann von jedem Prüfer bei Bedarf Ergänzendes verlangt werden.</w:t>
      </w:r>
    </w:p>
    <w:p w:rsidR="00616694" w:rsidRPr="004254C8" w:rsidRDefault="00616694" w:rsidP="00616694">
      <w:pPr>
        <w:rPr>
          <w:rFonts w:cs="Arial"/>
          <w:sz w:val="22"/>
          <w:szCs w:val="22"/>
        </w:rPr>
      </w:pPr>
    </w:p>
    <w:p w:rsidR="00616694" w:rsidRPr="004254C8" w:rsidRDefault="00F629B7" w:rsidP="00616694">
      <w:pPr>
        <w:rPr>
          <w:rFonts w:cs="Arial"/>
          <w:b/>
          <w:sz w:val="22"/>
          <w:szCs w:val="22"/>
        </w:rPr>
      </w:pPr>
      <w:r>
        <w:rPr>
          <w:rFonts w:cs="Arial"/>
          <w:b/>
          <w:sz w:val="22"/>
          <w:szCs w:val="22"/>
        </w:rPr>
        <w:t>Firm Review</w:t>
      </w:r>
    </w:p>
    <w:p w:rsidR="00616694" w:rsidRPr="004254C8" w:rsidRDefault="00616694" w:rsidP="00616694">
      <w:pPr>
        <w:rPr>
          <w:rFonts w:cs="Arial"/>
          <w:sz w:val="22"/>
          <w:szCs w:val="22"/>
        </w:rPr>
      </w:pPr>
      <w:r w:rsidRPr="004254C8">
        <w:rPr>
          <w:rFonts w:cs="Arial"/>
          <w:sz w:val="22"/>
          <w:szCs w:val="22"/>
        </w:rPr>
        <w:t xml:space="preserve">Dieses Dokument umfasst die </w:t>
      </w:r>
      <w:r w:rsidR="00F629B7">
        <w:rPr>
          <w:rFonts w:cs="Arial"/>
          <w:sz w:val="22"/>
          <w:szCs w:val="22"/>
        </w:rPr>
        <w:t xml:space="preserve">materielle Prüfung und somit die </w:t>
      </w:r>
      <w:r w:rsidRPr="004254C8">
        <w:rPr>
          <w:rFonts w:cs="Arial"/>
          <w:sz w:val="22"/>
          <w:szCs w:val="22"/>
        </w:rPr>
        <w:t xml:space="preserve">Prüfung der Dokumentation und Organisation. Es beinhaltet </w:t>
      </w:r>
      <w:r w:rsidR="00F629B7">
        <w:rPr>
          <w:rFonts w:cs="Arial"/>
          <w:sz w:val="22"/>
          <w:szCs w:val="22"/>
        </w:rPr>
        <w:t>Fragen zur</w:t>
      </w:r>
      <w:r w:rsidRPr="004254C8">
        <w:rPr>
          <w:rFonts w:cs="Arial"/>
          <w:sz w:val="22"/>
          <w:szCs w:val="22"/>
        </w:rPr>
        <w:t xml:space="preserve"> Risikobewertung, der internen Organisation, internen Weisungen sowie der Ausgestaltung der risikoadäquaten Überwachung, allfälliges Outsourcing, Delegation sowie weitere Punkte.</w:t>
      </w:r>
    </w:p>
    <w:p w:rsidR="00616694" w:rsidRPr="004254C8" w:rsidRDefault="00616694" w:rsidP="003E2268">
      <w:pPr>
        <w:rPr>
          <w:sz w:val="22"/>
          <w:szCs w:val="22"/>
        </w:rPr>
      </w:pPr>
      <w:r w:rsidRPr="004254C8">
        <w:rPr>
          <w:rFonts w:cs="Arial"/>
          <w:sz w:val="22"/>
          <w:szCs w:val="22"/>
        </w:rPr>
        <w:lastRenderedPageBreak/>
        <w:t>Wie bereits erwähnt (siehe</w:t>
      </w:r>
      <w:r w:rsidR="00813F7B">
        <w:rPr>
          <w:rFonts w:cs="Arial"/>
          <w:sz w:val="22"/>
          <w:szCs w:val="22"/>
        </w:rPr>
        <w:t xml:space="preserve"> Punkt 1 Generelles), sind </w:t>
      </w:r>
      <w:r w:rsidRPr="004254C8">
        <w:rPr>
          <w:rFonts w:cs="Arial"/>
          <w:sz w:val="22"/>
          <w:szCs w:val="22"/>
        </w:rPr>
        <w:t xml:space="preserve">auch </w:t>
      </w:r>
      <w:r w:rsidR="00813F7B">
        <w:rPr>
          <w:rFonts w:cs="Arial"/>
          <w:sz w:val="22"/>
          <w:szCs w:val="22"/>
        </w:rPr>
        <w:t xml:space="preserve">hier </w:t>
      </w:r>
      <w:r w:rsidRPr="004254C8">
        <w:rPr>
          <w:rFonts w:cs="Arial"/>
          <w:sz w:val="22"/>
          <w:szCs w:val="22"/>
        </w:rPr>
        <w:t>teilweise Antworten bzw. B</w:t>
      </w:r>
      <w:r w:rsidRPr="004254C8">
        <w:rPr>
          <w:rFonts w:cs="Arial"/>
          <w:sz w:val="22"/>
          <w:szCs w:val="22"/>
        </w:rPr>
        <w:t>e</w:t>
      </w:r>
      <w:r w:rsidRPr="004254C8">
        <w:rPr>
          <w:rFonts w:cs="Arial"/>
          <w:sz w:val="22"/>
          <w:szCs w:val="22"/>
        </w:rPr>
        <w:t xml:space="preserve">schreibungen notwendig. </w:t>
      </w:r>
    </w:p>
    <w:p w:rsidR="00616694" w:rsidRPr="004254C8" w:rsidRDefault="00616694" w:rsidP="00616694">
      <w:pPr>
        <w:rPr>
          <w:rFonts w:cs="Arial"/>
          <w:sz w:val="22"/>
          <w:szCs w:val="22"/>
        </w:rPr>
      </w:pPr>
    </w:p>
    <w:p w:rsidR="00616694" w:rsidRPr="004254C8" w:rsidRDefault="00F629B7" w:rsidP="00616694">
      <w:pPr>
        <w:rPr>
          <w:rFonts w:cs="Arial"/>
          <w:b/>
          <w:sz w:val="22"/>
          <w:szCs w:val="22"/>
        </w:rPr>
      </w:pPr>
      <w:r>
        <w:rPr>
          <w:rFonts w:cs="Arial"/>
          <w:b/>
          <w:sz w:val="22"/>
          <w:szCs w:val="22"/>
        </w:rPr>
        <w:t>File Review</w:t>
      </w:r>
    </w:p>
    <w:p w:rsidR="00616694" w:rsidRPr="004254C8" w:rsidRDefault="00616694" w:rsidP="00616694">
      <w:pPr>
        <w:rPr>
          <w:rFonts w:cs="Arial"/>
          <w:sz w:val="22"/>
          <w:szCs w:val="22"/>
        </w:rPr>
      </w:pPr>
      <w:r w:rsidRPr="004254C8">
        <w:rPr>
          <w:rFonts w:cs="Arial"/>
          <w:sz w:val="22"/>
          <w:szCs w:val="22"/>
        </w:rPr>
        <w:t xml:space="preserve">Das Dokument dient der Prüfung einer einzelnen Geschäftsbeziehung. Es besteht aus einem Deckblatt (Übersicht über die geprüfte Geschäftsbeziehung) sowie der Abfrage der einzelnen im SPG und in der SPV stipulierten Bestimmungen hinsichtlich </w:t>
      </w:r>
      <w:r w:rsidR="00D1641D">
        <w:rPr>
          <w:rFonts w:cs="Arial"/>
          <w:sz w:val="22"/>
          <w:szCs w:val="22"/>
        </w:rPr>
        <w:t xml:space="preserve">bspw. </w:t>
      </w:r>
      <w:r w:rsidRPr="004254C8">
        <w:rPr>
          <w:rFonts w:cs="Arial"/>
          <w:sz w:val="22"/>
          <w:szCs w:val="22"/>
        </w:rPr>
        <w:t>vereinfachte und verstärkte Sorgfaltspflichten, Vertragspartner, wirtschaftlich berechtigte Person, Geschäftsprofil sowie ris</w:t>
      </w:r>
      <w:r w:rsidRPr="004254C8">
        <w:rPr>
          <w:rFonts w:cs="Arial"/>
          <w:sz w:val="22"/>
          <w:szCs w:val="22"/>
        </w:rPr>
        <w:t>i</w:t>
      </w:r>
      <w:r w:rsidRPr="004254C8">
        <w:rPr>
          <w:rFonts w:cs="Arial"/>
          <w:sz w:val="22"/>
          <w:szCs w:val="22"/>
        </w:rPr>
        <w:t>koadäquate Überwachung.</w:t>
      </w:r>
      <w:r w:rsidR="00D1641D">
        <w:rPr>
          <w:rFonts w:cs="Arial"/>
          <w:sz w:val="22"/>
          <w:szCs w:val="22"/>
        </w:rPr>
        <w:t xml:space="preserve"> Dieses Dokument kann bereichsspezifische Ergänzungen enthalten.</w:t>
      </w:r>
    </w:p>
    <w:p w:rsidR="00616694" w:rsidRPr="004254C8" w:rsidRDefault="00616694" w:rsidP="00616694">
      <w:pPr>
        <w:rPr>
          <w:rFonts w:cs="Arial"/>
          <w:sz w:val="22"/>
          <w:szCs w:val="22"/>
        </w:rPr>
      </w:pPr>
    </w:p>
    <w:p w:rsidR="00616694" w:rsidRPr="004254C8" w:rsidRDefault="00616694" w:rsidP="00616694">
      <w:pPr>
        <w:rPr>
          <w:rFonts w:cs="Arial"/>
          <w:sz w:val="22"/>
          <w:szCs w:val="22"/>
        </w:rPr>
      </w:pPr>
      <w:r w:rsidRPr="004254C8">
        <w:rPr>
          <w:rFonts w:cs="Arial"/>
          <w:sz w:val="22"/>
          <w:szCs w:val="22"/>
        </w:rPr>
        <w:t>Generell ist festzuhalten, dass es in diesen Arbeitspapieren Fragen gibt, die offensichtlich nur im Hinblick auf die vorgenommene Stichprobe zu beantworten sind. Da es sich bei den Sorgfalt</w:t>
      </w:r>
      <w:r w:rsidRPr="004254C8">
        <w:rPr>
          <w:rFonts w:cs="Arial"/>
          <w:sz w:val="22"/>
          <w:szCs w:val="22"/>
        </w:rPr>
        <w:t>s</w:t>
      </w:r>
      <w:r w:rsidRPr="004254C8">
        <w:rPr>
          <w:rFonts w:cs="Arial"/>
          <w:sz w:val="22"/>
          <w:szCs w:val="22"/>
        </w:rPr>
        <w:t>pflichtkontrollen um keine Vollprüfungen handelt, sondern j</w:t>
      </w:r>
      <w:r w:rsidRPr="004254C8">
        <w:rPr>
          <w:rFonts w:cs="Arial"/>
          <w:sz w:val="22"/>
          <w:szCs w:val="22"/>
        </w:rPr>
        <w:t>e</w:t>
      </w:r>
      <w:r w:rsidRPr="004254C8">
        <w:rPr>
          <w:rFonts w:cs="Arial"/>
          <w:sz w:val="22"/>
          <w:szCs w:val="22"/>
        </w:rPr>
        <w:t>weils nur eine Stichprobe gezogen und geprüft wird, kann sich die Antwort auf diese Frage auch nur auf die geprüften Geschäftsb</w:t>
      </w:r>
      <w:r w:rsidRPr="004254C8">
        <w:rPr>
          <w:rFonts w:cs="Arial"/>
          <w:sz w:val="22"/>
          <w:szCs w:val="22"/>
        </w:rPr>
        <w:t>e</w:t>
      </w:r>
      <w:r w:rsidRPr="004254C8">
        <w:rPr>
          <w:rFonts w:cs="Arial"/>
          <w:sz w:val="22"/>
          <w:szCs w:val="22"/>
        </w:rPr>
        <w:t>ziehungen beziehen.</w:t>
      </w:r>
    </w:p>
    <w:p w:rsidR="00616694" w:rsidRPr="004254C8" w:rsidRDefault="00616694" w:rsidP="00616694">
      <w:pPr>
        <w:rPr>
          <w:rFonts w:cs="Arial"/>
          <w:sz w:val="22"/>
          <w:szCs w:val="22"/>
        </w:rPr>
      </w:pPr>
    </w:p>
    <w:p w:rsidR="00222F48" w:rsidRPr="004254C8" w:rsidRDefault="00222F48" w:rsidP="004254C8">
      <w:pPr>
        <w:pStyle w:val="Textkrper2"/>
      </w:pPr>
    </w:p>
    <w:p w:rsidR="00616694" w:rsidRDefault="00616694" w:rsidP="00616694">
      <w:pPr>
        <w:ind w:left="567" w:hanging="567"/>
        <w:rPr>
          <w:rFonts w:cs="Arial"/>
          <w:b/>
          <w:sz w:val="22"/>
          <w:szCs w:val="22"/>
        </w:rPr>
      </w:pPr>
    </w:p>
    <w:p w:rsidR="00616694" w:rsidRPr="004254C8" w:rsidRDefault="00616694" w:rsidP="00616694">
      <w:pPr>
        <w:ind w:left="567" w:hanging="567"/>
        <w:rPr>
          <w:rFonts w:cs="Arial"/>
          <w:b/>
          <w:sz w:val="22"/>
          <w:szCs w:val="22"/>
        </w:rPr>
      </w:pPr>
      <w:r w:rsidRPr="004254C8">
        <w:rPr>
          <w:rFonts w:cs="Arial"/>
          <w:b/>
          <w:sz w:val="22"/>
          <w:szCs w:val="22"/>
        </w:rPr>
        <w:t xml:space="preserve">3. </w:t>
      </w:r>
      <w:r w:rsidRPr="004254C8">
        <w:rPr>
          <w:rFonts w:cs="Arial"/>
          <w:b/>
          <w:sz w:val="22"/>
          <w:szCs w:val="22"/>
        </w:rPr>
        <w:tab/>
        <w:t>Fragen/Anregungen</w:t>
      </w:r>
    </w:p>
    <w:p w:rsidR="00616694" w:rsidRPr="004254C8" w:rsidRDefault="00616694" w:rsidP="00616694">
      <w:pPr>
        <w:rPr>
          <w:rFonts w:cs="Arial"/>
          <w:sz w:val="22"/>
          <w:szCs w:val="22"/>
        </w:rPr>
      </w:pPr>
    </w:p>
    <w:p w:rsidR="00616694" w:rsidRDefault="00616694" w:rsidP="00616694">
      <w:pPr>
        <w:rPr>
          <w:rFonts w:cs="Arial"/>
          <w:sz w:val="22"/>
          <w:szCs w:val="22"/>
        </w:rPr>
      </w:pPr>
      <w:r w:rsidRPr="004254C8">
        <w:rPr>
          <w:rFonts w:cs="Arial"/>
          <w:sz w:val="22"/>
          <w:szCs w:val="22"/>
        </w:rPr>
        <w:t>Sollten Sie Fragen oder Anregungen bezüglich der zur Verfügung gestellten Arbeitspapiere h</w:t>
      </w:r>
      <w:r w:rsidRPr="004254C8">
        <w:rPr>
          <w:rFonts w:cs="Arial"/>
          <w:sz w:val="22"/>
          <w:szCs w:val="22"/>
        </w:rPr>
        <w:t>a</w:t>
      </w:r>
      <w:r w:rsidRPr="004254C8">
        <w:rPr>
          <w:rFonts w:cs="Arial"/>
          <w:sz w:val="22"/>
          <w:szCs w:val="22"/>
        </w:rPr>
        <w:t xml:space="preserve">ben, übermitteln Sie diese bitte an </w:t>
      </w:r>
      <w:hyperlink r:id="rId9" w:history="1">
        <w:r w:rsidR="00F629B7" w:rsidRPr="00F629B7">
          <w:rPr>
            <w:rStyle w:val="Hyperlink"/>
            <w:rFonts w:cs="Arial"/>
            <w:sz w:val="22"/>
            <w:szCs w:val="22"/>
          </w:rPr>
          <w:t>meldewesen@fma-li.li</w:t>
        </w:r>
      </w:hyperlink>
      <w:r w:rsidR="00F629B7">
        <w:rPr>
          <w:rFonts w:cs="Arial"/>
          <w:sz w:val="22"/>
          <w:szCs w:val="22"/>
        </w:rPr>
        <w:t>.</w:t>
      </w:r>
    </w:p>
    <w:p w:rsidR="004254C8" w:rsidRDefault="004254C8" w:rsidP="00616694">
      <w:pPr>
        <w:rPr>
          <w:rFonts w:cs="Arial"/>
          <w:sz w:val="22"/>
          <w:szCs w:val="22"/>
        </w:rPr>
      </w:pPr>
    </w:p>
    <w:p w:rsidR="004254C8" w:rsidRPr="004254C8" w:rsidRDefault="003E2268" w:rsidP="00616694">
      <w:pPr>
        <w:rPr>
          <w:rFonts w:cs="Arial"/>
          <w:sz w:val="22"/>
          <w:szCs w:val="22"/>
        </w:rPr>
      </w:pPr>
      <w:r>
        <w:rPr>
          <w:rFonts w:cs="Arial"/>
          <w:sz w:val="22"/>
          <w:szCs w:val="22"/>
        </w:rPr>
        <w:t>31</w:t>
      </w:r>
      <w:bookmarkStart w:id="0" w:name="_GoBack"/>
      <w:bookmarkEnd w:id="0"/>
      <w:r w:rsidR="00B463DF">
        <w:rPr>
          <w:rFonts w:cs="Arial"/>
          <w:sz w:val="22"/>
          <w:szCs w:val="22"/>
        </w:rPr>
        <w:t>.0</w:t>
      </w:r>
      <w:r w:rsidR="00F629B7">
        <w:rPr>
          <w:rFonts w:cs="Arial"/>
          <w:sz w:val="22"/>
          <w:szCs w:val="22"/>
        </w:rPr>
        <w:t>3</w:t>
      </w:r>
      <w:r w:rsidR="00B463DF">
        <w:rPr>
          <w:rFonts w:cs="Arial"/>
          <w:sz w:val="22"/>
          <w:szCs w:val="22"/>
        </w:rPr>
        <w:t>.20</w:t>
      </w:r>
      <w:r w:rsidR="00F629B7">
        <w:rPr>
          <w:rFonts w:cs="Arial"/>
          <w:sz w:val="22"/>
          <w:szCs w:val="22"/>
        </w:rPr>
        <w:t>20</w:t>
      </w:r>
      <w:r w:rsidR="00920E0F">
        <w:rPr>
          <w:rFonts w:cs="Arial"/>
          <w:sz w:val="22"/>
          <w:szCs w:val="22"/>
        </w:rPr>
        <w:t>/Finanzmarktaufsicht Liechtenstein</w:t>
      </w:r>
    </w:p>
    <w:p w:rsidR="00616694" w:rsidRPr="004254C8" w:rsidRDefault="00616694" w:rsidP="00A16E69">
      <w:pPr>
        <w:rPr>
          <w:rFonts w:cs="Arial"/>
          <w:sz w:val="22"/>
          <w:szCs w:val="22"/>
        </w:rPr>
      </w:pPr>
    </w:p>
    <w:sectPr w:rsidR="00616694" w:rsidRPr="004254C8" w:rsidSect="0097306A">
      <w:headerReference w:type="even" r:id="rId10"/>
      <w:headerReference w:type="default" r:id="rId11"/>
      <w:footerReference w:type="even" r:id="rId12"/>
      <w:footerReference w:type="default" r:id="rId13"/>
      <w:headerReference w:type="first" r:id="rId14"/>
      <w:footerReference w:type="first" r:id="rId15"/>
      <w:pgSz w:w="11900" w:h="16840" w:code="9"/>
      <w:pgMar w:top="2892" w:right="1191" w:bottom="1418" w:left="1191" w:header="851"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91" w:rsidRDefault="007D7091">
      <w:pPr>
        <w:spacing w:line="240" w:lineRule="auto"/>
      </w:pPr>
      <w:r>
        <w:separator/>
      </w:r>
    </w:p>
    <w:p w:rsidR="007D7091" w:rsidRDefault="007D7091"/>
    <w:p w:rsidR="007D7091" w:rsidRDefault="007D7091"/>
    <w:p w:rsidR="007D7091" w:rsidRDefault="007D7091"/>
  </w:endnote>
  <w:endnote w:type="continuationSeparator" w:id="0">
    <w:p w:rsidR="007D7091" w:rsidRDefault="007D7091">
      <w:pPr>
        <w:spacing w:line="240" w:lineRule="auto"/>
      </w:pPr>
      <w:r>
        <w:continuationSeparator/>
      </w:r>
    </w:p>
    <w:p w:rsidR="007D7091" w:rsidRDefault="007D7091"/>
    <w:p w:rsidR="007D7091" w:rsidRDefault="007D7091"/>
    <w:p w:rsidR="007D7091" w:rsidRDefault="007D7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26" w:rsidRDefault="00BD4B26"/>
  <w:p w:rsidR="00BD4B26" w:rsidRDefault="00BD4B26"/>
  <w:p w:rsidR="00BD4B26" w:rsidRDefault="00BD4B26"/>
  <w:p w:rsidR="00BD4B26" w:rsidRDefault="00BD4B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26" w:rsidRDefault="00BD4B26" w:rsidP="0097306A">
    <w:pPr>
      <w:pStyle w:val="Fusszeile"/>
    </w:pPr>
    <w:r>
      <w:tab/>
    </w:r>
    <w:r>
      <w:tab/>
    </w:r>
    <w:r>
      <w:fldChar w:fldCharType="begin"/>
    </w:r>
    <w:r>
      <w:instrText xml:space="preserve"> PAGE </w:instrText>
    </w:r>
    <w:r>
      <w:fldChar w:fldCharType="separate"/>
    </w:r>
    <w:r w:rsidR="003E2268">
      <w:rPr>
        <w:noProof/>
      </w:rPr>
      <w:t>3</w:t>
    </w:r>
    <w:r>
      <w:fldChar w:fldCharType="end"/>
    </w:r>
    <w:r>
      <w:t xml:space="preserve"> / </w:t>
    </w:r>
    <w:r>
      <w:fldChar w:fldCharType="begin"/>
    </w:r>
    <w:r>
      <w:instrText xml:space="preserve"> NUMPAGES </w:instrText>
    </w:r>
    <w:r>
      <w:fldChar w:fldCharType="separate"/>
    </w:r>
    <w:r w:rsidR="003E226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26" w:rsidRPr="00312546" w:rsidRDefault="00BD4B26" w:rsidP="0097306A">
    <w:pPr>
      <w:pStyle w:val="Fusszeile"/>
      <w:rPr>
        <w:sz w:val="16"/>
        <w:szCs w:val="16"/>
      </w:rPr>
    </w:pPr>
    <w:r>
      <w:tab/>
    </w:r>
    <w:proofErr w:type="spellStart"/>
    <w:r w:rsidR="00942428" w:rsidRPr="00312546">
      <w:rPr>
        <w:sz w:val="16"/>
        <w:szCs w:val="16"/>
      </w:rPr>
      <w:t>Landstrasse</w:t>
    </w:r>
    <w:proofErr w:type="spellEnd"/>
    <w:r w:rsidR="00942428" w:rsidRPr="00312546">
      <w:rPr>
        <w:sz w:val="16"/>
        <w:szCs w:val="16"/>
      </w:rPr>
      <w:t xml:space="preserve"> 109</w:t>
    </w:r>
    <w:r w:rsidRPr="00312546">
      <w:rPr>
        <w:sz w:val="16"/>
        <w:szCs w:val="16"/>
      </w:rPr>
      <w:t xml:space="preserve"> • Postfach 279 • 9490 Vaduz • Liechtenstein</w:t>
    </w:r>
  </w:p>
  <w:p w:rsidR="00BD4B26" w:rsidRPr="00312546" w:rsidRDefault="00BD4B26" w:rsidP="0097306A">
    <w:pPr>
      <w:pStyle w:val="Fusszeile"/>
      <w:rPr>
        <w:sz w:val="16"/>
        <w:szCs w:val="16"/>
      </w:rPr>
    </w:pPr>
    <w:r w:rsidRPr="00312546">
      <w:rPr>
        <w:sz w:val="16"/>
        <w:szCs w:val="16"/>
      </w:rPr>
      <w:tab/>
      <w:t xml:space="preserve">Telefon </w:t>
    </w:r>
    <w:smartTag w:uri="urn:schemas-microsoft-com:office:smarttags" w:element="phone">
      <w:smartTagPr>
        <w:attr w:uri="urn:schemas-microsoft-com:office:office" w:name="ls" w:val="trans"/>
      </w:smartTagPr>
      <w:r w:rsidRPr="00312546">
        <w:rPr>
          <w:sz w:val="16"/>
          <w:szCs w:val="16"/>
        </w:rPr>
        <w:t>+423 236 73 73</w:t>
      </w:r>
    </w:smartTag>
    <w:r w:rsidRPr="00312546">
      <w:rPr>
        <w:sz w:val="16"/>
        <w:szCs w:val="16"/>
      </w:rPr>
      <w:t xml:space="preserve"> • Telefax </w:t>
    </w:r>
    <w:smartTag w:uri="urn:schemas-microsoft-com:office:smarttags" w:element="phone">
      <w:smartTagPr>
        <w:attr w:uri="urn:schemas-microsoft-com:office:office" w:name="ls" w:val="trans"/>
      </w:smartTagPr>
      <w:r w:rsidRPr="00312546">
        <w:rPr>
          <w:sz w:val="16"/>
          <w:szCs w:val="16"/>
        </w:rPr>
        <w:t>+423 236 73 74</w:t>
      </w:r>
    </w:smartTag>
    <w:r w:rsidRPr="00312546">
      <w:rPr>
        <w:sz w:val="16"/>
        <w:szCs w:val="16"/>
      </w:rPr>
      <w:t xml:space="preserve"> • www.fma-li.li • info@fma-li.li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91" w:rsidRDefault="007D7091">
      <w:pPr>
        <w:spacing w:line="240" w:lineRule="auto"/>
      </w:pPr>
      <w:r>
        <w:separator/>
      </w:r>
    </w:p>
  </w:footnote>
  <w:footnote w:type="continuationSeparator" w:id="0">
    <w:p w:rsidR="007D7091" w:rsidRDefault="007D7091">
      <w:pPr>
        <w:spacing w:line="240" w:lineRule="auto"/>
      </w:pPr>
      <w:r>
        <w:continuationSeparator/>
      </w:r>
    </w:p>
    <w:p w:rsidR="007D7091" w:rsidRDefault="007D7091"/>
    <w:p w:rsidR="007D7091" w:rsidRDefault="007D7091"/>
    <w:p w:rsidR="007D7091" w:rsidRDefault="007D7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26" w:rsidRDefault="00BD4B26"/>
  <w:p w:rsidR="00BD4B26" w:rsidRDefault="00BD4B26"/>
  <w:p w:rsidR="00BD4B26" w:rsidRDefault="00BD4B26"/>
  <w:p w:rsidR="00BD4B26" w:rsidRDefault="00BD4B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26" w:rsidRDefault="00433D2B">
    <w:pPr>
      <w:pStyle w:val="Kopfzeile"/>
    </w:pPr>
    <w:r>
      <w:rPr>
        <w:noProof/>
        <w:lang w:val="de-CH" w:eastAsia="de-CH"/>
      </w:rPr>
      <w:drawing>
        <wp:anchor distT="0" distB="0" distL="114300" distR="114300" simplePos="0" relativeHeight="251658240" behindDoc="0" locked="0" layoutInCell="1" allowOverlap="1">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B26" w:rsidRDefault="00BD4B26"/>
  <w:p w:rsidR="00BD4B26" w:rsidRDefault="00BD4B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B26" w:rsidRDefault="00433D2B">
    <w:pPr>
      <w:pStyle w:val="Kopfzeile"/>
    </w:pPr>
    <w:r>
      <w:rPr>
        <w:noProof/>
        <w:lang w:val="de-CH" w:eastAsia="de-CH"/>
      </w:rPr>
      <w:drawing>
        <wp:anchor distT="0" distB="0" distL="114300" distR="114300" simplePos="0" relativeHeight="251657216" behindDoc="0" locked="0" layoutInCell="1" allowOverlap="1">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F8CB8A"/>
    <w:lvl w:ilvl="0">
      <w:start w:val="1"/>
      <w:numFmt w:val="decimal"/>
      <w:lvlText w:val="%1."/>
      <w:lvlJc w:val="left"/>
      <w:pPr>
        <w:tabs>
          <w:tab w:val="num" w:pos="1492"/>
        </w:tabs>
        <w:ind w:left="1492" w:hanging="360"/>
      </w:pPr>
    </w:lvl>
  </w:abstractNum>
  <w:abstractNum w:abstractNumId="1">
    <w:nsid w:val="FFFFFF7D"/>
    <w:multiLevelType w:val="singleLevel"/>
    <w:tmpl w:val="9126EE1E"/>
    <w:lvl w:ilvl="0">
      <w:start w:val="1"/>
      <w:numFmt w:val="decimal"/>
      <w:lvlText w:val="%1."/>
      <w:lvlJc w:val="left"/>
      <w:pPr>
        <w:tabs>
          <w:tab w:val="num" w:pos="1209"/>
        </w:tabs>
        <w:ind w:left="1209" w:hanging="360"/>
      </w:pPr>
    </w:lvl>
  </w:abstractNum>
  <w:abstractNum w:abstractNumId="2">
    <w:nsid w:val="FFFFFF7E"/>
    <w:multiLevelType w:val="singleLevel"/>
    <w:tmpl w:val="D0EEF398"/>
    <w:lvl w:ilvl="0">
      <w:start w:val="1"/>
      <w:numFmt w:val="decimal"/>
      <w:lvlText w:val="%1."/>
      <w:lvlJc w:val="left"/>
      <w:pPr>
        <w:tabs>
          <w:tab w:val="num" w:pos="926"/>
        </w:tabs>
        <w:ind w:left="926" w:hanging="360"/>
      </w:pPr>
    </w:lvl>
  </w:abstractNum>
  <w:abstractNum w:abstractNumId="3">
    <w:nsid w:val="FFFFFF7F"/>
    <w:multiLevelType w:val="singleLevel"/>
    <w:tmpl w:val="AE30FA94"/>
    <w:lvl w:ilvl="0">
      <w:start w:val="1"/>
      <w:numFmt w:val="decimal"/>
      <w:lvlText w:val="%1."/>
      <w:lvlJc w:val="left"/>
      <w:pPr>
        <w:tabs>
          <w:tab w:val="num" w:pos="643"/>
        </w:tabs>
        <w:ind w:left="643" w:hanging="360"/>
      </w:pPr>
    </w:lvl>
  </w:abstractNum>
  <w:abstractNum w:abstractNumId="4">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4">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5">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nsid w:val="6E0F0FD0"/>
    <w:multiLevelType w:val="hybridMultilevel"/>
    <w:tmpl w:val="0396CF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8">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13"/>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4"/>
  </w:num>
  <w:num w:numId="18">
    <w:abstractNumId w:val="12"/>
  </w:num>
  <w:num w:numId="19">
    <w:abstractNumId w:val="17"/>
  </w:num>
  <w:num w:numId="20">
    <w:abstractNumId w:val="10"/>
  </w:num>
  <w:num w:numId="21">
    <w:abstractNumId w:val="11"/>
  </w:num>
  <w:num w:numId="22">
    <w:abstractNumId w:val="14"/>
    <w:lvlOverride w:ilvl="0">
      <w:startOverride w:val="1"/>
    </w:lvlOverride>
  </w:num>
  <w:num w:numId="23">
    <w:abstractNumId w:val="15"/>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FF"/>
    <w:rsid w:val="00000877"/>
    <w:rsid w:val="0001160B"/>
    <w:rsid w:val="00011EF6"/>
    <w:rsid w:val="000152AF"/>
    <w:rsid w:val="00023309"/>
    <w:rsid w:val="00025B08"/>
    <w:rsid w:val="00034612"/>
    <w:rsid w:val="00040928"/>
    <w:rsid w:val="00055736"/>
    <w:rsid w:val="00073FB0"/>
    <w:rsid w:val="0007564F"/>
    <w:rsid w:val="00092CCB"/>
    <w:rsid w:val="0009740D"/>
    <w:rsid w:val="000A50B1"/>
    <w:rsid w:val="000A69E2"/>
    <w:rsid w:val="000B5F0B"/>
    <w:rsid w:val="000B6394"/>
    <w:rsid w:val="000C2246"/>
    <w:rsid w:val="000D6E98"/>
    <w:rsid w:val="0010791B"/>
    <w:rsid w:val="00111096"/>
    <w:rsid w:val="001407A6"/>
    <w:rsid w:val="00146A9A"/>
    <w:rsid w:val="00150FD7"/>
    <w:rsid w:val="00153278"/>
    <w:rsid w:val="001535F7"/>
    <w:rsid w:val="00164EAC"/>
    <w:rsid w:val="0016772D"/>
    <w:rsid w:val="001750B7"/>
    <w:rsid w:val="00181C44"/>
    <w:rsid w:val="00196FBB"/>
    <w:rsid w:val="001C304B"/>
    <w:rsid w:val="001D12B6"/>
    <w:rsid w:val="001D4BA0"/>
    <w:rsid w:val="001E1713"/>
    <w:rsid w:val="001F0591"/>
    <w:rsid w:val="00203BB4"/>
    <w:rsid w:val="0021369E"/>
    <w:rsid w:val="00222F48"/>
    <w:rsid w:val="0023701C"/>
    <w:rsid w:val="0027274A"/>
    <w:rsid w:val="00275409"/>
    <w:rsid w:val="0027719B"/>
    <w:rsid w:val="002869E7"/>
    <w:rsid w:val="0028754A"/>
    <w:rsid w:val="002A0196"/>
    <w:rsid w:val="002A1060"/>
    <w:rsid w:val="002A5BFC"/>
    <w:rsid w:val="002B11F4"/>
    <w:rsid w:val="002B5F80"/>
    <w:rsid w:val="002C66A7"/>
    <w:rsid w:val="002E1311"/>
    <w:rsid w:val="002F1663"/>
    <w:rsid w:val="002F7D07"/>
    <w:rsid w:val="00300F5C"/>
    <w:rsid w:val="00306D06"/>
    <w:rsid w:val="00312546"/>
    <w:rsid w:val="0033332C"/>
    <w:rsid w:val="00334A28"/>
    <w:rsid w:val="0034284A"/>
    <w:rsid w:val="003435FE"/>
    <w:rsid w:val="00360A3D"/>
    <w:rsid w:val="00367553"/>
    <w:rsid w:val="0037610B"/>
    <w:rsid w:val="003852A4"/>
    <w:rsid w:val="003912C8"/>
    <w:rsid w:val="00394C2C"/>
    <w:rsid w:val="003951EC"/>
    <w:rsid w:val="003A477D"/>
    <w:rsid w:val="003C511D"/>
    <w:rsid w:val="003E2268"/>
    <w:rsid w:val="003E3BF4"/>
    <w:rsid w:val="003E52C9"/>
    <w:rsid w:val="003F334C"/>
    <w:rsid w:val="003F5F68"/>
    <w:rsid w:val="004006B4"/>
    <w:rsid w:val="00407833"/>
    <w:rsid w:val="00412BEA"/>
    <w:rsid w:val="00412E28"/>
    <w:rsid w:val="00425016"/>
    <w:rsid w:val="004254C8"/>
    <w:rsid w:val="0042679B"/>
    <w:rsid w:val="00433D2B"/>
    <w:rsid w:val="004501A4"/>
    <w:rsid w:val="00455B93"/>
    <w:rsid w:val="00477365"/>
    <w:rsid w:val="00490CCE"/>
    <w:rsid w:val="004C1119"/>
    <w:rsid w:val="004D4533"/>
    <w:rsid w:val="004F0499"/>
    <w:rsid w:val="004F2137"/>
    <w:rsid w:val="004F5C67"/>
    <w:rsid w:val="0050115A"/>
    <w:rsid w:val="00507308"/>
    <w:rsid w:val="00521813"/>
    <w:rsid w:val="0052199E"/>
    <w:rsid w:val="00534ABE"/>
    <w:rsid w:val="005406A2"/>
    <w:rsid w:val="0055359C"/>
    <w:rsid w:val="00564AA4"/>
    <w:rsid w:val="00570C65"/>
    <w:rsid w:val="00584710"/>
    <w:rsid w:val="0059258C"/>
    <w:rsid w:val="005927FA"/>
    <w:rsid w:val="005965D1"/>
    <w:rsid w:val="005B2F38"/>
    <w:rsid w:val="005C5DC8"/>
    <w:rsid w:val="005D57F4"/>
    <w:rsid w:val="005F41F4"/>
    <w:rsid w:val="00603069"/>
    <w:rsid w:val="00616694"/>
    <w:rsid w:val="00616DE4"/>
    <w:rsid w:val="00617B9D"/>
    <w:rsid w:val="00623F96"/>
    <w:rsid w:val="00624384"/>
    <w:rsid w:val="006302C5"/>
    <w:rsid w:val="00647996"/>
    <w:rsid w:val="0065267C"/>
    <w:rsid w:val="00652BAC"/>
    <w:rsid w:val="00660137"/>
    <w:rsid w:val="00662E14"/>
    <w:rsid w:val="006709EB"/>
    <w:rsid w:val="00685AE9"/>
    <w:rsid w:val="006C2AC5"/>
    <w:rsid w:val="006C4B6D"/>
    <w:rsid w:val="006D4992"/>
    <w:rsid w:val="006E0496"/>
    <w:rsid w:val="006E1302"/>
    <w:rsid w:val="006E1F2D"/>
    <w:rsid w:val="006E32CD"/>
    <w:rsid w:val="00700934"/>
    <w:rsid w:val="00722297"/>
    <w:rsid w:val="0072254C"/>
    <w:rsid w:val="007251EB"/>
    <w:rsid w:val="0072710A"/>
    <w:rsid w:val="007300FF"/>
    <w:rsid w:val="00737BA9"/>
    <w:rsid w:val="007418E2"/>
    <w:rsid w:val="007465BF"/>
    <w:rsid w:val="0075553E"/>
    <w:rsid w:val="007604DA"/>
    <w:rsid w:val="00767E6E"/>
    <w:rsid w:val="00790479"/>
    <w:rsid w:val="007911BE"/>
    <w:rsid w:val="007A221D"/>
    <w:rsid w:val="007A7CE4"/>
    <w:rsid w:val="007B6522"/>
    <w:rsid w:val="007D7091"/>
    <w:rsid w:val="007E2C04"/>
    <w:rsid w:val="007F0F5C"/>
    <w:rsid w:val="00805811"/>
    <w:rsid w:val="00812D0D"/>
    <w:rsid w:val="00813F7B"/>
    <w:rsid w:val="0082757F"/>
    <w:rsid w:val="008346CC"/>
    <w:rsid w:val="0084093F"/>
    <w:rsid w:val="00843327"/>
    <w:rsid w:val="008506FC"/>
    <w:rsid w:val="00852206"/>
    <w:rsid w:val="0086612A"/>
    <w:rsid w:val="008704B2"/>
    <w:rsid w:val="0087631C"/>
    <w:rsid w:val="00884792"/>
    <w:rsid w:val="008A6612"/>
    <w:rsid w:val="008A7A7B"/>
    <w:rsid w:val="008B6023"/>
    <w:rsid w:val="008C480F"/>
    <w:rsid w:val="008D0D7A"/>
    <w:rsid w:val="008E1EE3"/>
    <w:rsid w:val="008F502C"/>
    <w:rsid w:val="00901D27"/>
    <w:rsid w:val="009041A2"/>
    <w:rsid w:val="00916B68"/>
    <w:rsid w:val="00917C3E"/>
    <w:rsid w:val="00920E0F"/>
    <w:rsid w:val="00921F65"/>
    <w:rsid w:val="00927059"/>
    <w:rsid w:val="00940A6B"/>
    <w:rsid w:val="00942428"/>
    <w:rsid w:val="00945FAF"/>
    <w:rsid w:val="0096363F"/>
    <w:rsid w:val="0097306A"/>
    <w:rsid w:val="009C667D"/>
    <w:rsid w:val="009D6688"/>
    <w:rsid w:val="009E35BC"/>
    <w:rsid w:val="00A063AE"/>
    <w:rsid w:val="00A10CD3"/>
    <w:rsid w:val="00A16E69"/>
    <w:rsid w:val="00A272AE"/>
    <w:rsid w:val="00A2747C"/>
    <w:rsid w:val="00A36C88"/>
    <w:rsid w:val="00A37ABF"/>
    <w:rsid w:val="00A47F7F"/>
    <w:rsid w:val="00A53917"/>
    <w:rsid w:val="00A953ED"/>
    <w:rsid w:val="00AA085D"/>
    <w:rsid w:val="00AA41F6"/>
    <w:rsid w:val="00AC48ED"/>
    <w:rsid w:val="00AC4B73"/>
    <w:rsid w:val="00AD24ED"/>
    <w:rsid w:val="00AD3340"/>
    <w:rsid w:val="00AD6638"/>
    <w:rsid w:val="00AE14C3"/>
    <w:rsid w:val="00AE6571"/>
    <w:rsid w:val="00B0670A"/>
    <w:rsid w:val="00B10C5E"/>
    <w:rsid w:val="00B10E1C"/>
    <w:rsid w:val="00B228BC"/>
    <w:rsid w:val="00B24139"/>
    <w:rsid w:val="00B302A1"/>
    <w:rsid w:val="00B329AB"/>
    <w:rsid w:val="00B36963"/>
    <w:rsid w:val="00B374FE"/>
    <w:rsid w:val="00B46202"/>
    <w:rsid w:val="00B463DF"/>
    <w:rsid w:val="00B47A89"/>
    <w:rsid w:val="00B67A34"/>
    <w:rsid w:val="00B67E1D"/>
    <w:rsid w:val="00B723D2"/>
    <w:rsid w:val="00B7453E"/>
    <w:rsid w:val="00BA4A5C"/>
    <w:rsid w:val="00BB5803"/>
    <w:rsid w:val="00BB6FDA"/>
    <w:rsid w:val="00BC6B80"/>
    <w:rsid w:val="00BD1221"/>
    <w:rsid w:val="00BD4B26"/>
    <w:rsid w:val="00BE1778"/>
    <w:rsid w:val="00BE7574"/>
    <w:rsid w:val="00C00E10"/>
    <w:rsid w:val="00C0582C"/>
    <w:rsid w:val="00C203B9"/>
    <w:rsid w:val="00C2574D"/>
    <w:rsid w:val="00C31E44"/>
    <w:rsid w:val="00C35D4E"/>
    <w:rsid w:val="00C41724"/>
    <w:rsid w:val="00C510DA"/>
    <w:rsid w:val="00C530E1"/>
    <w:rsid w:val="00C7503C"/>
    <w:rsid w:val="00C82BFA"/>
    <w:rsid w:val="00CA039E"/>
    <w:rsid w:val="00CA0887"/>
    <w:rsid w:val="00CB21B7"/>
    <w:rsid w:val="00CB5CB3"/>
    <w:rsid w:val="00CB670E"/>
    <w:rsid w:val="00CB76F1"/>
    <w:rsid w:val="00CB7F98"/>
    <w:rsid w:val="00CC078F"/>
    <w:rsid w:val="00CD59D1"/>
    <w:rsid w:val="00CD6052"/>
    <w:rsid w:val="00D0049C"/>
    <w:rsid w:val="00D12F69"/>
    <w:rsid w:val="00D1641D"/>
    <w:rsid w:val="00D350C7"/>
    <w:rsid w:val="00D43869"/>
    <w:rsid w:val="00D52657"/>
    <w:rsid w:val="00D52BC2"/>
    <w:rsid w:val="00D71E4B"/>
    <w:rsid w:val="00D71EC6"/>
    <w:rsid w:val="00D76FBF"/>
    <w:rsid w:val="00D77AC0"/>
    <w:rsid w:val="00D830D8"/>
    <w:rsid w:val="00D971FE"/>
    <w:rsid w:val="00D97C10"/>
    <w:rsid w:val="00DB7F73"/>
    <w:rsid w:val="00DC2308"/>
    <w:rsid w:val="00DE0701"/>
    <w:rsid w:val="00DE23E6"/>
    <w:rsid w:val="00DE53D6"/>
    <w:rsid w:val="00DF2E0E"/>
    <w:rsid w:val="00DF3999"/>
    <w:rsid w:val="00E14BB7"/>
    <w:rsid w:val="00E37B93"/>
    <w:rsid w:val="00E42912"/>
    <w:rsid w:val="00E466CA"/>
    <w:rsid w:val="00E57B61"/>
    <w:rsid w:val="00E60231"/>
    <w:rsid w:val="00E6467D"/>
    <w:rsid w:val="00E77520"/>
    <w:rsid w:val="00E86C62"/>
    <w:rsid w:val="00E90CF0"/>
    <w:rsid w:val="00E945CA"/>
    <w:rsid w:val="00E97D1F"/>
    <w:rsid w:val="00EA7104"/>
    <w:rsid w:val="00EC3139"/>
    <w:rsid w:val="00ED120F"/>
    <w:rsid w:val="00F1232C"/>
    <w:rsid w:val="00F200BA"/>
    <w:rsid w:val="00F27E3E"/>
    <w:rsid w:val="00F40048"/>
    <w:rsid w:val="00F44022"/>
    <w:rsid w:val="00F46981"/>
    <w:rsid w:val="00F50C32"/>
    <w:rsid w:val="00F53C07"/>
    <w:rsid w:val="00F55A96"/>
    <w:rsid w:val="00F629B7"/>
    <w:rsid w:val="00F66071"/>
    <w:rsid w:val="00F7117C"/>
    <w:rsid w:val="00F719DD"/>
    <w:rsid w:val="00FB18A1"/>
    <w:rsid w:val="00FB5F9E"/>
    <w:rsid w:val="00FD16E0"/>
    <w:rsid w:val="00FD55F9"/>
    <w:rsid w:val="00FE44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Listenabsatz">
    <w:name w:val="List Paragraph"/>
    <w:basedOn w:val="Standard"/>
    <w:uiPriority w:val="34"/>
    <w:qFormat/>
    <w:rsid w:val="00616694"/>
    <w:pPr>
      <w:spacing w:after="280" w:line="280" w:lineRule="atLeast"/>
      <w:ind w:left="720"/>
      <w:contextualSpacing/>
      <w:jc w:val="left"/>
    </w:pPr>
    <w:rPr>
      <w:rFonts w:asciiTheme="minorHAnsi" w:eastAsiaTheme="minorHAnsi" w:hAnsiTheme="minorHAnsi" w:cstheme="minorBidi"/>
      <w:sz w:val="24"/>
    </w:rPr>
  </w:style>
  <w:style w:type="character" w:styleId="Kommentarzeichen">
    <w:name w:val="annotation reference"/>
    <w:basedOn w:val="Absatz-Standardschriftart"/>
    <w:uiPriority w:val="99"/>
    <w:semiHidden/>
    <w:unhideWhenUsed/>
    <w:rsid w:val="00616694"/>
    <w:rPr>
      <w:sz w:val="16"/>
      <w:szCs w:val="16"/>
    </w:rPr>
  </w:style>
  <w:style w:type="paragraph" w:styleId="Kommentartext">
    <w:name w:val="annotation text"/>
    <w:basedOn w:val="Standard"/>
    <w:link w:val="KommentartextZchn"/>
    <w:uiPriority w:val="99"/>
    <w:unhideWhenUsed/>
    <w:rsid w:val="00616694"/>
    <w:pPr>
      <w:spacing w:after="280" w:line="240" w:lineRule="auto"/>
      <w:jc w:val="left"/>
    </w:pPr>
    <w:rPr>
      <w:rFonts w:asciiTheme="minorHAnsi" w:eastAsiaTheme="minorHAnsi" w:hAnsiTheme="minorHAnsi" w:cstheme="minorBidi"/>
      <w:szCs w:val="20"/>
    </w:rPr>
  </w:style>
  <w:style w:type="character" w:customStyle="1" w:styleId="KommentartextZchn">
    <w:name w:val="Kommentartext Zchn"/>
    <w:basedOn w:val="Absatz-Standardschriftart"/>
    <w:link w:val="Kommentartext"/>
    <w:uiPriority w:val="99"/>
    <w:rsid w:val="00616694"/>
    <w:rPr>
      <w:rFonts w:asciiTheme="minorHAnsi" w:eastAsiaTheme="minorHAnsi" w:hAnsiTheme="minorHAnsi" w:cstheme="minorBidi"/>
      <w:lang w:val="de-DE" w:eastAsia="en-US"/>
    </w:rPr>
  </w:style>
  <w:style w:type="paragraph" w:styleId="Kommentarthema">
    <w:name w:val="annotation subject"/>
    <w:basedOn w:val="Kommentartext"/>
    <w:next w:val="Kommentartext"/>
    <w:link w:val="KommentarthemaZchn"/>
    <w:uiPriority w:val="99"/>
    <w:unhideWhenUsed/>
    <w:rsid w:val="00616694"/>
    <w:rPr>
      <w:b/>
      <w:bCs/>
    </w:rPr>
  </w:style>
  <w:style w:type="character" w:customStyle="1" w:styleId="KommentarthemaZchn">
    <w:name w:val="Kommentarthema Zchn"/>
    <w:basedOn w:val="KommentartextZchn"/>
    <w:link w:val="Kommentarthema"/>
    <w:uiPriority w:val="99"/>
    <w:rsid w:val="00616694"/>
    <w:rPr>
      <w:rFonts w:asciiTheme="minorHAnsi" w:eastAsiaTheme="minorHAnsi" w:hAnsiTheme="minorHAnsi" w:cstheme="minorBidi"/>
      <w:b/>
      <w:bCs/>
      <w:lang w:val="de-DE" w:eastAsia="en-US"/>
    </w:rPr>
  </w:style>
  <w:style w:type="paragraph" w:styleId="Textkrper">
    <w:name w:val="Body Text"/>
    <w:basedOn w:val="Standard"/>
    <w:link w:val="TextkrperZchn"/>
    <w:uiPriority w:val="99"/>
    <w:unhideWhenUsed/>
    <w:rsid w:val="00616694"/>
    <w:pPr>
      <w:jc w:val="left"/>
    </w:pPr>
    <w:rPr>
      <w:rFonts w:eastAsiaTheme="minorHAnsi" w:cs="Arial"/>
      <w:szCs w:val="20"/>
    </w:rPr>
  </w:style>
  <w:style w:type="character" w:customStyle="1" w:styleId="TextkrperZchn">
    <w:name w:val="Textkörper Zchn"/>
    <w:basedOn w:val="Absatz-Standardschriftart"/>
    <w:link w:val="Textkrper"/>
    <w:uiPriority w:val="99"/>
    <w:rsid w:val="00616694"/>
    <w:rPr>
      <w:rFonts w:ascii="Arial" w:eastAsiaTheme="minorHAnsi" w:hAnsi="Arial" w:cs="Arial"/>
      <w:lang w:val="de-DE" w:eastAsia="en-US"/>
    </w:rPr>
  </w:style>
  <w:style w:type="paragraph" w:styleId="Sprechblasentext">
    <w:name w:val="Balloon Text"/>
    <w:basedOn w:val="Standard"/>
    <w:link w:val="SprechblasentextZchn"/>
    <w:uiPriority w:val="99"/>
    <w:semiHidden/>
    <w:unhideWhenUsed/>
    <w:rsid w:val="0061669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6694"/>
    <w:rPr>
      <w:rFonts w:ascii="Tahoma" w:hAnsi="Tahoma" w:cs="Tahoma"/>
      <w:sz w:val="16"/>
      <w:szCs w:val="16"/>
      <w:lang w:val="de-DE" w:eastAsia="en-US"/>
    </w:rPr>
  </w:style>
  <w:style w:type="paragraph" w:styleId="Textkrper2">
    <w:name w:val="Body Text 2"/>
    <w:basedOn w:val="Standard"/>
    <w:link w:val="Textkrper2Zchn"/>
    <w:uiPriority w:val="99"/>
    <w:unhideWhenUsed/>
    <w:rsid w:val="004254C8"/>
    <w:rPr>
      <w:rFonts w:cs="Arial"/>
      <w:sz w:val="22"/>
      <w:szCs w:val="22"/>
    </w:rPr>
  </w:style>
  <w:style w:type="character" w:customStyle="1" w:styleId="Textkrper2Zchn">
    <w:name w:val="Textkörper 2 Zchn"/>
    <w:basedOn w:val="Absatz-Standardschriftart"/>
    <w:link w:val="Textkrper2"/>
    <w:uiPriority w:val="99"/>
    <w:rsid w:val="004254C8"/>
    <w:rPr>
      <w:rFonts w:ascii="Arial" w:hAnsi="Arial" w:cs="Arial"/>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Listenabsatz">
    <w:name w:val="List Paragraph"/>
    <w:basedOn w:val="Standard"/>
    <w:uiPriority w:val="34"/>
    <w:qFormat/>
    <w:rsid w:val="00616694"/>
    <w:pPr>
      <w:spacing w:after="280" w:line="280" w:lineRule="atLeast"/>
      <w:ind w:left="720"/>
      <w:contextualSpacing/>
      <w:jc w:val="left"/>
    </w:pPr>
    <w:rPr>
      <w:rFonts w:asciiTheme="minorHAnsi" w:eastAsiaTheme="minorHAnsi" w:hAnsiTheme="minorHAnsi" w:cstheme="minorBidi"/>
      <w:sz w:val="24"/>
    </w:rPr>
  </w:style>
  <w:style w:type="character" w:styleId="Kommentarzeichen">
    <w:name w:val="annotation reference"/>
    <w:basedOn w:val="Absatz-Standardschriftart"/>
    <w:uiPriority w:val="99"/>
    <w:semiHidden/>
    <w:unhideWhenUsed/>
    <w:rsid w:val="00616694"/>
    <w:rPr>
      <w:sz w:val="16"/>
      <w:szCs w:val="16"/>
    </w:rPr>
  </w:style>
  <w:style w:type="paragraph" w:styleId="Kommentartext">
    <w:name w:val="annotation text"/>
    <w:basedOn w:val="Standard"/>
    <w:link w:val="KommentartextZchn"/>
    <w:uiPriority w:val="99"/>
    <w:unhideWhenUsed/>
    <w:rsid w:val="00616694"/>
    <w:pPr>
      <w:spacing w:after="280" w:line="240" w:lineRule="auto"/>
      <w:jc w:val="left"/>
    </w:pPr>
    <w:rPr>
      <w:rFonts w:asciiTheme="minorHAnsi" w:eastAsiaTheme="minorHAnsi" w:hAnsiTheme="minorHAnsi" w:cstheme="minorBidi"/>
      <w:szCs w:val="20"/>
    </w:rPr>
  </w:style>
  <w:style w:type="character" w:customStyle="1" w:styleId="KommentartextZchn">
    <w:name w:val="Kommentartext Zchn"/>
    <w:basedOn w:val="Absatz-Standardschriftart"/>
    <w:link w:val="Kommentartext"/>
    <w:uiPriority w:val="99"/>
    <w:rsid w:val="00616694"/>
    <w:rPr>
      <w:rFonts w:asciiTheme="minorHAnsi" w:eastAsiaTheme="minorHAnsi" w:hAnsiTheme="minorHAnsi" w:cstheme="minorBidi"/>
      <w:lang w:val="de-DE" w:eastAsia="en-US"/>
    </w:rPr>
  </w:style>
  <w:style w:type="paragraph" w:styleId="Kommentarthema">
    <w:name w:val="annotation subject"/>
    <w:basedOn w:val="Kommentartext"/>
    <w:next w:val="Kommentartext"/>
    <w:link w:val="KommentarthemaZchn"/>
    <w:uiPriority w:val="99"/>
    <w:unhideWhenUsed/>
    <w:rsid w:val="00616694"/>
    <w:rPr>
      <w:b/>
      <w:bCs/>
    </w:rPr>
  </w:style>
  <w:style w:type="character" w:customStyle="1" w:styleId="KommentarthemaZchn">
    <w:name w:val="Kommentarthema Zchn"/>
    <w:basedOn w:val="KommentartextZchn"/>
    <w:link w:val="Kommentarthema"/>
    <w:uiPriority w:val="99"/>
    <w:rsid w:val="00616694"/>
    <w:rPr>
      <w:rFonts w:asciiTheme="minorHAnsi" w:eastAsiaTheme="minorHAnsi" w:hAnsiTheme="minorHAnsi" w:cstheme="minorBidi"/>
      <w:b/>
      <w:bCs/>
      <w:lang w:val="de-DE" w:eastAsia="en-US"/>
    </w:rPr>
  </w:style>
  <w:style w:type="paragraph" w:styleId="Textkrper">
    <w:name w:val="Body Text"/>
    <w:basedOn w:val="Standard"/>
    <w:link w:val="TextkrperZchn"/>
    <w:uiPriority w:val="99"/>
    <w:unhideWhenUsed/>
    <w:rsid w:val="00616694"/>
    <w:pPr>
      <w:jc w:val="left"/>
    </w:pPr>
    <w:rPr>
      <w:rFonts w:eastAsiaTheme="minorHAnsi" w:cs="Arial"/>
      <w:szCs w:val="20"/>
    </w:rPr>
  </w:style>
  <w:style w:type="character" w:customStyle="1" w:styleId="TextkrperZchn">
    <w:name w:val="Textkörper Zchn"/>
    <w:basedOn w:val="Absatz-Standardschriftart"/>
    <w:link w:val="Textkrper"/>
    <w:uiPriority w:val="99"/>
    <w:rsid w:val="00616694"/>
    <w:rPr>
      <w:rFonts w:ascii="Arial" w:eastAsiaTheme="minorHAnsi" w:hAnsi="Arial" w:cs="Arial"/>
      <w:lang w:val="de-DE" w:eastAsia="en-US"/>
    </w:rPr>
  </w:style>
  <w:style w:type="paragraph" w:styleId="Sprechblasentext">
    <w:name w:val="Balloon Text"/>
    <w:basedOn w:val="Standard"/>
    <w:link w:val="SprechblasentextZchn"/>
    <w:uiPriority w:val="99"/>
    <w:semiHidden/>
    <w:unhideWhenUsed/>
    <w:rsid w:val="0061669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6694"/>
    <w:rPr>
      <w:rFonts w:ascii="Tahoma" w:hAnsi="Tahoma" w:cs="Tahoma"/>
      <w:sz w:val="16"/>
      <w:szCs w:val="16"/>
      <w:lang w:val="de-DE" w:eastAsia="en-US"/>
    </w:rPr>
  </w:style>
  <w:style w:type="paragraph" w:styleId="Textkrper2">
    <w:name w:val="Body Text 2"/>
    <w:basedOn w:val="Standard"/>
    <w:link w:val="Textkrper2Zchn"/>
    <w:uiPriority w:val="99"/>
    <w:unhideWhenUsed/>
    <w:rsid w:val="004254C8"/>
    <w:rPr>
      <w:rFonts w:cs="Arial"/>
      <w:sz w:val="22"/>
      <w:szCs w:val="22"/>
    </w:rPr>
  </w:style>
  <w:style w:type="character" w:customStyle="1" w:styleId="Textkrper2Zchn">
    <w:name w:val="Textkörper 2 Zchn"/>
    <w:basedOn w:val="Absatz-Standardschriftart"/>
    <w:link w:val="Textkrper2"/>
    <w:uiPriority w:val="99"/>
    <w:rsid w:val="004254C8"/>
    <w:rPr>
      <w:rFonts w:ascii="Arial" w:hAnsi="Arial" w:cs="Arial"/>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ldewesen@fma-li.l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2BF19-CB54-43D7-B66B-7531FCFA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5872</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Oberhammer Lukas</cp:lastModifiedBy>
  <cp:revision>2</cp:revision>
  <cp:lastPrinted>2018-12-07T06:58:00Z</cp:lastPrinted>
  <dcterms:created xsi:type="dcterms:W3CDTF">2020-03-31T10:20:00Z</dcterms:created>
  <dcterms:modified xsi:type="dcterms:W3CDTF">2020-03-31T10:20:00Z</dcterms:modified>
</cp:coreProperties>
</file>