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CED4" w14:textId="77777777" w:rsidR="009F7D17" w:rsidRPr="00394320" w:rsidRDefault="00DD5846" w:rsidP="00E3092C">
      <w:pPr>
        <w:pStyle w:val="Default"/>
        <w:rPr>
          <w:rFonts w:ascii="Garamond" w:hAnsi="Garamond" w:cs="Times New Roman"/>
          <w:color w:val="505154"/>
          <w:sz w:val="50"/>
          <w:szCs w:val="36"/>
        </w:rPr>
      </w:pPr>
      <w:r w:rsidRPr="00394320">
        <w:rPr>
          <w:rFonts w:ascii="Garamond" w:hAnsi="Garamond" w:cs="Times New Roman"/>
          <w:color w:val="505154"/>
          <w:sz w:val="50"/>
          <w:szCs w:val="36"/>
        </w:rPr>
        <w:t>Musterbericht</w:t>
      </w:r>
    </w:p>
    <w:p w14:paraId="2219662C" w14:textId="3A3686D6" w:rsidR="009F7D17" w:rsidRPr="00394320" w:rsidRDefault="00DD5846" w:rsidP="009F7D17">
      <w:pPr>
        <w:pStyle w:val="Default"/>
        <w:spacing w:before="120" w:line="200" w:lineRule="atLeast"/>
        <w:rPr>
          <w:rFonts w:ascii="Garamond" w:hAnsi="Garamond" w:cs="Times New Roman"/>
          <w:szCs w:val="36"/>
        </w:rPr>
      </w:pPr>
      <w:r w:rsidRPr="00394320">
        <w:rPr>
          <w:rFonts w:ascii="Garamond" w:hAnsi="Garamond" w:cs="Times New Roman"/>
          <w:szCs w:val="36"/>
        </w:rPr>
        <w:t>zur Aufsichtsprüfung für Banken und Wertpapierfirmen</w:t>
      </w:r>
      <w:r w:rsidR="0087714B">
        <w:rPr>
          <w:rFonts w:ascii="Garamond" w:hAnsi="Garamond" w:cs="Times New Roman"/>
          <w:szCs w:val="36"/>
        </w:rPr>
        <w:t xml:space="preserve"> bzw. der Gruppe </w:t>
      </w:r>
      <w:r w:rsidR="00254B93">
        <w:rPr>
          <w:rFonts w:ascii="Garamond" w:hAnsi="Garamond" w:cs="Times New Roman"/>
          <w:szCs w:val="36"/>
        </w:rPr>
        <w:t>(Anhang A2)</w:t>
      </w:r>
    </w:p>
    <w:p w14:paraId="43716094" w14:textId="77777777" w:rsidR="003A65D2" w:rsidRPr="00394320" w:rsidRDefault="003A65D2" w:rsidP="009F7D17">
      <w:pPr>
        <w:pStyle w:val="Default"/>
        <w:spacing w:before="120" w:line="200" w:lineRule="atLeast"/>
        <w:rPr>
          <w:rFonts w:ascii="Garamond" w:hAnsi="Garamond" w:cs="Times New Roman"/>
          <w:szCs w:val="36"/>
        </w:rPr>
      </w:pPr>
    </w:p>
    <w:p w14:paraId="6F92E940" w14:textId="77777777" w:rsidR="009F7D17" w:rsidRPr="00DD5846" w:rsidRDefault="009F7D17" w:rsidP="009F7D17">
      <w:pPr>
        <w:pStyle w:val="Default"/>
        <w:spacing w:before="120"/>
        <w:rPr>
          <w:rFonts w:ascii="Arial" w:hAnsi="Arial" w:cs="Arial"/>
          <w:b/>
          <w:sz w:val="20"/>
          <w:szCs w:val="20"/>
        </w:rPr>
      </w:pPr>
    </w:p>
    <w:p w14:paraId="720B3422" w14:textId="5890B395" w:rsidR="00DF2E41" w:rsidRPr="00DD5846" w:rsidRDefault="00FE1E98" w:rsidP="009F7D17">
      <w:pPr>
        <w:pStyle w:val="Default"/>
        <w:spacing w:before="120"/>
        <w:rPr>
          <w:rFonts w:ascii="Garamond" w:hAnsi="Garamond" w:cs="Arial"/>
          <w:sz w:val="20"/>
          <w:szCs w:val="20"/>
        </w:rPr>
      </w:pPr>
      <w:r w:rsidRPr="00BF6946">
        <w:rPr>
          <w:rFonts w:ascii="Garamond" w:hAnsi="Garamond" w:cs="Arial"/>
          <w:sz w:val="20"/>
          <w:szCs w:val="20"/>
        </w:rPr>
        <w:t>Januar</w:t>
      </w:r>
      <w:r w:rsidR="00636495" w:rsidRPr="00BF6946">
        <w:rPr>
          <w:rFonts w:ascii="Garamond" w:hAnsi="Garamond" w:cs="Arial"/>
          <w:sz w:val="20"/>
          <w:szCs w:val="20"/>
        </w:rPr>
        <w:t xml:space="preserve"> 202</w:t>
      </w:r>
      <w:r w:rsidR="004E14E7" w:rsidRPr="00BF6946">
        <w:rPr>
          <w:rFonts w:ascii="Garamond" w:hAnsi="Garamond" w:cs="Arial"/>
          <w:sz w:val="20"/>
          <w:szCs w:val="20"/>
        </w:rPr>
        <w:t>4</w:t>
      </w:r>
      <w:bookmarkStart w:id="0" w:name="_GoBack"/>
      <w:bookmarkEnd w:id="0"/>
    </w:p>
    <w:p w14:paraId="32DBEE2B" w14:textId="77777777" w:rsidR="00C7008E" w:rsidRPr="00DD5846" w:rsidRDefault="00C7008E" w:rsidP="009F7D17">
      <w:pPr>
        <w:pStyle w:val="Default"/>
        <w:spacing w:before="120"/>
        <w:rPr>
          <w:rFonts w:ascii="Garamond" w:hAnsi="Garamond" w:cs="Arial"/>
          <w:sz w:val="20"/>
          <w:szCs w:val="20"/>
        </w:rPr>
      </w:pPr>
    </w:p>
    <w:p w14:paraId="3A4CBE2A" w14:textId="53ED9351" w:rsidR="00611F2C" w:rsidRPr="00DD5846" w:rsidRDefault="00611F2C" w:rsidP="00EC489E">
      <w:pPr>
        <w:pStyle w:val="Default"/>
        <w:spacing w:before="120"/>
        <w:rPr>
          <w:rFonts w:ascii="Garamond" w:hAnsi="Garamond" w:cs="Arial"/>
          <w:sz w:val="20"/>
          <w:szCs w:val="20"/>
        </w:rPr>
      </w:pPr>
    </w:p>
    <w:p w14:paraId="2D28233B" w14:textId="5C396CA8" w:rsidR="00611F2C" w:rsidRPr="00DD5846" w:rsidRDefault="00611F2C" w:rsidP="00EC489E">
      <w:pPr>
        <w:pStyle w:val="Default"/>
        <w:spacing w:before="120"/>
        <w:rPr>
          <w:rFonts w:ascii="Garamond" w:hAnsi="Garamond" w:cs="Arial"/>
          <w:sz w:val="20"/>
          <w:szCs w:val="20"/>
        </w:rPr>
        <w:sectPr w:rsidR="00611F2C" w:rsidRPr="00DD5846" w:rsidSect="003A65D2">
          <w:headerReference w:type="even" r:id="rId11"/>
          <w:headerReference w:type="default" r:id="rId12"/>
          <w:footerReference w:type="even" r:id="rId13"/>
          <w:footerReference w:type="default" r:id="rId14"/>
          <w:headerReference w:type="first" r:id="rId15"/>
          <w:pgSz w:w="11906" w:h="16838" w:code="9"/>
          <w:pgMar w:top="8647" w:right="1418" w:bottom="1134" w:left="1418" w:header="851" w:footer="454" w:gutter="0"/>
          <w:paperSrc w:first="259" w:other="259"/>
          <w:cols w:space="708"/>
          <w:titlePg/>
          <w:docGrid w:linePitch="360"/>
        </w:sectPr>
      </w:pPr>
    </w:p>
    <w:sdt>
      <w:sdtPr>
        <w:rPr>
          <w:rFonts w:ascii="Arial" w:eastAsia="Times New Roman" w:hAnsi="Arial" w:cs="Arial"/>
          <w:b w:val="0"/>
          <w:bCs w:val="0"/>
          <w:color w:val="auto"/>
          <w:sz w:val="20"/>
          <w:szCs w:val="20"/>
          <w:lang w:val="de-DE" w:eastAsia="de-DE"/>
        </w:rPr>
        <w:id w:val="1786393033"/>
        <w:docPartObj>
          <w:docPartGallery w:val="Table of Contents"/>
          <w:docPartUnique/>
        </w:docPartObj>
      </w:sdtPr>
      <w:sdtEndPr>
        <w:rPr>
          <w:rFonts w:ascii="Times New Roman" w:hAnsi="Times New Roman" w:cs="Times New Roman"/>
        </w:rPr>
      </w:sdtEndPr>
      <w:sdtContent>
        <w:p w14:paraId="77DC5D54" w14:textId="77777777" w:rsidR="003A65D2" w:rsidRPr="00BB6029" w:rsidRDefault="003A65D2" w:rsidP="00254B93">
          <w:pPr>
            <w:pStyle w:val="Inhaltsverzeichnisberschrift"/>
            <w:spacing w:before="120" w:after="0" w:line="240" w:lineRule="auto"/>
            <w:rPr>
              <w:rFonts w:ascii="Arial" w:hAnsi="Arial" w:cs="Arial"/>
              <w:sz w:val="20"/>
              <w:szCs w:val="20"/>
            </w:rPr>
          </w:pPr>
          <w:r w:rsidRPr="00254B93">
            <w:rPr>
              <w:rFonts w:ascii="Arial" w:hAnsi="Arial" w:cs="Arial"/>
              <w:sz w:val="20"/>
              <w:szCs w:val="20"/>
              <w:lang w:val="de-DE"/>
            </w:rPr>
            <w:t>Inhalt</w:t>
          </w:r>
        </w:p>
        <w:p w14:paraId="4C9B7DB2" w14:textId="7DCB5E01" w:rsidR="005573E0" w:rsidRDefault="00326E88">
          <w:pPr>
            <w:pStyle w:val="Verzeichnis1"/>
            <w:rPr>
              <w:rFonts w:asciiTheme="minorHAnsi" w:eastAsiaTheme="minorEastAsia" w:hAnsiTheme="minorHAnsi" w:cstheme="minorBidi"/>
              <w:b w:val="0"/>
              <w:bCs w:val="0"/>
              <w:sz w:val="22"/>
              <w:szCs w:val="22"/>
              <w:lang w:eastAsia="de-CH"/>
            </w:rPr>
          </w:pPr>
          <w:r w:rsidRPr="00DF10D9">
            <w:rPr>
              <w:rFonts w:ascii="Arial" w:hAnsi="Arial" w:cs="Arial"/>
              <w:sz w:val="20"/>
              <w:szCs w:val="20"/>
            </w:rPr>
            <w:fldChar w:fldCharType="begin"/>
          </w:r>
          <w:r w:rsidRPr="00DF10D9">
            <w:rPr>
              <w:rFonts w:ascii="Arial" w:hAnsi="Arial" w:cs="Arial"/>
              <w:sz w:val="20"/>
              <w:szCs w:val="20"/>
            </w:rPr>
            <w:instrText xml:space="preserve"> TOC \o "2-2" \h \z \t "Überschrift 1;1;Überschrift 3;3;FINMA Gliederung Ebene 1;1;FINMA Gliederung Ebene 2;2;FINMA Gliederung Ebene 3;3" </w:instrText>
          </w:r>
          <w:r w:rsidRPr="00DF10D9">
            <w:rPr>
              <w:rFonts w:ascii="Arial" w:hAnsi="Arial" w:cs="Arial"/>
              <w:sz w:val="20"/>
              <w:szCs w:val="20"/>
            </w:rPr>
            <w:fldChar w:fldCharType="separate"/>
          </w:r>
          <w:hyperlink w:anchor="_Toc147849856" w:history="1">
            <w:r w:rsidR="005573E0" w:rsidRPr="00445518">
              <w:rPr>
                <w:rStyle w:val="Hyperlink"/>
              </w:rPr>
              <w:t>1.</w:t>
            </w:r>
            <w:r w:rsidR="005573E0">
              <w:rPr>
                <w:rFonts w:asciiTheme="minorHAnsi" w:eastAsiaTheme="minorEastAsia" w:hAnsiTheme="minorHAnsi" w:cstheme="minorBidi"/>
                <w:b w:val="0"/>
                <w:bCs w:val="0"/>
                <w:sz w:val="22"/>
                <w:szCs w:val="22"/>
                <w:lang w:eastAsia="de-CH"/>
              </w:rPr>
              <w:tab/>
            </w:r>
            <w:r w:rsidR="005573E0" w:rsidRPr="00445518">
              <w:rPr>
                <w:rStyle w:val="Hyperlink"/>
              </w:rPr>
              <w:t>Rahmenbedingungen der Aufsichtsprüfung</w:t>
            </w:r>
            <w:r w:rsidR="005573E0">
              <w:rPr>
                <w:webHidden/>
              </w:rPr>
              <w:tab/>
            </w:r>
            <w:r w:rsidR="005573E0">
              <w:rPr>
                <w:webHidden/>
              </w:rPr>
              <w:fldChar w:fldCharType="begin"/>
            </w:r>
            <w:r w:rsidR="005573E0">
              <w:rPr>
                <w:webHidden/>
              </w:rPr>
              <w:instrText xml:space="preserve"> PAGEREF _Toc147849856 \h </w:instrText>
            </w:r>
            <w:r w:rsidR="005573E0">
              <w:rPr>
                <w:webHidden/>
              </w:rPr>
            </w:r>
            <w:r w:rsidR="005573E0">
              <w:rPr>
                <w:webHidden/>
              </w:rPr>
              <w:fldChar w:fldCharType="separate"/>
            </w:r>
            <w:r w:rsidR="005573E0">
              <w:rPr>
                <w:webHidden/>
              </w:rPr>
              <w:t>6</w:t>
            </w:r>
            <w:r w:rsidR="005573E0">
              <w:rPr>
                <w:webHidden/>
              </w:rPr>
              <w:fldChar w:fldCharType="end"/>
            </w:r>
          </w:hyperlink>
        </w:p>
        <w:p w14:paraId="0431FC2C" w14:textId="34B00A18" w:rsidR="005573E0" w:rsidRDefault="005573E0">
          <w:pPr>
            <w:pStyle w:val="Verzeichnis1"/>
            <w:rPr>
              <w:rFonts w:asciiTheme="minorHAnsi" w:eastAsiaTheme="minorEastAsia" w:hAnsiTheme="minorHAnsi" w:cstheme="minorBidi"/>
              <w:b w:val="0"/>
              <w:bCs w:val="0"/>
              <w:sz w:val="22"/>
              <w:szCs w:val="22"/>
              <w:lang w:eastAsia="de-CH"/>
            </w:rPr>
          </w:pPr>
          <w:hyperlink w:anchor="_Toc147849857" w:history="1">
            <w:r w:rsidRPr="00445518">
              <w:rPr>
                <w:rStyle w:val="Hyperlink"/>
              </w:rPr>
              <w:t>2.</w:t>
            </w:r>
            <w:r>
              <w:rPr>
                <w:rFonts w:asciiTheme="minorHAnsi" w:eastAsiaTheme="minorEastAsia" w:hAnsiTheme="minorHAnsi" w:cstheme="minorBidi"/>
                <w:b w:val="0"/>
                <w:bCs w:val="0"/>
                <w:sz w:val="22"/>
                <w:szCs w:val="22"/>
                <w:lang w:eastAsia="de-CH"/>
              </w:rPr>
              <w:tab/>
            </w:r>
            <w:r w:rsidRPr="00445518">
              <w:rPr>
                <w:rStyle w:val="Hyperlink"/>
              </w:rPr>
              <w:t>Weitere Mandate der Revisionsstelle bei der beaufsichtigten Bank oder Wertpapierfirma bzw. der Gruppe</w:t>
            </w:r>
            <w:r>
              <w:rPr>
                <w:webHidden/>
              </w:rPr>
              <w:tab/>
            </w:r>
            <w:r>
              <w:rPr>
                <w:webHidden/>
              </w:rPr>
              <w:fldChar w:fldCharType="begin"/>
            </w:r>
            <w:r>
              <w:rPr>
                <w:webHidden/>
              </w:rPr>
              <w:instrText xml:space="preserve"> PAGEREF _Toc147849857 \h </w:instrText>
            </w:r>
            <w:r>
              <w:rPr>
                <w:webHidden/>
              </w:rPr>
            </w:r>
            <w:r>
              <w:rPr>
                <w:webHidden/>
              </w:rPr>
              <w:fldChar w:fldCharType="separate"/>
            </w:r>
            <w:r>
              <w:rPr>
                <w:webHidden/>
              </w:rPr>
              <w:t>6</w:t>
            </w:r>
            <w:r>
              <w:rPr>
                <w:webHidden/>
              </w:rPr>
              <w:fldChar w:fldCharType="end"/>
            </w:r>
          </w:hyperlink>
        </w:p>
        <w:p w14:paraId="0CA3C3AF" w14:textId="41DC533F" w:rsidR="005573E0" w:rsidRDefault="005573E0">
          <w:pPr>
            <w:pStyle w:val="Verzeichnis1"/>
            <w:rPr>
              <w:rFonts w:asciiTheme="minorHAnsi" w:eastAsiaTheme="minorEastAsia" w:hAnsiTheme="minorHAnsi" w:cstheme="minorBidi"/>
              <w:b w:val="0"/>
              <w:bCs w:val="0"/>
              <w:sz w:val="22"/>
              <w:szCs w:val="22"/>
              <w:lang w:eastAsia="de-CH"/>
            </w:rPr>
          </w:pPr>
          <w:hyperlink w:anchor="_Toc147849858" w:history="1">
            <w:r w:rsidRPr="00445518">
              <w:rPr>
                <w:rStyle w:val="Hyperlink"/>
              </w:rPr>
              <w:t>3.</w:t>
            </w:r>
            <w:r>
              <w:rPr>
                <w:rFonts w:asciiTheme="minorHAnsi" w:eastAsiaTheme="minorEastAsia" w:hAnsiTheme="minorHAnsi" w:cstheme="minorBidi"/>
                <w:b w:val="0"/>
                <w:bCs w:val="0"/>
                <w:sz w:val="22"/>
                <w:szCs w:val="22"/>
                <w:lang w:eastAsia="de-CH"/>
              </w:rPr>
              <w:tab/>
            </w:r>
            <w:r w:rsidRPr="00445518">
              <w:rPr>
                <w:rStyle w:val="Hyperlink"/>
              </w:rPr>
              <w:t>Zusammenfassung der Prüfresultate aus der Aufsichtsprüfung</w:t>
            </w:r>
            <w:r>
              <w:rPr>
                <w:webHidden/>
              </w:rPr>
              <w:tab/>
            </w:r>
            <w:r>
              <w:rPr>
                <w:webHidden/>
              </w:rPr>
              <w:fldChar w:fldCharType="begin"/>
            </w:r>
            <w:r>
              <w:rPr>
                <w:webHidden/>
              </w:rPr>
              <w:instrText xml:space="preserve"> PAGEREF _Toc147849858 \h </w:instrText>
            </w:r>
            <w:r>
              <w:rPr>
                <w:webHidden/>
              </w:rPr>
            </w:r>
            <w:r>
              <w:rPr>
                <w:webHidden/>
              </w:rPr>
              <w:fldChar w:fldCharType="separate"/>
            </w:r>
            <w:r>
              <w:rPr>
                <w:webHidden/>
              </w:rPr>
              <w:t>6</w:t>
            </w:r>
            <w:r>
              <w:rPr>
                <w:webHidden/>
              </w:rPr>
              <w:fldChar w:fldCharType="end"/>
            </w:r>
          </w:hyperlink>
        </w:p>
        <w:p w14:paraId="0196BDAF" w14:textId="640FF553" w:rsidR="005573E0" w:rsidRDefault="005573E0">
          <w:pPr>
            <w:pStyle w:val="Verzeichnis2"/>
            <w:rPr>
              <w:rFonts w:asciiTheme="minorHAnsi" w:eastAsiaTheme="minorEastAsia" w:hAnsiTheme="minorHAnsi" w:cstheme="minorBidi"/>
              <w:noProof/>
              <w:sz w:val="22"/>
              <w:szCs w:val="22"/>
              <w:lang w:eastAsia="de-CH"/>
            </w:rPr>
          </w:pPr>
          <w:hyperlink w:anchor="_Toc147849859" w:history="1">
            <w:r w:rsidRPr="00445518">
              <w:rPr>
                <w:rStyle w:val="Hyperlink"/>
                <w:noProof/>
              </w:rPr>
              <w:t>3.1</w:t>
            </w:r>
            <w:r>
              <w:rPr>
                <w:rFonts w:asciiTheme="minorHAnsi" w:eastAsiaTheme="minorEastAsia" w:hAnsiTheme="minorHAnsi" w:cstheme="minorBidi"/>
                <w:noProof/>
                <w:sz w:val="22"/>
                <w:szCs w:val="22"/>
                <w:lang w:eastAsia="de-CH"/>
              </w:rPr>
              <w:tab/>
            </w:r>
            <w:r w:rsidRPr="00445518">
              <w:rPr>
                <w:rStyle w:val="Hyperlink"/>
                <w:noProof/>
              </w:rPr>
              <w:t>Beanstandungen</w:t>
            </w:r>
            <w:r>
              <w:rPr>
                <w:noProof/>
                <w:webHidden/>
              </w:rPr>
              <w:tab/>
            </w:r>
            <w:r>
              <w:rPr>
                <w:noProof/>
                <w:webHidden/>
              </w:rPr>
              <w:fldChar w:fldCharType="begin"/>
            </w:r>
            <w:r>
              <w:rPr>
                <w:noProof/>
                <w:webHidden/>
              </w:rPr>
              <w:instrText xml:space="preserve"> PAGEREF _Toc147849859 \h </w:instrText>
            </w:r>
            <w:r>
              <w:rPr>
                <w:noProof/>
                <w:webHidden/>
              </w:rPr>
            </w:r>
            <w:r>
              <w:rPr>
                <w:noProof/>
                <w:webHidden/>
              </w:rPr>
              <w:fldChar w:fldCharType="separate"/>
            </w:r>
            <w:r>
              <w:rPr>
                <w:noProof/>
                <w:webHidden/>
              </w:rPr>
              <w:t>6</w:t>
            </w:r>
            <w:r>
              <w:rPr>
                <w:noProof/>
                <w:webHidden/>
              </w:rPr>
              <w:fldChar w:fldCharType="end"/>
            </w:r>
          </w:hyperlink>
        </w:p>
        <w:p w14:paraId="0EF7A364" w14:textId="78A49FDA" w:rsidR="005573E0" w:rsidRDefault="005573E0">
          <w:pPr>
            <w:pStyle w:val="Verzeichnis2"/>
            <w:rPr>
              <w:rFonts w:asciiTheme="minorHAnsi" w:eastAsiaTheme="minorEastAsia" w:hAnsiTheme="minorHAnsi" w:cstheme="minorBidi"/>
              <w:noProof/>
              <w:sz w:val="22"/>
              <w:szCs w:val="22"/>
              <w:lang w:eastAsia="de-CH"/>
            </w:rPr>
          </w:pPr>
          <w:hyperlink w:anchor="_Toc147849860" w:history="1">
            <w:r w:rsidRPr="00445518">
              <w:rPr>
                <w:rStyle w:val="Hyperlink"/>
                <w:noProof/>
              </w:rPr>
              <w:t>3.2</w:t>
            </w:r>
            <w:r>
              <w:rPr>
                <w:rFonts w:asciiTheme="minorHAnsi" w:eastAsiaTheme="minorEastAsia" w:hAnsiTheme="minorHAnsi" w:cstheme="minorBidi"/>
                <w:noProof/>
                <w:sz w:val="22"/>
                <w:szCs w:val="22"/>
                <w:lang w:eastAsia="de-CH"/>
              </w:rPr>
              <w:tab/>
            </w:r>
            <w:r w:rsidRPr="00445518">
              <w:rPr>
                <w:rStyle w:val="Hyperlink"/>
                <w:noProof/>
              </w:rPr>
              <w:t>Empfehlungen</w:t>
            </w:r>
            <w:r>
              <w:rPr>
                <w:noProof/>
                <w:webHidden/>
              </w:rPr>
              <w:tab/>
            </w:r>
            <w:r>
              <w:rPr>
                <w:noProof/>
                <w:webHidden/>
              </w:rPr>
              <w:fldChar w:fldCharType="begin"/>
            </w:r>
            <w:r>
              <w:rPr>
                <w:noProof/>
                <w:webHidden/>
              </w:rPr>
              <w:instrText xml:space="preserve"> PAGEREF _Toc147849860 \h </w:instrText>
            </w:r>
            <w:r>
              <w:rPr>
                <w:noProof/>
                <w:webHidden/>
              </w:rPr>
            </w:r>
            <w:r>
              <w:rPr>
                <w:noProof/>
                <w:webHidden/>
              </w:rPr>
              <w:fldChar w:fldCharType="separate"/>
            </w:r>
            <w:r>
              <w:rPr>
                <w:noProof/>
                <w:webHidden/>
              </w:rPr>
              <w:t>6</w:t>
            </w:r>
            <w:r>
              <w:rPr>
                <w:noProof/>
                <w:webHidden/>
              </w:rPr>
              <w:fldChar w:fldCharType="end"/>
            </w:r>
          </w:hyperlink>
        </w:p>
        <w:p w14:paraId="4D43EB60" w14:textId="5F9578BC" w:rsidR="005573E0" w:rsidRDefault="005573E0">
          <w:pPr>
            <w:pStyle w:val="Verzeichnis2"/>
            <w:rPr>
              <w:rFonts w:asciiTheme="minorHAnsi" w:eastAsiaTheme="minorEastAsia" w:hAnsiTheme="minorHAnsi" w:cstheme="minorBidi"/>
              <w:noProof/>
              <w:sz w:val="22"/>
              <w:szCs w:val="22"/>
              <w:lang w:eastAsia="de-CH"/>
            </w:rPr>
          </w:pPr>
          <w:hyperlink w:anchor="_Toc147849861" w:history="1">
            <w:r w:rsidRPr="00445518">
              <w:rPr>
                <w:rStyle w:val="Hyperlink"/>
                <w:noProof/>
              </w:rPr>
              <w:t>3.3</w:t>
            </w:r>
            <w:r>
              <w:rPr>
                <w:rFonts w:asciiTheme="minorHAnsi" w:eastAsiaTheme="minorEastAsia" w:hAnsiTheme="minorHAnsi" w:cstheme="minorBidi"/>
                <w:noProof/>
                <w:sz w:val="22"/>
                <w:szCs w:val="22"/>
                <w:lang w:eastAsia="de-CH"/>
              </w:rPr>
              <w:tab/>
            </w:r>
            <w:r w:rsidRPr="00445518">
              <w:rPr>
                <w:rStyle w:val="Hyperlink"/>
                <w:noProof/>
              </w:rPr>
              <w:t>Beanstandungen des Vorjahres</w:t>
            </w:r>
            <w:r>
              <w:rPr>
                <w:noProof/>
                <w:webHidden/>
              </w:rPr>
              <w:tab/>
            </w:r>
            <w:r>
              <w:rPr>
                <w:noProof/>
                <w:webHidden/>
              </w:rPr>
              <w:fldChar w:fldCharType="begin"/>
            </w:r>
            <w:r>
              <w:rPr>
                <w:noProof/>
                <w:webHidden/>
              </w:rPr>
              <w:instrText xml:space="preserve"> PAGEREF _Toc147849861 \h </w:instrText>
            </w:r>
            <w:r>
              <w:rPr>
                <w:noProof/>
                <w:webHidden/>
              </w:rPr>
            </w:r>
            <w:r>
              <w:rPr>
                <w:noProof/>
                <w:webHidden/>
              </w:rPr>
              <w:fldChar w:fldCharType="separate"/>
            </w:r>
            <w:r>
              <w:rPr>
                <w:noProof/>
                <w:webHidden/>
              </w:rPr>
              <w:t>7</w:t>
            </w:r>
            <w:r>
              <w:rPr>
                <w:noProof/>
                <w:webHidden/>
              </w:rPr>
              <w:fldChar w:fldCharType="end"/>
            </w:r>
          </w:hyperlink>
        </w:p>
        <w:p w14:paraId="41A9A21F" w14:textId="380F49BB" w:rsidR="005573E0" w:rsidRDefault="005573E0">
          <w:pPr>
            <w:pStyle w:val="Verzeichnis2"/>
            <w:rPr>
              <w:rFonts w:asciiTheme="minorHAnsi" w:eastAsiaTheme="minorEastAsia" w:hAnsiTheme="minorHAnsi" w:cstheme="minorBidi"/>
              <w:noProof/>
              <w:sz w:val="22"/>
              <w:szCs w:val="22"/>
              <w:lang w:eastAsia="de-CH"/>
            </w:rPr>
          </w:pPr>
          <w:hyperlink w:anchor="_Toc147849862" w:history="1">
            <w:r w:rsidRPr="00445518">
              <w:rPr>
                <w:rStyle w:val="Hyperlink"/>
                <w:noProof/>
              </w:rPr>
              <w:t>3.4</w:t>
            </w:r>
            <w:r>
              <w:rPr>
                <w:rFonts w:asciiTheme="minorHAnsi" w:eastAsiaTheme="minorEastAsia" w:hAnsiTheme="minorHAnsi" w:cstheme="minorBidi"/>
                <w:noProof/>
                <w:sz w:val="22"/>
                <w:szCs w:val="22"/>
                <w:lang w:eastAsia="de-CH"/>
              </w:rPr>
              <w:tab/>
            </w:r>
            <w:r w:rsidRPr="00445518">
              <w:rPr>
                <w:rStyle w:val="Hyperlink"/>
                <w:noProof/>
              </w:rPr>
              <w:t>Empfehlungen des Vorjahres</w:t>
            </w:r>
            <w:r>
              <w:rPr>
                <w:noProof/>
                <w:webHidden/>
              </w:rPr>
              <w:tab/>
            </w:r>
            <w:r>
              <w:rPr>
                <w:noProof/>
                <w:webHidden/>
              </w:rPr>
              <w:fldChar w:fldCharType="begin"/>
            </w:r>
            <w:r>
              <w:rPr>
                <w:noProof/>
                <w:webHidden/>
              </w:rPr>
              <w:instrText xml:space="preserve"> PAGEREF _Toc147849862 \h </w:instrText>
            </w:r>
            <w:r>
              <w:rPr>
                <w:noProof/>
                <w:webHidden/>
              </w:rPr>
            </w:r>
            <w:r>
              <w:rPr>
                <w:noProof/>
                <w:webHidden/>
              </w:rPr>
              <w:fldChar w:fldCharType="separate"/>
            </w:r>
            <w:r>
              <w:rPr>
                <w:noProof/>
                <w:webHidden/>
              </w:rPr>
              <w:t>7</w:t>
            </w:r>
            <w:r>
              <w:rPr>
                <w:noProof/>
                <w:webHidden/>
              </w:rPr>
              <w:fldChar w:fldCharType="end"/>
            </w:r>
          </w:hyperlink>
        </w:p>
        <w:p w14:paraId="23BD5222" w14:textId="016F399F" w:rsidR="005573E0" w:rsidRDefault="005573E0">
          <w:pPr>
            <w:pStyle w:val="Verzeichnis2"/>
            <w:rPr>
              <w:rFonts w:asciiTheme="minorHAnsi" w:eastAsiaTheme="minorEastAsia" w:hAnsiTheme="minorHAnsi" w:cstheme="minorBidi"/>
              <w:noProof/>
              <w:sz w:val="22"/>
              <w:szCs w:val="22"/>
              <w:lang w:eastAsia="de-CH"/>
            </w:rPr>
          </w:pPr>
          <w:hyperlink w:anchor="_Toc147849863" w:history="1">
            <w:r w:rsidRPr="00445518">
              <w:rPr>
                <w:rStyle w:val="Hyperlink"/>
                <w:noProof/>
              </w:rPr>
              <w:t>3.5</w:t>
            </w:r>
            <w:r>
              <w:rPr>
                <w:rFonts w:asciiTheme="minorHAnsi" w:eastAsiaTheme="minorEastAsia" w:hAnsiTheme="minorHAnsi" w:cstheme="minorBidi"/>
                <w:noProof/>
                <w:sz w:val="22"/>
                <w:szCs w:val="22"/>
                <w:lang w:eastAsia="de-CH"/>
              </w:rPr>
              <w:tab/>
            </w:r>
            <w:r w:rsidRPr="00445518">
              <w:rPr>
                <w:rStyle w:val="Hyperlink"/>
                <w:noProof/>
              </w:rPr>
              <w:t>Bestätigung zu aufsichtsrechtlichen Vorgaben der FMA</w:t>
            </w:r>
            <w:r>
              <w:rPr>
                <w:noProof/>
                <w:webHidden/>
              </w:rPr>
              <w:tab/>
            </w:r>
            <w:r>
              <w:rPr>
                <w:noProof/>
                <w:webHidden/>
              </w:rPr>
              <w:fldChar w:fldCharType="begin"/>
            </w:r>
            <w:r>
              <w:rPr>
                <w:noProof/>
                <w:webHidden/>
              </w:rPr>
              <w:instrText xml:space="preserve"> PAGEREF _Toc147849863 \h </w:instrText>
            </w:r>
            <w:r>
              <w:rPr>
                <w:noProof/>
                <w:webHidden/>
              </w:rPr>
            </w:r>
            <w:r>
              <w:rPr>
                <w:noProof/>
                <w:webHidden/>
              </w:rPr>
              <w:fldChar w:fldCharType="separate"/>
            </w:r>
            <w:r>
              <w:rPr>
                <w:noProof/>
                <w:webHidden/>
              </w:rPr>
              <w:t>7</w:t>
            </w:r>
            <w:r>
              <w:rPr>
                <w:noProof/>
                <w:webHidden/>
              </w:rPr>
              <w:fldChar w:fldCharType="end"/>
            </w:r>
          </w:hyperlink>
        </w:p>
        <w:p w14:paraId="3104B825" w14:textId="65C5CEDD" w:rsidR="005573E0" w:rsidRDefault="005573E0">
          <w:pPr>
            <w:pStyle w:val="Verzeichnis2"/>
            <w:rPr>
              <w:rFonts w:asciiTheme="minorHAnsi" w:eastAsiaTheme="minorEastAsia" w:hAnsiTheme="minorHAnsi" w:cstheme="minorBidi"/>
              <w:noProof/>
              <w:sz w:val="22"/>
              <w:szCs w:val="22"/>
              <w:lang w:eastAsia="de-CH"/>
            </w:rPr>
          </w:pPr>
          <w:hyperlink w:anchor="_Toc147849864" w:history="1">
            <w:r w:rsidRPr="00445518">
              <w:rPr>
                <w:rStyle w:val="Hyperlink"/>
                <w:noProof/>
              </w:rPr>
              <w:t>3.6</w:t>
            </w:r>
            <w:r>
              <w:rPr>
                <w:rFonts w:asciiTheme="minorHAnsi" w:eastAsiaTheme="minorEastAsia" w:hAnsiTheme="minorHAnsi" w:cstheme="minorBidi"/>
                <w:noProof/>
                <w:sz w:val="22"/>
                <w:szCs w:val="22"/>
                <w:lang w:eastAsia="de-CH"/>
              </w:rPr>
              <w:tab/>
            </w:r>
            <w:r w:rsidRPr="00445518">
              <w:rPr>
                <w:rStyle w:val="Hyperlink"/>
                <w:noProof/>
              </w:rPr>
              <w:t>Wesentliche Feststellungen der Interne Revision</w:t>
            </w:r>
            <w:r>
              <w:rPr>
                <w:noProof/>
                <w:webHidden/>
              </w:rPr>
              <w:tab/>
            </w:r>
            <w:r>
              <w:rPr>
                <w:noProof/>
                <w:webHidden/>
              </w:rPr>
              <w:fldChar w:fldCharType="begin"/>
            </w:r>
            <w:r>
              <w:rPr>
                <w:noProof/>
                <w:webHidden/>
              </w:rPr>
              <w:instrText xml:space="preserve"> PAGEREF _Toc147849864 \h </w:instrText>
            </w:r>
            <w:r>
              <w:rPr>
                <w:noProof/>
                <w:webHidden/>
              </w:rPr>
            </w:r>
            <w:r>
              <w:rPr>
                <w:noProof/>
                <w:webHidden/>
              </w:rPr>
              <w:fldChar w:fldCharType="separate"/>
            </w:r>
            <w:r>
              <w:rPr>
                <w:noProof/>
                <w:webHidden/>
              </w:rPr>
              <w:t>7</w:t>
            </w:r>
            <w:r>
              <w:rPr>
                <w:noProof/>
                <w:webHidden/>
              </w:rPr>
              <w:fldChar w:fldCharType="end"/>
            </w:r>
          </w:hyperlink>
        </w:p>
        <w:p w14:paraId="1D193C75" w14:textId="3CDA84C7" w:rsidR="005573E0" w:rsidRDefault="005573E0">
          <w:pPr>
            <w:pStyle w:val="Verzeichnis2"/>
            <w:rPr>
              <w:rFonts w:asciiTheme="minorHAnsi" w:eastAsiaTheme="minorEastAsia" w:hAnsiTheme="minorHAnsi" w:cstheme="minorBidi"/>
              <w:noProof/>
              <w:sz w:val="22"/>
              <w:szCs w:val="22"/>
              <w:lang w:eastAsia="de-CH"/>
            </w:rPr>
          </w:pPr>
          <w:hyperlink w:anchor="_Toc147849865" w:history="1">
            <w:r w:rsidRPr="00445518">
              <w:rPr>
                <w:rStyle w:val="Hyperlink"/>
                <w:noProof/>
              </w:rPr>
              <w:t>3.7</w:t>
            </w:r>
            <w:r>
              <w:rPr>
                <w:rFonts w:asciiTheme="minorHAnsi" w:eastAsiaTheme="minorEastAsia" w:hAnsiTheme="minorHAnsi" w:cstheme="minorBidi"/>
                <w:noProof/>
                <w:sz w:val="22"/>
                <w:szCs w:val="22"/>
                <w:lang w:eastAsia="de-CH"/>
              </w:rPr>
              <w:tab/>
            </w:r>
            <w:r w:rsidRPr="00445518">
              <w:rPr>
                <w:rStyle w:val="Hyperlink"/>
                <w:noProof/>
              </w:rPr>
              <w:t>Wesentliche Feststellungen durch Dritte</w:t>
            </w:r>
            <w:r>
              <w:rPr>
                <w:noProof/>
                <w:webHidden/>
              </w:rPr>
              <w:tab/>
            </w:r>
            <w:r>
              <w:rPr>
                <w:noProof/>
                <w:webHidden/>
              </w:rPr>
              <w:fldChar w:fldCharType="begin"/>
            </w:r>
            <w:r>
              <w:rPr>
                <w:noProof/>
                <w:webHidden/>
              </w:rPr>
              <w:instrText xml:space="preserve"> PAGEREF _Toc147849865 \h </w:instrText>
            </w:r>
            <w:r>
              <w:rPr>
                <w:noProof/>
                <w:webHidden/>
              </w:rPr>
            </w:r>
            <w:r>
              <w:rPr>
                <w:noProof/>
                <w:webHidden/>
              </w:rPr>
              <w:fldChar w:fldCharType="separate"/>
            </w:r>
            <w:r>
              <w:rPr>
                <w:noProof/>
                <w:webHidden/>
              </w:rPr>
              <w:t>7</w:t>
            </w:r>
            <w:r>
              <w:rPr>
                <w:noProof/>
                <w:webHidden/>
              </w:rPr>
              <w:fldChar w:fldCharType="end"/>
            </w:r>
          </w:hyperlink>
        </w:p>
        <w:p w14:paraId="6C312640" w14:textId="032F835E" w:rsidR="005573E0" w:rsidRDefault="005573E0">
          <w:pPr>
            <w:pStyle w:val="Verzeichnis2"/>
            <w:rPr>
              <w:rFonts w:asciiTheme="minorHAnsi" w:eastAsiaTheme="minorEastAsia" w:hAnsiTheme="minorHAnsi" w:cstheme="minorBidi"/>
              <w:noProof/>
              <w:sz w:val="22"/>
              <w:szCs w:val="22"/>
              <w:lang w:eastAsia="de-CH"/>
            </w:rPr>
          </w:pPr>
          <w:hyperlink w:anchor="_Toc147849866" w:history="1">
            <w:r w:rsidRPr="00445518">
              <w:rPr>
                <w:rStyle w:val="Hyperlink"/>
                <w:noProof/>
              </w:rPr>
              <w:t>3.8</w:t>
            </w:r>
            <w:r>
              <w:rPr>
                <w:rFonts w:asciiTheme="minorHAnsi" w:eastAsiaTheme="minorEastAsia" w:hAnsiTheme="minorHAnsi" w:cstheme="minorBidi"/>
                <w:noProof/>
                <w:sz w:val="22"/>
                <w:szCs w:val="22"/>
                <w:lang w:eastAsia="de-CH"/>
              </w:rPr>
              <w:tab/>
            </w:r>
            <w:r w:rsidRPr="00445518">
              <w:rPr>
                <w:rStyle w:val="Hyperlink"/>
                <w:noProof/>
              </w:rPr>
              <w:t>Zusammenfassung zu weiteren Prüferkenntnissen sowie Gesamteinschätzung</w:t>
            </w:r>
            <w:r>
              <w:rPr>
                <w:noProof/>
                <w:webHidden/>
              </w:rPr>
              <w:tab/>
            </w:r>
            <w:r>
              <w:rPr>
                <w:noProof/>
                <w:webHidden/>
              </w:rPr>
              <w:fldChar w:fldCharType="begin"/>
            </w:r>
            <w:r>
              <w:rPr>
                <w:noProof/>
                <w:webHidden/>
              </w:rPr>
              <w:instrText xml:space="preserve"> PAGEREF _Toc147849866 \h </w:instrText>
            </w:r>
            <w:r>
              <w:rPr>
                <w:noProof/>
                <w:webHidden/>
              </w:rPr>
            </w:r>
            <w:r>
              <w:rPr>
                <w:noProof/>
                <w:webHidden/>
              </w:rPr>
              <w:fldChar w:fldCharType="separate"/>
            </w:r>
            <w:r>
              <w:rPr>
                <w:noProof/>
                <w:webHidden/>
              </w:rPr>
              <w:t>7</w:t>
            </w:r>
            <w:r>
              <w:rPr>
                <w:noProof/>
                <w:webHidden/>
              </w:rPr>
              <w:fldChar w:fldCharType="end"/>
            </w:r>
          </w:hyperlink>
        </w:p>
        <w:p w14:paraId="3495459C" w14:textId="52196162" w:rsidR="005573E0" w:rsidRDefault="005573E0">
          <w:pPr>
            <w:pStyle w:val="Verzeichnis1"/>
            <w:rPr>
              <w:rFonts w:asciiTheme="minorHAnsi" w:eastAsiaTheme="minorEastAsia" w:hAnsiTheme="minorHAnsi" w:cstheme="minorBidi"/>
              <w:b w:val="0"/>
              <w:bCs w:val="0"/>
              <w:sz w:val="22"/>
              <w:szCs w:val="22"/>
              <w:lang w:eastAsia="de-CH"/>
            </w:rPr>
          </w:pPr>
          <w:hyperlink w:anchor="_Toc147849867" w:history="1">
            <w:r w:rsidRPr="00445518">
              <w:rPr>
                <w:rStyle w:val="Hyperlink"/>
              </w:rPr>
              <w:t>4.</w:t>
            </w:r>
            <w:r>
              <w:rPr>
                <w:rFonts w:asciiTheme="minorHAnsi" w:eastAsiaTheme="minorEastAsia" w:hAnsiTheme="minorHAnsi" w:cstheme="minorBidi"/>
                <w:b w:val="0"/>
                <w:bCs w:val="0"/>
                <w:sz w:val="22"/>
                <w:szCs w:val="22"/>
                <w:lang w:eastAsia="de-CH"/>
              </w:rPr>
              <w:tab/>
            </w:r>
            <w:r w:rsidRPr="00445518">
              <w:rPr>
                <w:rStyle w:val="Hyperlink"/>
              </w:rPr>
              <w:t>Wesentliche Feststellungen ausserhalb der Aufsichtsprüfung</w:t>
            </w:r>
            <w:r>
              <w:rPr>
                <w:webHidden/>
              </w:rPr>
              <w:tab/>
            </w:r>
            <w:r>
              <w:rPr>
                <w:webHidden/>
              </w:rPr>
              <w:fldChar w:fldCharType="begin"/>
            </w:r>
            <w:r>
              <w:rPr>
                <w:webHidden/>
              </w:rPr>
              <w:instrText xml:space="preserve"> PAGEREF _Toc147849867 \h </w:instrText>
            </w:r>
            <w:r>
              <w:rPr>
                <w:webHidden/>
              </w:rPr>
            </w:r>
            <w:r>
              <w:rPr>
                <w:webHidden/>
              </w:rPr>
              <w:fldChar w:fldCharType="separate"/>
            </w:r>
            <w:r>
              <w:rPr>
                <w:webHidden/>
              </w:rPr>
              <w:t>8</w:t>
            </w:r>
            <w:r>
              <w:rPr>
                <w:webHidden/>
              </w:rPr>
              <w:fldChar w:fldCharType="end"/>
            </w:r>
          </w:hyperlink>
        </w:p>
        <w:p w14:paraId="5D9C3BED" w14:textId="27AF2DA8" w:rsidR="005573E0" w:rsidRDefault="005573E0">
          <w:pPr>
            <w:pStyle w:val="Verzeichnis1"/>
            <w:rPr>
              <w:rFonts w:asciiTheme="minorHAnsi" w:eastAsiaTheme="minorEastAsia" w:hAnsiTheme="minorHAnsi" w:cstheme="minorBidi"/>
              <w:b w:val="0"/>
              <w:bCs w:val="0"/>
              <w:sz w:val="22"/>
              <w:szCs w:val="22"/>
              <w:lang w:eastAsia="de-CH"/>
            </w:rPr>
          </w:pPr>
          <w:hyperlink w:anchor="_Toc147849868" w:history="1">
            <w:r w:rsidRPr="00445518">
              <w:rPr>
                <w:rStyle w:val="Hyperlink"/>
              </w:rPr>
              <w:t>5.</w:t>
            </w:r>
            <w:r>
              <w:rPr>
                <w:rFonts w:asciiTheme="minorHAnsi" w:eastAsiaTheme="minorEastAsia" w:hAnsiTheme="minorHAnsi" w:cstheme="minorBidi"/>
                <w:b w:val="0"/>
                <w:bCs w:val="0"/>
                <w:sz w:val="22"/>
                <w:szCs w:val="22"/>
                <w:lang w:eastAsia="de-CH"/>
              </w:rPr>
              <w:tab/>
            </w:r>
            <w:r w:rsidRPr="00445518">
              <w:rPr>
                <w:rStyle w:val="Hyperlink"/>
              </w:rPr>
              <w:t xml:space="preserve">Wichtige Informationen zu der geprüften </w:t>
            </w:r>
            <w:r w:rsidRPr="00445518">
              <w:rPr>
                <w:rStyle w:val="Hyperlink"/>
                <w:i/>
              </w:rPr>
              <w:t xml:space="preserve">Bank, Wertpapierfirma </w:t>
            </w:r>
            <w:r w:rsidRPr="00445518">
              <w:rPr>
                <w:rStyle w:val="Hyperlink"/>
              </w:rPr>
              <w:t>bzw. Gruppe/ Darstellung bedeutender Änderungen</w:t>
            </w:r>
            <w:r>
              <w:rPr>
                <w:webHidden/>
              </w:rPr>
              <w:tab/>
            </w:r>
            <w:r>
              <w:rPr>
                <w:webHidden/>
              </w:rPr>
              <w:fldChar w:fldCharType="begin"/>
            </w:r>
            <w:r>
              <w:rPr>
                <w:webHidden/>
              </w:rPr>
              <w:instrText xml:space="preserve"> PAGEREF _Toc147849868 \h </w:instrText>
            </w:r>
            <w:r>
              <w:rPr>
                <w:webHidden/>
              </w:rPr>
            </w:r>
            <w:r>
              <w:rPr>
                <w:webHidden/>
              </w:rPr>
              <w:fldChar w:fldCharType="separate"/>
            </w:r>
            <w:r>
              <w:rPr>
                <w:webHidden/>
              </w:rPr>
              <w:t>8</w:t>
            </w:r>
            <w:r>
              <w:rPr>
                <w:webHidden/>
              </w:rPr>
              <w:fldChar w:fldCharType="end"/>
            </w:r>
          </w:hyperlink>
        </w:p>
        <w:p w14:paraId="4DB3CD29" w14:textId="55287BA3" w:rsidR="005573E0" w:rsidRDefault="005573E0">
          <w:pPr>
            <w:pStyle w:val="Verzeichnis2"/>
            <w:rPr>
              <w:rFonts w:asciiTheme="minorHAnsi" w:eastAsiaTheme="minorEastAsia" w:hAnsiTheme="minorHAnsi" w:cstheme="minorBidi"/>
              <w:noProof/>
              <w:sz w:val="22"/>
              <w:szCs w:val="22"/>
              <w:lang w:eastAsia="de-CH"/>
            </w:rPr>
          </w:pPr>
          <w:hyperlink w:anchor="_Toc147849869" w:history="1">
            <w:r w:rsidRPr="00445518">
              <w:rPr>
                <w:rStyle w:val="Hyperlink"/>
                <w:noProof/>
              </w:rPr>
              <w:t>5.1</w:t>
            </w:r>
            <w:r>
              <w:rPr>
                <w:rFonts w:asciiTheme="minorHAnsi" w:eastAsiaTheme="minorEastAsia" w:hAnsiTheme="minorHAnsi" w:cstheme="minorBidi"/>
                <w:noProof/>
                <w:sz w:val="22"/>
                <w:szCs w:val="22"/>
                <w:lang w:eastAsia="de-CH"/>
              </w:rPr>
              <w:tab/>
            </w:r>
            <w:r w:rsidRPr="00445518">
              <w:rPr>
                <w:rStyle w:val="Hyperlink"/>
                <w:noProof/>
              </w:rPr>
              <w:t>Geschäftstätigkeit und Kundenstruktur</w:t>
            </w:r>
            <w:r>
              <w:rPr>
                <w:noProof/>
                <w:webHidden/>
              </w:rPr>
              <w:tab/>
            </w:r>
            <w:r>
              <w:rPr>
                <w:noProof/>
                <w:webHidden/>
              </w:rPr>
              <w:fldChar w:fldCharType="begin"/>
            </w:r>
            <w:r>
              <w:rPr>
                <w:noProof/>
                <w:webHidden/>
              </w:rPr>
              <w:instrText xml:space="preserve"> PAGEREF _Toc147849869 \h </w:instrText>
            </w:r>
            <w:r>
              <w:rPr>
                <w:noProof/>
                <w:webHidden/>
              </w:rPr>
            </w:r>
            <w:r>
              <w:rPr>
                <w:noProof/>
                <w:webHidden/>
              </w:rPr>
              <w:fldChar w:fldCharType="separate"/>
            </w:r>
            <w:r>
              <w:rPr>
                <w:noProof/>
                <w:webHidden/>
              </w:rPr>
              <w:t>8</w:t>
            </w:r>
            <w:r>
              <w:rPr>
                <w:noProof/>
                <w:webHidden/>
              </w:rPr>
              <w:fldChar w:fldCharType="end"/>
            </w:r>
          </w:hyperlink>
        </w:p>
        <w:p w14:paraId="05D2847A" w14:textId="1C8E569E" w:rsidR="005573E0" w:rsidRDefault="005573E0">
          <w:pPr>
            <w:pStyle w:val="Verzeichnis2"/>
            <w:rPr>
              <w:rFonts w:asciiTheme="minorHAnsi" w:eastAsiaTheme="minorEastAsia" w:hAnsiTheme="minorHAnsi" w:cstheme="minorBidi"/>
              <w:noProof/>
              <w:sz w:val="22"/>
              <w:szCs w:val="22"/>
              <w:lang w:eastAsia="de-CH"/>
            </w:rPr>
          </w:pPr>
          <w:hyperlink w:anchor="_Toc147849870" w:history="1">
            <w:r w:rsidRPr="00445518">
              <w:rPr>
                <w:rStyle w:val="Hyperlink"/>
                <w:noProof/>
              </w:rPr>
              <w:t>5.2</w:t>
            </w:r>
            <w:r>
              <w:rPr>
                <w:rFonts w:asciiTheme="minorHAnsi" w:eastAsiaTheme="minorEastAsia" w:hAnsiTheme="minorHAnsi" w:cstheme="minorBidi"/>
                <w:noProof/>
                <w:sz w:val="22"/>
                <w:szCs w:val="22"/>
                <w:lang w:eastAsia="de-CH"/>
              </w:rPr>
              <w:tab/>
            </w:r>
            <w:r w:rsidRPr="00445518">
              <w:rPr>
                <w:rStyle w:val="Hyperlink"/>
                <w:noProof/>
              </w:rPr>
              <w:t>Gruppenstruktur und Beteiligungsverhältnisse / Beziehungen zu anderen Unternehmen</w:t>
            </w:r>
            <w:r>
              <w:rPr>
                <w:noProof/>
                <w:webHidden/>
              </w:rPr>
              <w:tab/>
            </w:r>
            <w:r>
              <w:rPr>
                <w:noProof/>
                <w:webHidden/>
              </w:rPr>
              <w:fldChar w:fldCharType="begin"/>
            </w:r>
            <w:r>
              <w:rPr>
                <w:noProof/>
                <w:webHidden/>
              </w:rPr>
              <w:instrText xml:space="preserve"> PAGEREF _Toc147849870 \h </w:instrText>
            </w:r>
            <w:r>
              <w:rPr>
                <w:noProof/>
                <w:webHidden/>
              </w:rPr>
            </w:r>
            <w:r>
              <w:rPr>
                <w:noProof/>
                <w:webHidden/>
              </w:rPr>
              <w:fldChar w:fldCharType="separate"/>
            </w:r>
            <w:r>
              <w:rPr>
                <w:noProof/>
                <w:webHidden/>
              </w:rPr>
              <w:t>8</w:t>
            </w:r>
            <w:r>
              <w:rPr>
                <w:noProof/>
                <w:webHidden/>
              </w:rPr>
              <w:fldChar w:fldCharType="end"/>
            </w:r>
          </w:hyperlink>
        </w:p>
        <w:p w14:paraId="7830E2FB" w14:textId="7CB4DF43" w:rsidR="005573E0" w:rsidRDefault="005573E0">
          <w:pPr>
            <w:pStyle w:val="Verzeichnis2"/>
            <w:rPr>
              <w:rFonts w:asciiTheme="minorHAnsi" w:eastAsiaTheme="minorEastAsia" w:hAnsiTheme="minorHAnsi" w:cstheme="minorBidi"/>
              <w:noProof/>
              <w:sz w:val="22"/>
              <w:szCs w:val="22"/>
              <w:lang w:eastAsia="de-CH"/>
            </w:rPr>
          </w:pPr>
          <w:hyperlink w:anchor="_Toc147849871" w:history="1">
            <w:r w:rsidRPr="00445518">
              <w:rPr>
                <w:rStyle w:val="Hyperlink"/>
                <w:noProof/>
              </w:rPr>
              <w:t>5.3</w:t>
            </w:r>
            <w:r>
              <w:rPr>
                <w:rFonts w:asciiTheme="minorHAnsi" w:eastAsiaTheme="minorEastAsia" w:hAnsiTheme="minorHAnsi" w:cstheme="minorBidi"/>
                <w:noProof/>
                <w:sz w:val="22"/>
                <w:szCs w:val="22"/>
                <w:lang w:eastAsia="de-CH"/>
              </w:rPr>
              <w:tab/>
            </w:r>
            <w:r w:rsidRPr="00445518">
              <w:rPr>
                <w:rStyle w:val="Hyperlink"/>
                <w:noProof/>
              </w:rPr>
              <w:t>Betriebs- und Aufbauorganisation</w:t>
            </w:r>
            <w:r>
              <w:rPr>
                <w:noProof/>
                <w:webHidden/>
              </w:rPr>
              <w:tab/>
            </w:r>
            <w:r>
              <w:rPr>
                <w:noProof/>
                <w:webHidden/>
              </w:rPr>
              <w:fldChar w:fldCharType="begin"/>
            </w:r>
            <w:r>
              <w:rPr>
                <w:noProof/>
                <w:webHidden/>
              </w:rPr>
              <w:instrText xml:space="preserve"> PAGEREF _Toc147849871 \h </w:instrText>
            </w:r>
            <w:r>
              <w:rPr>
                <w:noProof/>
                <w:webHidden/>
              </w:rPr>
            </w:r>
            <w:r>
              <w:rPr>
                <w:noProof/>
                <w:webHidden/>
              </w:rPr>
              <w:fldChar w:fldCharType="separate"/>
            </w:r>
            <w:r>
              <w:rPr>
                <w:noProof/>
                <w:webHidden/>
              </w:rPr>
              <w:t>8</w:t>
            </w:r>
            <w:r>
              <w:rPr>
                <w:noProof/>
                <w:webHidden/>
              </w:rPr>
              <w:fldChar w:fldCharType="end"/>
            </w:r>
          </w:hyperlink>
        </w:p>
        <w:p w14:paraId="0680ACE6" w14:textId="3362D123" w:rsidR="005573E0" w:rsidRDefault="005573E0">
          <w:pPr>
            <w:pStyle w:val="Verzeichnis2"/>
            <w:rPr>
              <w:rFonts w:asciiTheme="minorHAnsi" w:eastAsiaTheme="minorEastAsia" w:hAnsiTheme="minorHAnsi" w:cstheme="minorBidi"/>
              <w:noProof/>
              <w:sz w:val="22"/>
              <w:szCs w:val="22"/>
              <w:lang w:eastAsia="de-CH"/>
            </w:rPr>
          </w:pPr>
          <w:hyperlink w:anchor="_Toc147849872" w:history="1">
            <w:r w:rsidRPr="00445518">
              <w:rPr>
                <w:rStyle w:val="Hyperlink"/>
                <w:noProof/>
              </w:rPr>
              <w:t>5.4</w:t>
            </w:r>
            <w:r>
              <w:rPr>
                <w:rFonts w:asciiTheme="minorHAnsi" w:eastAsiaTheme="minorEastAsia" w:hAnsiTheme="minorHAnsi" w:cstheme="minorBidi"/>
                <w:noProof/>
                <w:sz w:val="22"/>
                <w:szCs w:val="22"/>
                <w:lang w:eastAsia="de-CH"/>
              </w:rPr>
              <w:tab/>
            </w:r>
            <w:r w:rsidRPr="00445518">
              <w:rPr>
                <w:rStyle w:val="Hyperlink"/>
                <w:noProof/>
              </w:rPr>
              <w:t xml:space="preserve">Wesentliche Änderungen bei der beaufsichtigten </w:t>
            </w:r>
            <w:r w:rsidRPr="00445518">
              <w:rPr>
                <w:rStyle w:val="Hyperlink"/>
                <w:i/>
                <w:noProof/>
              </w:rPr>
              <w:t>Bank, Wertpapierfirma bzw. Gruppe</w:t>
            </w:r>
            <w:r>
              <w:rPr>
                <w:noProof/>
                <w:webHidden/>
              </w:rPr>
              <w:tab/>
            </w:r>
            <w:r>
              <w:rPr>
                <w:noProof/>
                <w:webHidden/>
              </w:rPr>
              <w:fldChar w:fldCharType="begin"/>
            </w:r>
            <w:r>
              <w:rPr>
                <w:noProof/>
                <w:webHidden/>
              </w:rPr>
              <w:instrText xml:space="preserve"> PAGEREF _Toc147849872 \h </w:instrText>
            </w:r>
            <w:r>
              <w:rPr>
                <w:noProof/>
                <w:webHidden/>
              </w:rPr>
            </w:r>
            <w:r>
              <w:rPr>
                <w:noProof/>
                <w:webHidden/>
              </w:rPr>
              <w:fldChar w:fldCharType="separate"/>
            </w:r>
            <w:r>
              <w:rPr>
                <w:noProof/>
                <w:webHidden/>
              </w:rPr>
              <w:t>8</w:t>
            </w:r>
            <w:r>
              <w:rPr>
                <w:noProof/>
                <w:webHidden/>
              </w:rPr>
              <w:fldChar w:fldCharType="end"/>
            </w:r>
          </w:hyperlink>
        </w:p>
        <w:p w14:paraId="1175B4D2" w14:textId="10675261" w:rsidR="005573E0" w:rsidRDefault="005573E0">
          <w:pPr>
            <w:pStyle w:val="Verzeichnis1"/>
            <w:rPr>
              <w:rFonts w:asciiTheme="minorHAnsi" w:eastAsiaTheme="minorEastAsia" w:hAnsiTheme="minorHAnsi" w:cstheme="minorBidi"/>
              <w:b w:val="0"/>
              <w:bCs w:val="0"/>
              <w:sz w:val="22"/>
              <w:szCs w:val="22"/>
              <w:lang w:eastAsia="de-CH"/>
            </w:rPr>
          </w:pPr>
          <w:hyperlink w:anchor="_Toc147849873" w:history="1">
            <w:r w:rsidRPr="00445518">
              <w:rPr>
                <w:rStyle w:val="Hyperlink"/>
              </w:rPr>
              <w:t>6.</w:t>
            </w:r>
            <w:r>
              <w:rPr>
                <w:rFonts w:asciiTheme="minorHAnsi" w:eastAsiaTheme="minorEastAsia" w:hAnsiTheme="minorHAnsi" w:cstheme="minorBidi"/>
                <w:b w:val="0"/>
                <w:bCs w:val="0"/>
                <w:sz w:val="22"/>
                <w:szCs w:val="22"/>
                <w:lang w:eastAsia="de-CH"/>
              </w:rPr>
              <w:tab/>
            </w:r>
            <w:r w:rsidRPr="00445518">
              <w:rPr>
                <w:rStyle w:val="Hyperlink"/>
              </w:rPr>
              <w:t>Prüfresultate</w:t>
            </w:r>
            <w:r>
              <w:rPr>
                <w:webHidden/>
              </w:rPr>
              <w:tab/>
            </w:r>
            <w:r>
              <w:rPr>
                <w:webHidden/>
              </w:rPr>
              <w:fldChar w:fldCharType="begin"/>
            </w:r>
            <w:r>
              <w:rPr>
                <w:webHidden/>
              </w:rPr>
              <w:instrText xml:space="preserve"> PAGEREF _Toc147849873 \h </w:instrText>
            </w:r>
            <w:r>
              <w:rPr>
                <w:webHidden/>
              </w:rPr>
            </w:r>
            <w:r>
              <w:rPr>
                <w:webHidden/>
              </w:rPr>
              <w:fldChar w:fldCharType="separate"/>
            </w:r>
            <w:r>
              <w:rPr>
                <w:webHidden/>
              </w:rPr>
              <w:t>9</w:t>
            </w:r>
            <w:r>
              <w:rPr>
                <w:webHidden/>
              </w:rPr>
              <w:fldChar w:fldCharType="end"/>
            </w:r>
          </w:hyperlink>
        </w:p>
        <w:p w14:paraId="6BA697C8" w14:textId="231B1C42" w:rsidR="005573E0" w:rsidRDefault="005573E0">
          <w:pPr>
            <w:pStyle w:val="Verzeichnis2"/>
            <w:rPr>
              <w:rFonts w:asciiTheme="minorHAnsi" w:eastAsiaTheme="minorEastAsia" w:hAnsiTheme="minorHAnsi" w:cstheme="minorBidi"/>
              <w:noProof/>
              <w:sz w:val="22"/>
              <w:szCs w:val="22"/>
              <w:lang w:eastAsia="de-CH"/>
            </w:rPr>
          </w:pPr>
          <w:hyperlink w:anchor="_Toc147849874" w:history="1">
            <w:r w:rsidRPr="00445518">
              <w:rPr>
                <w:rStyle w:val="Hyperlink"/>
                <w:noProof/>
              </w:rPr>
              <w:t>6.1</w:t>
            </w:r>
            <w:r>
              <w:rPr>
                <w:rFonts w:asciiTheme="minorHAnsi" w:eastAsiaTheme="minorEastAsia" w:hAnsiTheme="minorHAnsi" w:cstheme="minorBidi"/>
                <w:noProof/>
                <w:sz w:val="22"/>
                <w:szCs w:val="22"/>
                <w:lang w:eastAsia="de-CH"/>
              </w:rPr>
              <w:tab/>
            </w:r>
            <w:r w:rsidRPr="00445518">
              <w:rPr>
                <w:rStyle w:val="Hyperlink"/>
                <w:noProof/>
              </w:rPr>
              <w:t>Geschäftsrisiken</w:t>
            </w:r>
            <w:r>
              <w:rPr>
                <w:noProof/>
                <w:webHidden/>
              </w:rPr>
              <w:tab/>
            </w:r>
            <w:r>
              <w:rPr>
                <w:noProof/>
                <w:webHidden/>
              </w:rPr>
              <w:fldChar w:fldCharType="begin"/>
            </w:r>
            <w:r>
              <w:rPr>
                <w:noProof/>
                <w:webHidden/>
              </w:rPr>
              <w:instrText xml:space="preserve"> PAGEREF _Toc147849874 \h </w:instrText>
            </w:r>
            <w:r>
              <w:rPr>
                <w:noProof/>
                <w:webHidden/>
              </w:rPr>
            </w:r>
            <w:r>
              <w:rPr>
                <w:noProof/>
                <w:webHidden/>
              </w:rPr>
              <w:fldChar w:fldCharType="separate"/>
            </w:r>
            <w:r>
              <w:rPr>
                <w:noProof/>
                <w:webHidden/>
              </w:rPr>
              <w:t>11</w:t>
            </w:r>
            <w:r>
              <w:rPr>
                <w:noProof/>
                <w:webHidden/>
              </w:rPr>
              <w:fldChar w:fldCharType="end"/>
            </w:r>
          </w:hyperlink>
        </w:p>
        <w:p w14:paraId="7119B609" w14:textId="78953368" w:rsidR="005573E0" w:rsidRDefault="005573E0">
          <w:pPr>
            <w:pStyle w:val="Verzeichnis3"/>
            <w:rPr>
              <w:rFonts w:asciiTheme="minorHAnsi" w:eastAsiaTheme="minorEastAsia" w:hAnsiTheme="minorHAnsi" w:cstheme="minorBidi"/>
              <w:noProof/>
              <w:sz w:val="22"/>
              <w:szCs w:val="22"/>
              <w:lang w:eastAsia="de-CH"/>
            </w:rPr>
          </w:pPr>
          <w:hyperlink w:anchor="_Toc147849875" w:history="1">
            <w:r w:rsidRPr="00445518">
              <w:rPr>
                <w:rStyle w:val="Hyperlink"/>
                <w:noProof/>
                <w:lang w:val="x-none" w:eastAsia="x-none" w:bidi="x-none"/>
              </w:rPr>
              <w:t>6.1.1</w:t>
            </w:r>
            <w:r>
              <w:rPr>
                <w:rFonts w:asciiTheme="minorHAnsi" w:eastAsiaTheme="minorEastAsia" w:hAnsiTheme="minorHAnsi" w:cstheme="minorBidi"/>
                <w:noProof/>
                <w:sz w:val="22"/>
                <w:szCs w:val="22"/>
                <w:lang w:eastAsia="de-CH"/>
              </w:rPr>
              <w:tab/>
            </w:r>
            <w:r w:rsidRPr="00445518">
              <w:rPr>
                <w:rStyle w:val="Hyperlink"/>
                <w:noProof/>
              </w:rPr>
              <w:t>Kreditrisiken / Gegenparteiausfallrisiken aus Interbankgeschäften (GR-1)</w:t>
            </w:r>
            <w:r>
              <w:rPr>
                <w:noProof/>
                <w:webHidden/>
              </w:rPr>
              <w:tab/>
            </w:r>
            <w:r>
              <w:rPr>
                <w:noProof/>
                <w:webHidden/>
              </w:rPr>
              <w:fldChar w:fldCharType="begin"/>
            </w:r>
            <w:r>
              <w:rPr>
                <w:noProof/>
                <w:webHidden/>
              </w:rPr>
              <w:instrText xml:space="preserve"> PAGEREF _Toc147849875 \h </w:instrText>
            </w:r>
            <w:r>
              <w:rPr>
                <w:noProof/>
                <w:webHidden/>
              </w:rPr>
            </w:r>
            <w:r>
              <w:rPr>
                <w:noProof/>
                <w:webHidden/>
              </w:rPr>
              <w:fldChar w:fldCharType="separate"/>
            </w:r>
            <w:r>
              <w:rPr>
                <w:noProof/>
                <w:webHidden/>
              </w:rPr>
              <w:t>11</w:t>
            </w:r>
            <w:r>
              <w:rPr>
                <w:noProof/>
                <w:webHidden/>
              </w:rPr>
              <w:fldChar w:fldCharType="end"/>
            </w:r>
          </w:hyperlink>
        </w:p>
        <w:p w14:paraId="02696425" w14:textId="717D397C" w:rsidR="005573E0" w:rsidRDefault="005573E0">
          <w:pPr>
            <w:pStyle w:val="Verzeichnis3"/>
            <w:rPr>
              <w:rFonts w:asciiTheme="minorHAnsi" w:eastAsiaTheme="minorEastAsia" w:hAnsiTheme="minorHAnsi" w:cstheme="minorBidi"/>
              <w:noProof/>
              <w:sz w:val="22"/>
              <w:szCs w:val="22"/>
              <w:lang w:eastAsia="de-CH"/>
            </w:rPr>
          </w:pPr>
          <w:hyperlink w:anchor="_Toc147849876" w:history="1">
            <w:r w:rsidRPr="00445518">
              <w:rPr>
                <w:rStyle w:val="Hyperlink"/>
                <w:noProof/>
                <w:lang w:val="x-none" w:eastAsia="x-none" w:bidi="x-none"/>
              </w:rPr>
              <w:t>6.1.2</w:t>
            </w:r>
            <w:r>
              <w:rPr>
                <w:rFonts w:asciiTheme="minorHAnsi" w:eastAsiaTheme="minorEastAsia" w:hAnsiTheme="minorHAnsi" w:cstheme="minorBidi"/>
                <w:noProof/>
                <w:sz w:val="22"/>
                <w:szCs w:val="22"/>
                <w:lang w:eastAsia="de-CH"/>
              </w:rPr>
              <w:tab/>
            </w:r>
            <w:r w:rsidRPr="00445518">
              <w:rPr>
                <w:rStyle w:val="Hyperlink"/>
                <w:noProof/>
              </w:rPr>
              <w:t>Kreditrisiken / Gegenparteiausfallrisiken aus Hypothekargeschäften (GR-2)</w:t>
            </w:r>
            <w:r>
              <w:rPr>
                <w:noProof/>
                <w:webHidden/>
              </w:rPr>
              <w:tab/>
            </w:r>
            <w:r>
              <w:rPr>
                <w:noProof/>
                <w:webHidden/>
              </w:rPr>
              <w:fldChar w:fldCharType="begin"/>
            </w:r>
            <w:r>
              <w:rPr>
                <w:noProof/>
                <w:webHidden/>
              </w:rPr>
              <w:instrText xml:space="preserve"> PAGEREF _Toc147849876 \h </w:instrText>
            </w:r>
            <w:r>
              <w:rPr>
                <w:noProof/>
                <w:webHidden/>
              </w:rPr>
            </w:r>
            <w:r>
              <w:rPr>
                <w:noProof/>
                <w:webHidden/>
              </w:rPr>
              <w:fldChar w:fldCharType="separate"/>
            </w:r>
            <w:r>
              <w:rPr>
                <w:noProof/>
                <w:webHidden/>
              </w:rPr>
              <w:t>12</w:t>
            </w:r>
            <w:r>
              <w:rPr>
                <w:noProof/>
                <w:webHidden/>
              </w:rPr>
              <w:fldChar w:fldCharType="end"/>
            </w:r>
          </w:hyperlink>
        </w:p>
        <w:p w14:paraId="20339012" w14:textId="4EFE2D38" w:rsidR="005573E0" w:rsidRDefault="005573E0">
          <w:pPr>
            <w:pStyle w:val="Verzeichnis3"/>
            <w:rPr>
              <w:rFonts w:asciiTheme="minorHAnsi" w:eastAsiaTheme="minorEastAsia" w:hAnsiTheme="minorHAnsi" w:cstheme="minorBidi"/>
              <w:noProof/>
              <w:sz w:val="22"/>
              <w:szCs w:val="22"/>
              <w:lang w:eastAsia="de-CH"/>
            </w:rPr>
          </w:pPr>
          <w:hyperlink w:anchor="_Toc147849877" w:history="1">
            <w:r w:rsidRPr="00445518">
              <w:rPr>
                <w:rStyle w:val="Hyperlink"/>
                <w:noProof/>
                <w:lang w:val="x-none" w:eastAsia="x-none" w:bidi="x-none"/>
              </w:rPr>
              <w:t>6.1.3</w:t>
            </w:r>
            <w:r>
              <w:rPr>
                <w:rFonts w:asciiTheme="minorHAnsi" w:eastAsiaTheme="minorEastAsia" w:hAnsiTheme="minorHAnsi" w:cstheme="minorBidi"/>
                <w:noProof/>
                <w:sz w:val="22"/>
                <w:szCs w:val="22"/>
                <w:lang w:eastAsia="de-CH"/>
              </w:rPr>
              <w:tab/>
            </w:r>
            <w:r w:rsidRPr="00445518">
              <w:rPr>
                <w:rStyle w:val="Hyperlink"/>
                <w:noProof/>
              </w:rPr>
              <w:t xml:space="preserve">Kreditrisiken / Gegenparteiausfallrisiken aus kommerziellen Kreditgeschäften </w:t>
            </w:r>
            <w:r w:rsidRPr="00445518">
              <w:rPr>
                <w:rStyle w:val="Hyperlink"/>
                <w:noProof/>
                <w:highlight w:val="yellow"/>
              </w:rPr>
              <w:t xml:space="preserve">inkl. Trade Finance </w:t>
            </w:r>
            <w:r w:rsidRPr="00445518">
              <w:rPr>
                <w:rStyle w:val="Hyperlink"/>
                <w:noProof/>
              </w:rPr>
              <w:t>(GR-3)</w:t>
            </w:r>
            <w:r>
              <w:rPr>
                <w:noProof/>
                <w:webHidden/>
              </w:rPr>
              <w:tab/>
            </w:r>
            <w:r>
              <w:rPr>
                <w:noProof/>
                <w:webHidden/>
              </w:rPr>
              <w:fldChar w:fldCharType="begin"/>
            </w:r>
            <w:r>
              <w:rPr>
                <w:noProof/>
                <w:webHidden/>
              </w:rPr>
              <w:instrText xml:space="preserve"> PAGEREF _Toc147849877 \h </w:instrText>
            </w:r>
            <w:r>
              <w:rPr>
                <w:noProof/>
                <w:webHidden/>
              </w:rPr>
            </w:r>
            <w:r>
              <w:rPr>
                <w:noProof/>
                <w:webHidden/>
              </w:rPr>
              <w:fldChar w:fldCharType="separate"/>
            </w:r>
            <w:r>
              <w:rPr>
                <w:noProof/>
                <w:webHidden/>
              </w:rPr>
              <w:t>13</w:t>
            </w:r>
            <w:r>
              <w:rPr>
                <w:noProof/>
                <w:webHidden/>
              </w:rPr>
              <w:fldChar w:fldCharType="end"/>
            </w:r>
          </w:hyperlink>
        </w:p>
        <w:p w14:paraId="752AD7F5" w14:textId="15740F81" w:rsidR="005573E0" w:rsidRDefault="005573E0">
          <w:pPr>
            <w:pStyle w:val="Verzeichnis3"/>
            <w:rPr>
              <w:rFonts w:asciiTheme="minorHAnsi" w:eastAsiaTheme="minorEastAsia" w:hAnsiTheme="minorHAnsi" w:cstheme="minorBidi"/>
              <w:noProof/>
              <w:sz w:val="22"/>
              <w:szCs w:val="22"/>
              <w:lang w:eastAsia="de-CH"/>
            </w:rPr>
          </w:pPr>
          <w:hyperlink w:anchor="_Toc147849878" w:history="1">
            <w:r w:rsidRPr="00445518">
              <w:rPr>
                <w:rStyle w:val="Hyperlink"/>
                <w:noProof/>
                <w:lang w:val="x-none" w:eastAsia="x-none" w:bidi="x-none"/>
              </w:rPr>
              <w:t>6.1.4</w:t>
            </w:r>
            <w:r>
              <w:rPr>
                <w:rFonts w:asciiTheme="minorHAnsi" w:eastAsiaTheme="minorEastAsia" w:hAnsiTheme="minorHAnsi" w:cstheme="minorBidi"/>
                <w:noProof/>
                <w:sz w:val="22"/>
                <w:szCs w:val="22"/>
                <w:lang w:eastAsia="de-CH"/>
              </w:rPr>
              <w:tab/>
            </w:r>
            <w:r w:rsidRPr="00445518">
              <w:rPr>
                <w:rStyle w:val="Hyperlink"/>
                <w:noProof/>
              </w:rPr>
              <w:t>Kreditrisiken / Gegenparteiausfallrisiken aus Lombardkreditgeschäften (GR-4)</w:t>
            </w:r>
            <w:r>
              <w:rPr>
                <w:noProof/>
                <w:webHidden/>
              </w:rPr>
              <w:tab/>
            </w:r>
            <w:r>
              <w:rPr>
                <w:noProof/>
                <w:webHidden/>
              </w:rPr>
              <w:fldChar w:fldCharType="begin"/>
            </w:r>
            <w:r>
              <w:rPr>
                <w:noProof/>
                <w:webHidden/>
              </w:rPr>
              <w:instrText xml:space="preserve"> PAGEREF _Toc147849878 \h </w:instrText>
            </w:r>
            <w:r>
              <w:rPr>
                <w:noProof/>
                <w:webHidden/>
              </w:rPr>
            </w:r>
            <w:r>
              <w:rPr>
                <w:noProof/>
                <w:webHidden/>
              </w:rPr>
              <w:fldChar w:fldCharType="separate"/>
            </w:r>
            <w:r>
              <w:rPr>
                <w:noProof/>
                <w:webHidden/>
              </w:rPr>
              <w:t>14</w:t>
            </w:r>
            <w:r>
              <w:rPr>
                <w:noProof/>
                <w:webHidden/>
              </w:rPr>
              <w:fldChar w:fldCharType="end"/>
            </w:r>
          </w:hyperlink>
        </w:p>
        <w:p w14:paraId="07ABC58C" w14:textId="0D84E11B" w:rsidR="005573E0" w:rsidRDefault="005573E0">
          <w:pPr>
            <w:pStyle w:val="Verzeichnis3"/>
            <w:rPr>
              <w:rFonts w:asciiTheme="minorHAnsi" w:eastAsiaTheme="minorEastAsia" w:hAnsiTheme="minorHAnsi" w:cstheme="minorBidi"/>
              <w:noProof/>
              <w:sz w:val="22"/>
              <w:szCs w:val="22"/>
              <w:lang w:eastAsia="de-CH"/>
            </w:rPr>
          </w:pPr>
          <w:hyperlink w:anchor="_Toc147849879" w:history="1">
            <w:r w:rsidRPr="00445518">
              <w:rPr>
                <w:rStyle w:val="Hyperlink"/>
                <w:noProof/>
                <w:lang w:val="x-none" w:eastAsia="x-none" w:bidi="x-none"/>
              </w:rPr>
              <w:t>6.1.5</w:t>
            </w:r>
            <w:r>
              <w:rPr>
                <w:rFonts w:asciiTheme="minorHAnsi" w:eastAsiaTheme="minorEastAsia" w:hAnsiTheme="minorHAnsi" w:cstheme="minorBidi"/>
                <w:noProof/>
                <w:sz w:val="22"/>
                <w:szCs w:val="22"/>
                <w:lang w:eastAsia="de-CH"/>
              </w:rPr>
              <w:tab/>
            </w:r>
            <w:r w:rsidRPr="00445518">
              <w:rPr>
                <w:rStyle w:val="Hyperlink"/>
                <w:noProof/>
              </w:rPr>
              <w:t xml:space="preserve">Kreditrisiken / Gegenparteiausfallrisiken aus </w:t>
            </w:r>
            <w:r w:rsidRPr="00445518">
              <w:rPr>
                <w:rStyle w:val="Hyperlink"/>
                <w:noProof/>
                <w:highlight w:val="yellow"/>
              </w:rPr>
              <w:t>Konsumkrediten und anderen unbesicherten Krediten</w:t>
            </w:r>
            <w:r w:rsidRPr="00445518">
              <w:rPr>
                <w:rStyle w:val="Hyperlink"/>
                <w:noProof/>
              </w:rPr>
              <w:t xml:space="preserve"> (GR-5)</w:t>
            </w:r>
            <w:r>
              <w:rPr>
                <w:noProof/>
                <w:webHidden/>
              </w:rPr>
              <w:tab/>
            </w:r>
            <w:r>
              <w:rPr>
                <w:noProof/>
                <w:webHidden/>
              </w:rPr>
              <w:fldChar w:fldCharType="begin"/>
            </w:r>
            <w:r>
              <w:rPr>
                <w:noProof/>
                <w:webHidden/>
              </w:rPr>
              <w:instrText xml:space="preserve"> PAGEREF _Toc147849879 \h </w:instrText>
            </w:r>
            <w:r>
              <w:rPr>
                <w:noProof/>
                <w:webHidden/>
              </w:rPr>
            </w:r>
            <w:r>
              <w:rPr>
                <w:noProof/>
                <w:webHidden/>
              </w:rPr>
              <w:fldChar w:fldCharType="separate"/>
            </w:r>
            <w:r>
              <w:rPr>
                <w:noProof/>
                <w:webHidden/>
              </w:rPr>
              <w:t>15</w:t>
            </w:r>
            <w:r>
              <w:rPr>
                <w:noProof/>
                <w:webHidden/>
              </w:rPr>
              <w:fldChar w:fldCharType="end"/>
            </w:r>
          </w:hyperlink>
        </w:p>
        <w:p w14:paraId="63C642EE" w14:textId="21705269" w:rsidR="005573E0" w:rsidRDefault="005573E0">
          <w:pPr>
            <w:pStyle w:val="Verzeichnis3"/>
            <w:rPr>
              <w:rFonts w:asciiTheme="minorHAnsi" w:eastAsiaTheme="minorEastAsia" w:hAnsiTheme="minorHAnsi" w:cstheme="minorBidi"/>
              <w:noProof/>
              <w:sz w:val="22"/>
              <w:szCs w:val="22"/>
              <w:lang w:eastAsia="de-CH"/>
            </w:rPr>
          </w:pPr>
          <w:hyperlink w:anchor="_Toc147849880" w:history="1">
            <w:r w:rsidRPr="00445518">
              <w:rPr>
                <w:rStyle w:val="Hyperlink"/>
                <w:noProof/>
                <w:lang w:val="x-none" w:eastAsia="x-none" w:bidi="x-none"/>
              </w:rPr>
              <w:t>6.1.6</w:t>
            </w:r>
            <w:r>
              <w:rPr>
                <w:rFonts w:asciiTheme="minorHAnsi" w:eastAsiaTheme="minorEastAsia" w:hAnsiTheme="minorHAnsi" w:cstheme="minorBidi"/>
                <w:noProof/>
                <w:sz w:val="22"/>
                <w:szCs w:val="22"/>
                <w:lang w:eastAsia="de-CH"/>
              </w:rPr>
              <w:tab/>
            </w:r>
            <w:r w:rsidRPr="00445518">
              <w:rPr>
                <w:rStyle w:val="Hyperlink"/>
                <w:noProof/>
              </w:rPr>
              <w:t>Kreditrisiken / Gegenparteiausfallrisiken aus Derivattransaktionen (GR-6)</w:t>
            </w:r>
            <w:r>
              <w:rPr>
                <w:noProof/>
                <w:webHidden/>
              </w:rPr>
              <w:tab/>
            </w:r>
            <w:r>
              <w:rPr>
                <w:noProof/>
                <w:webHidden/>
              </w:rPr>
              <w:fldChar w:fldCharType="begin"/>
            </w:r>
            <w:r>
              <w:rPr>
                <w:noProof/>
                <w:webHidden/>
              </w:rPr>
              <w:instrText xml:space="preserve"> PAGEREF _Toc147849880 \h </w:instrText>
            </w:r>
            <w:r>
              <w:rPr>
                <w:noProof/>
                <w:webHidden/>
              </w:rPr>
            </w:r>
            <w:r>
              <w:rPr>
                <w:noProof/>
                <w:webHidden/>
              </w:rPr>
              <w:fldChar w:fldCharType="separate"/>
            </w:r>
            <w:r>
              <w:rPr>
                <w:noProof/>
                <w:webHidden/>
              </w:rPr>
              <w:t>16</w:t>
            </w:r>
            <w:r>
              <w:rPr>
                <w:noProof/>
                <w:webHidden/>
              </w:rPr>
              <w:fldChar w:fldCharType="end"/>
            </w:r>
          </w:hyperlink>
        </w:p>
        <w:p w14:paraId="480291B5" w14:textId="531E70C1" w:rsidR="005573E0" w:rsidRDefault="005573E0">
          <w:pPr>
            <w:pStyle w:val="Verzeichnis3"/>
            <w:rPr>
              <w:rFonts w:asciiTheme="minorHAnsi" w:eastAsiaTheme="minorEastAsia" w:hAnsiTheme="minorHAnsi" w:cstheme="minorBidi"/>
              <w:noProof/>
              <w:sz w:val="22"/>
              <w:szCs w:val="22"/>
              <w:lang w:eastAsia="de-CH"/>
            </w:rPr>
          </w:pPr>
          <w:hyperlink w:anchor="_Toc147849881" w:history="1">
            <w:r w:rsidRPr="00445518">
              <w:rPr>
                <w:rStyle w:val="Hyperlink"/>
                <w:noProof/>
                <w:lang w:val="x-none" w:eastAsia="x-none" w:bidi="x-none"/>
              </w:rPr>
              <w:t>6.1.7</w:t>
            </w:r>
            <w:r>
              <w:rPr>
                <w:rFonts w:asciiTheme="minorHAnsi" w:eastAsiaTheme="minorEastAsia" w:hAnsiTheme="minorHAnsi" w:cstheme="minorBidi"/>
                <w:noProof/>
                <w:sz w:val="22"/>
                <w:szCs w:val="22"/>
                <w:lang w:eastAsia="de-CH"/>
              </w:rPr>
              <w:tab/>
            </w:r>
            <w:r w:rsidRPr="00445518">
              <w:rPr>
                <w:rStyle w:val="Hyperlink"/>
                <w:noProof/>
              </w:rPr>
              <w:t>Kreditrisiken / Gegenparteiausfallrisiken aus Abwicklungs- und Lieferrisiken (GR-7)</w:t>
            </w:r>
            <w:r>
              <w:rPr>
                <w:noProof/>
                <w:webHidden/>
              </w:rPr>
              <w:tab/>
            </w:r>
            <w:r>
              <w:rPr>
                <w:noProof/>
                <w:webHidden/>
              </w:rPr>
              <w:fldChar w:fldCharType="begin"/>
            </w:r>
            <w:r>
              <w:rPr>
                <w:noProof/>
                <w:webHidden/>
              </w:rPr>
              <w:instrText xml:space="preserve"> PAGEREF _Toc147849881 \h </w:instrText>
            </w:r>
            <w:r>
              <w:rPr>
                <w:noProof/>
                <w:webHidden/>
              </w:rPr>
            </w:r>
            <w:r>
              <w:rPr>
                <w:noProof/>
                <w:webHidden/>
              </w:rPr>
              <w:fldChar w:fldCharType="separate"/>
            </w:r>
            <w:r>
              <w:rPr>
                <w:noProof/>
                <w:webHidden/>
              </w:rPr>
              <w:t>17</w:t>
            </w:r>
            <w:r>
              <w:rPr>
                <w:noProof/>
                <w:webHidden/>
              </w:rPr>
              <w:fldChar w:fldCharType="end"/>
            </w:r>
          </w:hyperlink>
        </w:p>
        <w:p w14:paraId="259CA027" w14:textId="2FB720EA" w:rsidR="005573E0" w:rsidRDefault="005573E0">
          <w:pPr>
            <w:pStyle w:val="Verzeichnis3"/>
            <w:rPr>
              <w:rFonts w:asciiTheme="minorHAnsi" w:eastAsiaTheme="minorEastAsia" w:hAnsiTheme="minorHAnsi" w:cstheme="minorBidi"/>
              <w:noProof/>
              <w:sz w:val="22"/>
              <w:szCs w:val="22"/>
              <w:lang w:eastAsia="de-CH"/>
            </w:rPr>
          </w:pPr>
          <w:hyperlink w:anchor="_Toc147849882" w:history="1">
            <w:r w:rsidRPr="00445518">
              <w:rPr>
                <w:rStyle w:val="Hyperlink"/>
                <w:noProof/>
                <w:highlight w:val="yellow"/>
                <w:lang w:val="x-none" w:eastAsia="x-none" w:bidi="x-none"/>
              </w:rPr>
              <w:t>6.1.8</w:t>
            </w:r>
            <w:r>
              <w:rPr>
                <w:rFonts w:asciiTheme="minorHAnsi" w:eastAsiaTheme="minorEastAsia" w:hAnsiTheme="minorHAnsi" w:cstheme="minorBidi"/>
                <w:noProof/>
                <w:sz w:val="22"/>
                <w:szCs w:val="22"/>
                <w:lang w:eastAsia="de-CH"/>
              </w:rPr>
              <w:tab/>
            </w:r>
            <w:r w:rsidRPr="00445518">
              <w:rPr>
                <w:rStyle w:val="Hyperlink"/>
                <w:noProof/>
                <w:highlight w:val="yellow"/>
              </w:rPr>
              <w:t>[Weitere Kreditrisiken von der Revisionsstelle zu definieren] (GR-8)</w:t>
            </w:r>
            <w:r>
              <w:rPr>
                <w:noProof/>
                <w:webHidden/>
              </w:rPr>
              <w:tab/>
            </w:r>
            <w:r>
              <w:rPr>
                <w:noProof/>
                <w:webHidden/>
              </w:rPr>
              <w:fldChar w:fldCharType="begin"/>
            </w:r>
            <w:r>
              <w:rPr>
                <w:noProof/>
                <w:webHidden/>
              </w:rPr>
              <w:instrText xml:space="preserve"> PAGEREF _Toc147849882 \h </w:instrText>
            </w:r>
            <w:r>
              <w:rPr>
                <w:noProof/>
                <w:webHidden/>
              </w:rPr>
            </w:r>
            <w:r>
              <w:rPr>
                <w:noProof/>
                <w:webHidden/>
              </w:rPr>
              <w:fldChar w:fldCharType="separate"/>
            </w:r>
            <w:r>
              <w:rPr>
                <w:noProof/>
                <w:webHidden/>
              </w:rPr>
              <w:t>19</w:t>
            </w:r>
            <w:r>
              <w:rPr>
                <w:noProof/>
                <w:webHidden/>
              </w:rPr>
              <w:fldChar w:fldCharType="end"/>
            </w:r>
          </w:hyperlink>
        </w:p>
        <w:p w14:paraId="04B8B204" w14:textId="69ED797E" w:rsidR="005573E0" w:rsidRDefault="005573E0">
          <w:pPr>
            <w:pStyle w:val="Verzeichnis3"/>
            <w:rPr>
              <w:rFonts w:asciiTheme="minorHAnsi" w:eastAsiaTheme="minorEastAsia" w:hAnsiTheme="minorHAnsi" w:cstheme="minorBidi"/>
              <w:noProof/>
              <w:sz w:val="22"/>
              <w:szCs w:val="22"/>
              <w:lang w:eastAsia="de-CH"/>
            </w:rPr>
          </w:pPr>
          <w:hyperlink w:anchor="_Toc147849883" w:history="1">
            <w:r w:rsidRPr="00445518">
              <w:rPr>
                <w:rStyle w:val="Hyperlink"/>
                <w:noProof/>
                <w:lang w:val="x-none" w:eastAsia="x-none" w:bidi="x-none"/>
              </w:rPr>
              <w:t>6.1.9</w:t>
            </w:r>
            <w:r>
              <w:rPr>
                <w:rFonts w:asciiTheme="minorHAnsi" w:eastAsiaTheme="minorEastAsia" w:hAnsiTheme="minorHAnsi" w:cstheme="minorBidi"/>
                <w:noProof/>
                <w:sz w:val="22"/>
                <w:szCs w:val="22"/>
                <w:lang w:eastAsia="de-CH"/>
              </w:rPr>
              <w:tab/>
            </w:r>
            <w:r w:rsidRPr="00445518">
              <w:rPr>
                <w:rStyle w:val="Hyperlink"/>
                <w:noProof/>
              </w:rPr>
              <w:t>Marktrisiken: Handel von Finanzinstrumenten auf eigene Rechnung (GR-9)</w:t>
            </w:r>
            <w:r>
              <w:rPr>
                <w:noProof/>
                <w:webHidden/>
              </w:rPr>
              <w:tab/>
            </w:r>
            <w:r>
              <w:rPr>
                <w:noProof/>
                <w:webHidden/>
              </w:rPr>
              <w:fldChar w:fldCharType="begin"/>
            </w:r>
            <w:r>
              <w:rPr>
                <w:noProof/>
                <w:webHidden/>
              </w:rPr>
              <w:instrText xml:space="preserve"> PAGEREF _Toc147849883 \h </w:instrText>
            </w:r>
            <w:r>
              <w:rPr>
                <w:noProof/>
                <w:webHidden/>
              </w:rPr>
            </w:r>
            <w:r>
              <w:rPr>
                <w:noProof/>
                <w:webHidden/>
              </w:rPr>
              <w:fldChar w:fldCharType="separate"/>
            </w:r>
            <w:r>
              <w:rPr>
                <w:noProof/>
                <w:webHidden/>
              </w:rPr>
              <w:t>20</w:t>
            </w:r>
            <w:r>
              <w:rPr>
                <w:noProof/>
                <w:webHidden/>
              </w:rPr>
              <w:fldChar w:fldCharType="end"/>
            </w:r>
          </w:hyperlink>
        </w:p>
        <w:p w14:paraId="3C91FF9F" w14:textId="7ADB9F62" w:rsidR="005573E0" w:rsidRDefault="005573E0">
          <w:pPr>
            <w:pStyle w:val="Verzeichnis3"/>
            <w:rPr>
              <w:rFonts w:asciiTheme="minorHAnsi" w:eastAsiaTheme="minorEastAsia" w:hAnsiTheme="minorHAnsi" w:cstheme="minorBidi"/>
              <w:noProof/>
              <w:sz w:val="22"/>
              <w:szCs w:val="22"/>
              <w:lang w:eastAsia="de-CH"/>
            </w:rPr>
          </w:pPr>
          <w:hyperlink w:anchor="_Toc147849884" w:history="1">
            <w:r w:rsidRPr="00445518">
              <w:rPr>
                <w:rStyle w:val="Hyperlink"/>
                <w:noProof/>
                <w:lang w:val="x-none" w:eastAsia="x-none" w:bidi="x-none"/>
              </w:rPr>
              <w:t>6.1.10</w:t>
            </w:r>
            <w:r>
              <w:rPr>
                <w:rFonts w:asciiTheme="minorHAnsi" w:eastAsiaTheme="minorEastAsia" w:hAnsiTheme="minorHAnsi" w:cstheme="minorBidi"/>
                <w:noProof/>
                <w:sz w:val="22"/>
                <w:szCs w:val="22"/>
                <w:lang w:eastAsia="de-CH"/>
              </w:rPr>
              <w:tab/>
            </w:r>
            <w:r w:rsidRPr="00445518">
              <w:rPr>
                <w:rStyle w:val="Hyperlink"/>
                <w:noProof/>
              </w:rPr>
              <w:t>Marktrisiken: Zinsänderungsrisiken (Bankenbuch) (GR-10)</w:t>
            </w:r>
            <w:r>
              <w:rPr>
                <w:noProof/>
                <w:webHidden/>
              </w:rPr>
              <w:tab/>
            </w:r>
            <w:r>
              <w:rPr>
                <w:noProof/>
                <w:webHidden/>
              </w:rPr>
              <w:fldChar w:fldCharType="begin"/>
            </w:r>
            <w:r>
              <w:rPr>
                <w:noProof/>
                <w:webHidden/>
              </w:rPr>
              <w:instrText xml:space="preserve"> PAGEREF _Toc147849884 \h </w:instrText>
            </w:r>
            <w:r>
              <w:rPr>
                <w:noProof/>
                <w:webHidden/>
              </w:rPr>
            </w:r>
            <w:r>
              <w:rPr>
                <w:noProof/>
                <w:webHidden/>
              </w:rPr>
              <w:fldChar w:fldCharType="separate"/>
            </w:r>
            <w:r>
              <w:rPr>
                <w:noProof/>
                <w:webHidden/>
              </w:rPr>
              <w:t>21</w:t>
            </w:r>
            <w:r>
              <w:rPr>
                <w:noProof/>
                <w:webHidden/>
              </w:rPr>
              <w:fldChar w:fldCharType="end"/>
            </w:r>
          </w:hyperlink>
        </w:p>
        <w:p w14:paraId="48084B21" w14:textId="248B8C6B" w:rsidR="005573E0" w:rsidRDefault="005573E0">
          <w:pPr>
            <w:pStyle w:val="Verzeichnis3"/>
            <w:rPr>
              <w:rFonts w:asciiTheme="minorHAnsi" w:eastAsiaTheme="minorEastAsia" w:hAnsiTheme="minorHAnsi" w:cstheme="minorBidi"/>
              <w:noProof/>
              <w:sz w:val="22"/>
              <w:szCs w:val="22"/>
              <w:lang w:eastAsia="de-CH"/>
            </w:rPr>
          </w:pPr>
          <w:hyperlink w:anchor="_Toc147849885" w:history="1">
            <w:r w:rsidRPr="00445518">
              <w:rPr>
                <w:rStyle w:val="Hyperlink"/>
                <w:noProof/>
                <w:lang w:val="x-none" w:eastAsia="x-none" w:bidi="x-none"/>
              </w:rPr>
              <w:t>6.1.11</w:t>
            </w:r>
            <w:r>
              <w:rPr>
                <w:rFonts w:asciiTheme="minorHAnsi" w:eastAsiaTheme="minorEastAsia" w:hAnsiTheme="minorHAnsi" w:cstheme="minorBidi"/>
                <w:noProof/>
                <w:sz w:val="22"/>
                <w:szCs w:val="22"/>
                <w:lang w:eastAsia="de-CH"/>
              </w:rPr>
              <w:tab/>
            </w:r>
            <w:r w:rsidRPr="00445518">
              <w:rPr>
                <w:rStyle w:val="Hyperlink"/>
                <w:noProof/>
              </w:rPr>
              <w:t>Marktrisiken Zinsänderungsrisiken (Handelsbuch) (GR-11)</w:t>
            </w:r>
            <w:r>
              <w:rPr>
                <w:noProof/>
                <w:webHidden/>
              </w:rPr>
              <w:tab/>
            </w:r>
            <w:r>
              <w:rPr>
                <w:noProof/>
                <w:webHidden/>
              </w:rPr>
              <w:fldChar w:fldCharType="begin"/>
            </w:r>
            <w:r>
              <w:rPr>
                <w:noProof/>
                <w:webHidden/>
              </w:rPr>
              <w:instrText xml:space="preserve"> PAGEREF _Toc147849885 \h </w:instrText>
            </w:r>
            <w:r>
              <w:rPr>
                <w:noProof/>
                <w:webHidden/>
              </w:rPr>
            </w:r>
            <w:r>
              <w:rPr>
                <w:noProof/>
                <w:webHidden/>
              </w:rPr>
              <w:fldChar w:fldCharType="separate"/>
            </w:r>
            <w:r>
              <w:rPr>
                <w:noProof/>
                <w:webHidden/>
              </w:rPr>
              <w:t>22</w:t>
            </w:r>
            <w:r>
              <w:rPr>
                <w:noProof/>
                <w:webHidden/>
              </w:rPr>
              <w:fldChar w:fldCharType="end"/>
            </w:r>
          </w:hyperlink>
        </w:p>
        <w:p w14:paraId="01371F10" w14:textId="050D1A63" w:rsidR="005573E0" w:rsidRDefault="005573E0">
          <w:pPr>
            <w:pStyle w:val="Verzeichnis3"/>
            <w:rPr>
              <w:rFonts w:asciiTheme="minorHAnsi" w:eastAsiaTheme="minorEastAsia" w:hAnsiTheme="minorHAnsi" w:cstheme="minorBidi"/>
              <w:noProof/>
              <w:sz w:val="22"/>
              <w:szCs w:val="22"/>
              <w:lang w:eastAsia="de-CH"/>
            </w:rPr>
          </w:pPr>
          <w:hyperlink w:anchor="_Toc147849886" w:history="1">
            <w:r w:rsidRPr="00445518">
              <w:rPr>
                <w:rStyle w:val="Hyperlink"/>
                <w:noProof/>
                <w:lang w:val="x-none" w:eastAsia="x-none" w:bidi="x-none"/>
              </w:rPr>
              <w:t>6.1.12</w:t>
            </w:r>
            <w:r>
              <w:rPr>
                <w:rFonts w:asciiTheme="minorHAnsi" w:eastAsiaTheme="minorEastAsia" w:hAnsiTheme="minorHAnsi" w:cstheme="minorBidi"/>
                <w:noProof/>
                <w:sz w:val="22"/>
                <w:szCs w:val="22"/>
                <w:lang w:eastAsia="de-CH"/>
              </w:rPr>
              <w:tab/>
            </w:r>
            <w:r w:rsidRPr="00445518">
              <w:rPr>
                <w:rStyle w:val="Hyperlink"/>
                <w:noProof/>
              </w:rPr>
              <w:t>Marktrisiken: Preisänderungsrisiken (insb. Wertpapiere und Beteiligungen, Rohstoffe, Edelmetalle, virtuelle Währungen) (GR-12)</w:t>
            </w:r>
            <w:r>
              <w:rPr>
                <w:noProof/>
                <w:webHidden/>
              </w:rPr>
              <w:tab/>
            </w:r>
            <w:r>
              <w:rPr>
                <w:noProof/>
                <w:webHidden/>
              </w:rPr>
              <w:fldChar w:fldCharType="begin"/>
            </w:r>
            <w:r>
              <w:rPr>
                <w:noProof/>
                <w:webHidden/>
              </w:rPr>
              <w:instrText xml:space="preserve"> PAGEREF _Toc147849886 \h </w:instrText>
            </w:r>
            <w:r>
              <w:rPr>
                <w:noProof/>
                <w:webHidden/>
              </w:rPr>
            </w:r>
            <w:r>
              <w:rPr>
                <w:noProof/>
                <w:webHidden/>
              </w:rPr>
              <w:fldChar w:fldCharType="separate"/>
            </w:r>
            <w:r>
              <w:rPr>
                <w:noProof/>
                <w:webHidden/>
              </w:rPr>
              <w:t>23</w:t>
            </w:r>
            <w:r>
              <w:rPr>
                <w:noProof/>
                <w:webHidden/>
              </w:rPr>
              <w:fldChar w:fldCharType="end"/>
            </w:r>
          </w:hyperlink>
        </w:p>
        <w:p w14:paraId="3AAF55C5" w14:textId="6F6BA400" w:rsidR="005573E0" w:rsidRDefault="005573E0">
          <w:pPr>
            <w:pStyle w:val="Verzeichnis3"/>
            <w:rPr>
              <w:rFonts w:asciiTheme="minorHAnsi" w:eastAsiaTheme="minorEastAsia" w:hAnsiTheme="minorHAnsi" w:cstheme="minorBidi"/>
              <w:noProof/>
              <w:sz w:val="22"/>
              <w:szCs w:val="22"/>
              <w:lang w:eastAsia="de-CH"/>
            </w:rPr>
          </w:pPr>
          <w:hyperlink w:anchor="_Toc147849887" w:history="1">
            <w:r w:rsidRPr="00445518">
              <w:rPr>
                <w:rStyle w:val="Hyperlink"/>
                <w:noProof/>
                <w:lang w:val="x-none" w:eastAsia="x-none" w:bidi="x-none"/>
              </w:rPr>
              <w:t>6.1.13</w:t>
            </w:r>
            <w:r>
              <w:rPr>
                <w:rFonts w:asciiTheme="minorHAnsi" w:eastAsiaTheme="minorEastAsia" w:hAnsiTheme="minorHAnsi" w:cstheme="minorBidi"/>
                <w:noProof/>
                <w:sz w:val="22"/>
                <w:szCs w:val="22"/>
                <w:lang w:eastAsia="de-CH"/>
              </w:rPr>
              <w:tab/>
            </w:r>
            <w:r w:rsidRPr="00445518">
              <w:rPr>
                <w:rStyle w:val="Hyperlink"/>
                <w:noProof/>
              </w:rPr>
              <w:t>Marktrisiken: Wechselkursrisiken (GR-13)</w:t>
            </w:r>
            <w:r>
              <w:rPr>
                <w:noProof/>
                <w:webHidden/>
              </w:rPr>
              <w:tab/>
            </w:r>
            <w:r>
              <w:rPr>
                <w:noProof/>
                <w:webHidden/>
              </w:rPr>
              <w:fldChar w:fldCharType="begin"/>
            </w:r>
            <w:r>
              <w:rPr>
                <w:noProof/>
                <w:webHidden/>
              </w:rPr>
              <w:instrText xml:space="preserve"> PAGEREF _Toc147849887 \h </w:instrText>
            </w:r>
            <w:r>
              <w:rPr>
                <w:noProof/>
                <w:webHidden/>
              </w:rPr>
            </w:r>
            <w:r>
              <w:rPr>
                <w:noProof/>
                <w:webHidden/>
              </w:rPr>
              <w:fldChar w:fldCharType="separate"/>
            </w:r>
            <w:r>
              <w:rPr>
                <w:noProof/>
                <w:webHidden/>
              </w:rPr>
              <w:t>24</w:t>
            </w:r>
            <w:r>
              <w:rPr>
                <w:noProof/>
                <w:webHidden/>
              </w:rPr>
              <w:fldChar w:fldCharType="end"/>
            </w:r>
          </w:hyperlink>
        </w:p>
        <w:p w14:paraId="737A3FCE" w14:textId="71D07C26" w:rsidR="005573E0" w:rsidRDefault="005573E0">
          <w:pPr>
            <w:pStyle w:val="Verzeichnis3"/>
            <w:rPr>
              <w:rFonts w:asciiTheme="minorHAnsi" w:eastAsiaTheme="minorEastAsia" w:hAnsiTheme="minorHAnsi" w:cstheme="minorBidi"/>
              <w:noProof/>
              <w:sz w:val="22"/>
              <w:szCs w:val="22"/>
              <w:lang w:eastAsia="de-CH"/>
            </w:rPr>
          </w:pPr>
          <w:hyperlink w:anchor="_Toc147849888" w:history="1">
            <w:r w:rsidRPr="00445518">
              <w:rPr>
                <w:rStyle w:val="Hyperlink"/>
                <w:noProof/>
                <w:lang w:val="x-none" w:eastAsia="x-none" w:bidi="x-none"/>
              </w:rPr>
              <w:t>6.1.14</w:t>
            </w:r>
            <w:r>
              <w:rPr>
                <w:rFonts w:asciiTheme="minorHAnsi" w:eastAsiaTheme="minorEastAsia" w:hAnsiTheme="minorHAnsi" w:cstheme="minorBidi"/>
                <w:noProof/>
                <w:sz w:val="22"/>
                <w:szCs w:val="22"/>
                <w:lang w:eastAsia="de-CH"/>
              </w:rPr>
              <w:tab/>
            </w:r>
            <w:r w:rsidRPr="00445518">
              <w:rPr>
                <w:rStyle w:val="Hyperlink"/>
                <w:noProof/>
              </w:rPr>
              <w:t>Marktrisiken: Risiken aus Credit valuation adjustments (CVA) (GR-14)</w:t>
            </w:r>
            <w:r>
              <w:rPr>
                <w:noProof/>
                <w:webHidden/>
              </w:rPr>
              <w:tab/>
            </w:r>
            <w:r>
              <w:rPr>
                <w:noProof/>
                <w:webHidden/>
              </w:rPr>
              <w:fldChar w:fldCharType="begin"/>
            </w:r>
            <w:r>
              <w:rPr>
                <w:noProof/>
                <w:webHidden/>
              </w:rPr>
              <w:instrText xml:space="preserve"> PAGEREF _Toc147849888 \h </w:instrText>
            </w:r>
            <w:r>
              <w:rPr>
                <w:noProof/>
                <w:webHidden/>
              </w:rPr>
            </w:r>
            <w:r>
              <w:rPr>
                <w:noProof/>
                <w:webHidden/>
              </w:rPr>
              <w:fldChar w:fldCharType="separate"/>
            </w:r>
            <w:r>
              <w:rPr>
                <w:noProof/>
                <w:webHidden/>
              </w:rPr>
              <w:t>25</w:t>
            </w:r>
            <w:r>
              <w:rPr>
                <w:noProof/>
                <w:webHidden/>
              </w:rPr>
              <w:fldChar w:fldCharType="end"/>
            </w:r>
          </w:hyperlink>
        </w:p>
        <w:p w14:paraId="33EEB3F4" w14:textId="02019376" w:rsidR="005573E0" w:rsidRDefault="005573E0">
          <w:pPr>
            <w:pStyle w:val="Verzeichnis3"/>
            <w:rPr>
              <w:rFonts w:asciiTheme="minorHAnsi" w:eastAsiaTheme="minorEastAsia" w:hAnsiTheme="minorHAnsi" w:cstheme="minorBidi"/>
              <w:noProof/>
              <w:sz w:val="22"/>
              <w:szCs w:val="22"/>
              <w:lang w:eastAsia="de-CH"/>
            </w:rPr>
          </w:pPr>
          <w:hyperlink w:anchor="_Toc147849889" w:history="1">
            <w:r w:rsidRPr="00445518">
              <w:rPr>
                <w:rStyle w:val="Hyperlink"/>
                <w:noProof/>
                <w:highlight w:val="yellow"/>
                <w:lang w:val="x-none" w:eastAsia="x-none" w:bidi="x-none"/>
              </w:rPr>
              <w:t>6.1.15</w:t>
            </w:r>
            <w:r>
              <w:rPr>
                <w:rFonts w:asciiTheme="minorHAnsi" w:eastAsiaTheme="minorEastAsia" w:hAnsiTheme="minorHAnsi" w:cstheme="minorBidi"/>
                <w:noProof/>
                <w:sz w:val="22"/>
                <w:szCs w:val="22"/>
                <w:lang w:eastAsia="de-CH"/>
              </w:rPr>
              <w:tab/>
            </w:r>
            <w:r w:rsidRPr="00445518">
              <w:rPr>
                <w:rStyle w:val="Hyperlink"/>
                <w:noProof/>
                <w:highlight w:val="yellow"/>
              </w:rPr>
              <w:t>[Weitere Marktrisiken von der Revisionsstelle zu definieren] (GR-15)</w:t>
            </w:r>
            <w:r>
              <w:rPr>
                <w:noProof/>
                <w:webHidden/>
              </w:rPr>
              <w:tab/>
            </w:r>
            <w:r>
              <w:rPr>
                <w:noProof/>
                <w:webHidden/>
              </w:rPr>
              <w:fldChar w:fldCharType="begin"/>
            </w:r>
            <w:r>
              <w:rPr>
                <w:noProof/>
                <w:webHidden/>
              </w:rPr>
              <w:instrText xml:space="preserve"> PAGEREF _Toc147849889 \h </w:instrText>
            </w:r>
            <w:r>
              <w:rPr>
                <w:noProof/>
                <w:webHidden/>
              </w:rPr>
            </w:r>
            <w:r>
              <w:rPr>
                <w:noProof/>
                <w:webHidden/>
              </w:rPr>
              <w:fldChar w:fldCharType="separate"/>
            </w:r>
            <w:r>
              <w:rPr>
                <w:noProof/>
                <w:webHidden/>
              </w:rPr>
              <w:t>26</w:t>
            </w:r>
            <w:r>
              <w:rPr>
                <w:noProof/>
                <w:webHidden/>
              </w:rPr>
              <w:fldChar w:fldCharType="end"/>
            </w:r>
          </w:hyperlink>
        </w:p>
        <w:p w14:paraId="677A63B1" w14:textId="72D1617E" w:rsidR="005573E0" w:rsidRDefault="005573E0">
          <w:pPr>
            <w:pStyle w:val="Verzeichnis3"/>
            <w:rPr>
              <w:rFonts w:asciiTheme="minorHAnsi" w:eastAsiaTheme="minorEastAsia" w:hAnsiTheme="minorHAnsi" w:cstheme="minorBidi"/>
              <w:noProof/>
              <w:sz w:val="22"/>
              <w:szCs w:val="22"/>
              <w:lang w:eastAsia="de-CH"/>
            </w:rPr>
          </w:pPr>
          <w:hyperlink w:anchor="_Toc147849890" w:history="1">
            <w:r w:rsidRPr="00445518">
              <w:rPr>
                <w:rStyle w:val="Hyperlink"/>
                <w:noProof/>
                <w:lang w:val="x-none" w:eastAsia="x-none" w:bidi="x-none"/>
              </w:rPr>
              <w:t>6.1.16</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dem Brokerage und Depotgeschäft für Kunden inkl. „Execution-only“ Geschäften für Kunden (GR-16)</w:t>
            </w:r>
            <w:r>
              <w:rPr>
                <w:noProof/>
                <w:webHidden/>
              </w:rPr>
              <w:tab/>
            </w:r>
            <w:r>
              <w:rPr>
                <w:noProof/>
                <w:webHidden/>
              </w:rPr>
              <w:fldChar w:fldCharType="begin"/>
            </w:r>
            <w:r>
              <w:rPr>
                <w:noProof/>
                <w:webHidden/>
              </w:rPr>
              <w:instrText xml:space="preserve"> PAGEREF _Toc147849890 \h </w:instrText>
            </w:r>
            <w:r>
              <w:rPr>
                <w:noProof/>
                <w:webHidden/>
              </w:rPr>
            </w:r>
            <w:r>
              <w:rPr>
                <w:noProof/>
                <w:webHidden/>
              </w:rPr>
              <w:fldChar w:fldCharType="separate"/>
            </w:r>
            <w:r>
              <w:rPr>
                <w:noProof/>
                <w:webHidden/>
              </w:rPr>
              <w:t>28</w:t>
            </w:r>
            <w:r>
              <w:rPr>
                <w:noProof/>
                <w:webHidden/>
              </w:rPr>
              <w:fldChar w:fldCharType="end"/>
            </w:r>
          </w:hyperlink>
        </w:p>
        <w:p w14:paraId="5D4F6526" w14:textId="6C592902" w:rsidR="005573E0" w:rsidRDefault="005573E0">
          <w:pPr>
            <w:pStyle w:val="Verzeichnis3"/>
            <w:rPr>
              <w:rFonts w:asciiTheme="minorHAnsi" w:eastAsiaTheme="minorEastAsia" w:hAnsiTheme="minorHAnsi" w:cstheme="minorBidi"/>
              <w:noProof/>
              <w:sz w:val="22"/>
              <w:szCs w:val="22"/>
              <w:lang w:eastAsia="de-CH"/>
            </w:rPr>
          </w:pPr>
          <w:hyperlink w:anchor="_Toc147849891" w:history="1">
            <w:r w:rsidRPr="00445518">
              <w:rPr>
                <w:rStyle w:val="Hyperlink"/>
                <w:noProof/>
                <w:lang w:val="x-none" w:eastAsia="x-none" w:bidi="x-none"/>
              </w:rPr>
              <w:t>6.1.17</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der Anlageberatung für Kunden (GR-17)</w:t>
            </w:r>
            <w:r>
              <w:rPr>
                <w:noProof/>
                <w:webHidden/>
              </w:rPr>
              <w:tab/>
            </w:r>
            <w:r>
              <w:rPr>
                <w:noProof/>
                <w:webHidden/>
              </w:rPr>
              <w:fldChar w:fldCharType="begin"/>
            </w:r>
            <w:r>
              <w:rPr>
                <w:noProof/>
                <w:webHidden/>
              </w:rPr>
              <w:instrText xml:space="preserve"> PAGEREF _Toc147849891 \h </w:instrText>
            </w:r>
            <w:r>
              <w:rPr>
                <w:noProof/>
                <w:webHidden/>
              </w:rPr>
            </w:r>
            <w:r>
              <w:rPr>
                <w:noProof/>
                <w:webHidden/>
              </w:rPr>
              <w:fldChar w:fldCharType="separate"/>
            </w:r>
            <w:r>
              <w:rPr>
                <w:noProof/>
                <w:webHidden/>
              </w:rPr>
              <w:t>29</w:t>
            </w:r>
            <w:r>
              <w:rPr>
                <w:noProof/>
                <w:webHidden/>
              </w:rPr>
              <w:fldChar w:fldCharType="end"/>
            </w:r>
          </w:hyperlink>
        </w:p>
        <w:p w14:paraId="49E85991" w14:textId="3878EAE1" w:rsidR="005573E0" w:rsidRDefault="005573E0">
          <w:pPr>
            <w:pStyle w:val="Verzeichnis3"/>
            <w:rPr>
              <w:rFonts w:asciiTheme="minorHAnsi" w:eastAsiaTheme="minorEastAsia" w:hAnsiTheme="minorHAnsi" w:cstheme="minorBidi"/>
              <w:noProof/>
              <w:sz w:val="22"/>
              <w:szCs w:val="22"/>
              <w:lang w:eastAsia="de-CH"/>
            </w:rPr>
          </w:pPr>
          <w:hyperlink w:anchor="_Toc147849892" w:history="1">
            <w:r w:rsidRPr="00445518">
              <w:rPr>
                <w:rStyle w:val="Hyperlink"/>
                <w:noProof/>
                <w:lang w:val="x-none" w:eastAsia="x-none" w:bidi="x-none"/>
              </w:rPr>
              <w:t>6.1.18</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Vermögensverwaltungsmandaten (GR-18)</w:t>
            </w:r>
            <w:r>
              <w:rPr>
                <w:noProof/>
                <w:webHidden/>
              </w:rPr>
              <w:tab/>
            </w:r>
            <w:r>
              <w:rPr>
                <w:noProof/>
                <w:webHidden/>
              </w:rPr>
              <w:fldChar w:fldCharType="begin"/>
            </w:r>
            <w:r>
              <w:rPr>
                <w:noProof/>
                <w:webHidden/>
              </w:rPr>
              <w:instrText xml:space="preserve"> PAGEREF _Toc147849892 \h </w:instrText>
            </w:r>
            <w:r>
              <w:rPr>
                <w:noProof/>
                <w:webHidden/>
              </w:rPr>
            </w:r>
            <w:r>
              <w:rPr>
                <w:noProof/>
                <w:webHidden/>
              </w:rPr>
              <w:fldChar w:fldCharType="separate"/>
            </w:r>
            <w:r>
              <w:rPr>
                <w:noProof/>
                <w:webHidden/>
              </w:rPr>
              <w:t>30</w:t>
            </w:r>
            <w:r>
              <w:rPr>
                <w:noProof/>
                <w:webHidden/>
              </w:rPr>
              <w:fldChar w:fldCharType="end"/>
            </w:r>
          </w:hyperlink>
        </w:p>
        <w:p w14:paraId="71C0E5B1" w14:textId="1AB47671" w:rsidR="005573E0" w:rsidRDefault="005573E0">
          <w:pPr>
            <w:pStyle w:val="Verzeichnis3"/>
            <w:rPr>
              <w:rFonts w:asciiTheme="minorHAnsi" w:eastAsiaTheme="minorEastAsia" w:hAnsiTheme="minorHAnsi" w:cstheme="minorBidi"/>
              <w:noProof/>
              <w:sz w:val="22"/>
              <w:szCs w:val="22"/>
              <w:lang w:eastAsia="de-CH"/>
            </w:rPr>
          </w:pPr>
          <w:hyperlink w:anchor="_Toc147849893" w:history="1">
            <w:r w:rsidRPr="00445518">
              <w:rPr>
                <w:rStyle w:val="Hyperlink"/>
                <w:noProof/>
                <w:lang w:val="x-none" w:eastAsia="x-none" w:bidi="x-none"/>
              </w:rPr>
              <w:t>6.1.19</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externen Vermögensverwaltern (GR-19)</w:t>
            </w:r>
            <w:r>
              <w:rPr>
                <w:noProof/>
                <w:webHidden/>
              </w:rPr>
              <w:tab/>
            </w:r>
            <w:r>
              <w:rPr>
                <w:noProof/>
                <w:webHidden/>
              </w:rPr>
              <w:fldChar w:fldCharType="begin"/>
            </w:r>
            <w:r>
              <w:rPr>
                <w:noProof/>
                <w:webHidden/>
              </w:rPr>
              <w:instrText xml:space="preserve"> PAGEREF _Toc147849893 \h </w:instrText>
            </w:r>
            <w:r>
              <w:rPr>
                <w:noProof/>
                <w:webHidden/>
              </w:rPr>
            </w:r>
            <w:r>
              <w:rPr>
                <w:noProof/>
                <w:webHidden/>
              </w:rPr>
              <w:fldChar w:fldCharType="separate"/>
            </w:r>
            <w:r>
              <w:rPr>
                <w:noProof/>
                <w:webHidden/>
              </w:rPr>
              <w:t>31</w:t>
            </w:r>
            <w:r>
              <w:rPr>
                <w:noProof/>
                <w:webHidden/>
              </w:rPr>
              <w:fldChar w:fldCharType="end"/>
            </w:r>
          </w:hyperlink>
        </w:p>
        <w:p w14:paraId="1038A539" w14:textId="13DBDBAF" w:rsidR="005573E0" w:rsidRDefault="005573E0">
          <w:pPr>
            <w:pStyle w:val="Verzeichnis3"/>
            <w:rPr>
              <w:rFonts w:asciiTheme="minorHAnsi" w:eastAsiaTheme="minorEastAsia" w:hAnsiTheme="minorHAnsi" w:cstheme="minorBidi"/>
              <w:noProof/>
              <w:sz w:val="22"/>
              <w:szCs w:val="22"/>
              <w:lang w:eastAsia="de-CH"/>
            </w:rPr>
          </w:pPr>
          <w:hyperlink w:anchor="_Toc147849894" w:history="1">
            <w:r w:rsidRPr="00445518">
              <w:rPr>
                <w:rStyle w:val="Hyperlink"/>
                <w:noProof/>
                <w:lang w:val="x-none" w:eastAsia="x-none" w:bidi="x-none"/>
              </w:rPr>
              <w:t>6.1.20</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Treuhandgeschäften für Kunden (GR-20)</w:t>
            </w:r>
            <w:r>
              <w:rPr>
                <w:noProof/>
                <w:webHidden/>
              </w:rPr>
              <w:tab/>
            </w:r>
            <w:r>
              <w:rPr>
                <w:noProof/>
                <w:webHidden/>
              </w:rPr>
              <w:fldChar w:fldCharType="begin"/>
            </w:r>
            <w:r>
              <w:rPr>
                <w:noProof/>
                <w:webHidden/>
              </w:rPr>
              <w:instrText xml:space="preserve"> PAGEREF _Toc147849894 \h </w:instrText>
            </w:r>
            <w:r>
              <w:rPr>
                <w:noProof/>
                <w:webHidden/>
              </w:rPr>
            </w:r>
            <w:r>
              <w:rPr>
                <w:noProof/>
                <w:webHidden/>
              </w:rPr>
              <w:fldChar w:fldCharType="separate"/>
            </w:r>
            <w:r>
              <w:rPr>
                <w:noProof/>
                <w:webHidden/>
              </w:rPr>
              <w:t>32</w:t>
            </w:r>
            <w:r>
              <w:rPr>
                <w:noProof/>
                <w:webHidden/>
              </w:rPr>
              <w:fldChar w:fldCharType="end"/>
            </w:r>
          </w:hyperlink>
        </w:p>
        <w:p w14:paraId="6827412A" w14:textId="4BF17694" w:rsidR="005573E0" w:rsidRDefault="005573E0">
          <w:pPr>
            <w:pStyle w:val="Verzeichnis3"/>
            <w:rPr>
              <w:rFonts w:asciiTheme="minorHAnsi" w:eastAsiaTheme="minorEastAsia" w:hAnsiTheme="minorHAnsi" w:cstheme="minorBidi"/>
              <w:noProof/>
              <w:sz w:val="22"/>
              <w:szCs w:val="22"/>
              <w:lang w:eastAsia="de-CH"/>
            </w:rPr>
          </w:pPr>
          <w:hyperlink w:anchor="_Toc147849895" w:history="1">
            <w:r w:rsidRPr="00445518">
              <w:rPr>
                <w:rStyle w:val="Hyperlink"/>
                <w:noProof/>
                <w:lang w:val="x-none" w:eastAsia="x-none" w:bidi="x-none"/>
              </w:rPr>
              <w:t>6.1.21</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OTC-Geschäften (GR-21)</w:t>
            </w:r>
            <w:r>
              <w:rPr>
                <w:noProof/>
                <w:webHidden/>
              </w:rPr>
              <w:tab/>
            </w:r>
            <w:r>
              <w:rPr>
                <w:noProof/>
                <w:webHidden/>
              </w:rPr>
              <w:fldChar w:fldCharType="begin"/>
            </w:r>
            <w:r>
              <w:rPr>
                <w:noProof/>
                <w:webHidden/>
              </w:rPr>
              <w:instrText xml:space="preserve"> PAGEREF _Toc147849895 \h </w:instrText>
            </w:r>
            <w:r>
              <w:rPr>
                <w:noProof/>
                <w:webHidden/>
              </w:rPr>
            </w:r>
            <w:r>
              <w:rPr>
                <w:noProof/>
                <w:webHidden/>
              </w:rPr>
              <w:fldChar w:fldCharType="separate"/>
            </w:r>
            <w:r>
              <w:rPr>
                <w:noProof/>
                <w:webHidden/>
              </w:rPr>
              <w:t>33</w:t>
            </w:r>
            <w:r>
              <w:rPr>
                <w:noProof/>
                <w:webHidden/>
              </w:rPr>
              <w:fldChar w:fldCharType="end"/>
            </w:r>
          </w:hyperlink>
        </w:p>
        <w:p w14:paraId="44FBD0B5" w14:textId="3D65EE23" w:rsidR="005573E0" w:rsidRDefault="005573E0">
          <w:pPr>
            <w:pStyle w:val="Verzeichnis3"/>
            <w:rPr>
              <w:rFonts w:asciiTheme="minorHAnsi" w:eastAsiaTheme="minorEastAsia" w:hAnsiTheme="minorHAnsi" w:cstheme="minorBidi"/>
              <w:noProof/>
              <w:sz w:val="22"/>
              <w:szCs w:val="22"/>
              <w:lang w:eastAsia="de-CH"/>
            </w:rPr>
          </w:pPr>
          <w:hyperlink w:anchor="_Toc147849896" w:history="1">
            <w:r w:rsidRPr="00445518">
              <w:rPr>
                <w:rStyle w:val="Hyperlink"/>
                <w:noProof/>
                <w:lang w:val="x-none" w:eastAsia="x-none" w:bidi="x-none"/>
              </w:rPr>
              <w:t>6.1.22</w:t>
            </w:r>
            <w:r>
              <w:rPr>
                <w:rFonts w:asciiTheme="minorHAnsi" w:eastAsiaTheme="minorEastAsia" w:hAnsiTheme="minorHAnsi" w:cstheme="minorBidi"/>
                <w:noProof/>
                <w:sz w:val="22"/>
                <w:szCs w:val="22"/>
                <w:lang w:eastAsia="de-CH"/>
              </w:rPr>
              <w:tab/>
            </w:r>
            <w:r w:rsidRPr="00445518">
              <w:rPr>
                <w:rStyle w:val="Hyperlink"/>
                <w:noProof/>
              </w:rPr>
              <w:t xml:space="preserve">Operationelle Risiken im Zusammenhang mit dem </w:t>
            </w:r>
            <w:r w:rsidRPr="00445518">
              <w:rPr>
                <w:rStyle w:val="Hyperlink"/>
                <w:noProof/>
                <w:highlight w:val="yellow"/>
              </w:rPr>
              <w:t>Depotbank- und/oder Zentralverwahrungsgeschäft</w:t>
            </w:r>
            <w:r w:rsidRPr="00445518">
              <w:rPr>
                <w:rStyle w:val="Hyperlink"/>
                <w:noProof/>
              </w:rPr>
              <w:t xml:space="preserve"> (GR-22)</w:t>
            </w:r>
            <w:r>
              <w:rPr>
                <w:noProof/>
                <w:webHidden/>
              </w:rPr>
              <w:tab/>
            </w:r>
            <w:r>
              <w:rPr>
                <w:noProof/>
                <w:webHidden/>
              </w:rPr>
              <w:fldChar w:fldCharType="begin"/>
            </w:r>
            <w:r>
              <w:rPr>
                <w:noProof/>
                <w:webHidden/>
              </w:rPr>
              <w:instrText xml:space="preserve"> PAGEREF _Toc147849896 \h </w:instrText>
            </w:r>
            <w:r>
              <w:rPr>
                <w:noProof/>
                <w:webHidden/>
              </w:rPr>
            </w:r>
            <w:r>
              <w:rPr>
                <w:noProof/>
                <w:webHidden/>
              </w:rPr>
              <w:fldChar w:fldCharType="separate"/>
            </w:r>
            <w:r>
              <w:rPr>
                <w:noProof/>
                <w:webHidden/>
              </w:rPr>
              <w:t>34</w:t>
            </w:r>
            <w:r>
              <w:rPr>
                <w:noProof/>
                <w:webHidden/>
              </w:rPr>
              <w:fldChar w:fldCharType="end"/>
            </w:r>
          </w:hyperlink>
        </w:p>
        <w:p w14:paraId="0B82918A" w14:textId="7EFEFBFF" w:rsidR="005573E0" w:rsidRDefault="005573E0">
          <w:pPr>
            <w:pStyle w:val="Verzeichnis3"/>
            <w:rPr>
              <w:rFonts w:asciiTheme="minorHAnsi" w:eastAsiaTheme="minorEastAsia" w:hAnsiTheme="minorHAnsi" w:cstheme="minorBidi"/>
              <w:noProof/>
              <w:sz w:val="22"/>
              <w:szCs w:val="22"/>
              <w:lang w:eastAsia="de-CH"/>
            </w:rPr>
          </w:pPr>
          <w:hyperlink w:anchor="_Toc147849897" w:history="1">
            <w:r w:rsidRPr="00445518">
              <w:rPr>
                <w:rStyle w:val="Hyperlink"/>
                <w:noProof/>
                <w:lang w:val="x-none" w:eastAsia="x-none" w:bidi="x-none"/>
              </w:rPr>
              <w:t>6.1.23</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der Übernahme von Emissionen von Finanzinstrumenten und Platzierungen von Finanzinstrumenten mit fester Übernahmeverpflichtung (GR-23)</w:t>
            </w:r>
            <w:r>
              <w:rPr>
                <w:noProof/>
                <w:webHidden/>
              </w:rPr>
              <w:tab/>
            </w:r>
            <w:r>
              <w:rPr>
                <w:noProof/>
                <w:webHidden/>
              </w:rPr>
              <w:fldChar w:fldCharType="begin"/>
            </w:r>
            <w:r>
              <w:rPr>
                <w:noProof/>
                <w:webHidden/>
              </w:rPr>
              <w:instrText xml:space="preserve"> PAGEREF _Toc147849897 \h </w:instrText>
            </w:r>
            <w:r>
              <w:rPr>
                <w:noProof/>
                <w:webHidden/>
              </w:rPr>
            </w:r>
            <w:r>
              <w:rPr>
                <w:noProof/>
                <w:webHidden/>
              </w:rPr>
              <w:fldChar w:fldCharType="separate"/>
            </w:r>
            <w:r>
              <w:rPr>
                <w:noProof/>
                <w:webHidden/>
              </w:rPr>
              <w:t>36</w:t>
            </w:r>
            <w:r>
              <w:rPr>
                <w:noProof/>
                <w:webHidden/>
              </w:rPr>
              <w:fldChar w:fldCharType="end"/>
            </w:r>
          </w:hyperlink>
        </w:p>
        <w:p w14:paraId="2B16102F" w14:textId="56DE09CB" w:rsidR="005573E0" w:rsidRDefault="005573E0">
          <w:pPr>
            <w:pStyle w:val="Verzeichnis3"/>
            <w:rPr>
              <w:rFonts w:asciiTheme="minorHAnsi" w:eastAsiaTheme="minorEastAsia" w:hAnsiTheme="minorHAnsi" w:cstheme="minorBidi"/>
              <w:noProof/>
              <w:sz w:val="22"/>
              <w:szCs w:val="22"/>
              <w:lang w:eastAsia="de-CH"/>
            </w:rPr>
          </w:pPr>
          <w:hyperlink w:anchor="_Toc147849898" w:history="1">
            <w:r w:rsidRPr="00445518">
              <w:rPr>
                <w:rStyle w:val="Hyperlink"/>
                <w:noProof/>
                <w:lang w:val="x-none" w:eastAsia="x-none" w:bidi="x-none"/>
              </w:rPr>
              <w:t>6.1.24</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dem Zahlungsverkehr (GR-24)</w:t>
            </w:r>
            <w:r>
              <w:rPr>
                <w:noProof/>
                <w:webHidden/>
              </w:rPr>
              <w:tab/>
            </w:r>
            <w:r>
              <w:rPr>
                <w:noProof/>
                <w:webHidden/>
              </w:rPr>
              <w:fldChar w:fldCharType="begin"/>
            </w:r>
            <w:r>
              <w:rPr>
                <w:noProof/>
                <w:webHidden/>
              </w:rPr>
              <w:instrText xml:space="preserve"> PAGEREF _Toc147849898 \h </w:instrText>
            </w:r>
            <w:r>
              <w:rPr>
                <w:noProof/>
                <w:webHidden/>
              </w:rPr>
            </w:r>
            <w:r>
              <w:rPr>
                <w:noProof/>
                <w:webHidden/>
              </w:rPr>
              <w:fldChar w:fldCharType="separate"/>
            </w:r>
            <w:r>
              <w:rPr>
                <w:noProof/>
                <w:webHidden/>
              </w:rPr>
              <w:t>37</w:t>
            </w:r>
            <w:r>
              <w:rPr>
                <w:noProof/>
                <w:webHidden/>
              </w:rPr>
              <w:fldChar w:fldCharType="end"/>
            </w:r>
          </w:hyperlink>
        </w:p>
        <w:p w14:paraId="0877A5A2" w14:textId="56335401" w:rsidR="005573E0" w:rsidRDefault="005573E0">
          <w:pPr>
            <w:pStyle w:val="Verzeichnis3"/>
            <w:rPr>
              <w:rFonts w:asciiTheme="minorHAnsi" w:eastAsiaTheme="minorEastAsia" w:hAnsiTheme="minorHAnsi" w:cstheme="minorBidi"/>
              <w:noProof/>
              <w:sz w:val="22"/>
              <w:szCs w:val="22"/>
              <w:lang w:eastAsia="de-CH"/>
            </w:rPr>
          </w:pPr>
          <w:hyperlink w:anchor="_Toc147849899" w:history="1">
            <w:r w:rsidRPr="00445518">
              <w:rPr>
                <w:rStyle w:val="Hyperlink"/>
                <w:noProof/>
                <w:lang w:val="x-none" w:eastAsia="x-none" w:bidi="x-none"/>
              </w:rPr>
              <w:t>6.1.25</w:t>
            </w:r>
            <w:r>
              <w:rPr>
                <w:rFonts w:asciiTheme="minorHAnsi" w:eastAsiaTheme="minorEastAsia" w:hAnsiTheme="minorHAnsi" w:cstheme="minorBidi"/>
                <w:noProof/>
                <w:sz w:val="22"/>
                <w:szCs w:val="22"/>
                <w:lang w:eastAsia="de-CH"/>
              </w:rPr>
              <w:tab/>
            </w:r>
            <w:r w:rsidRPr="00445518">
              <w:rPr>
                <w:rStyle w:val="Hyperlink"/>
                <w:noProof/>
              </w:rPr>
              <w:t>Operationelle Risiken: Einhaltung der Pflichten bei Betrieb eines Handelssystems (GR-25)</w:t>
            </w:r>
            <w:r>
              <w:rPr>
                <w:noProof/>
                <w:webHidden/>
              </w:rPr>
              <w:tab/>
            </w:r>
            <w:r>
              <w:rPr>
                <w:noProof/>
                <w:webHidden/>
              </w:rPr>
              <w:fldChar w:fldCharType="begin"/>
            </w:r>
            <w:r>
              <w:rPr>
                <w:noProof/>
                <w:webHidden/>
              </w:rPr>
              <w:instrText xml:space="preserve"> PAGEREF _Toc147849899 \h </w:instrText>
            </w:r>
            <w:r>
              <w:rPr>
                <w:noProof/>
                <w:webHidden/>
              </w:rPr>
            </w:r>
            <w:r>
              <w:rPr>
                <w:noProof/>
                <w:webHidden/>
              </w:rPr>
              <w:fldChar w:fldCharType="separate"/>
            </w:r>
            <w:r>
              <w:rPr>
                <w:noProof/>
                <w:webHidden/>
              </w:rPr>
              <w:t>38</w:t>
            </w:r>
            <w:r>
              <w:rPr>
                <w:noProof/>
                <w:webHidden/>
              </w:rPr>
              <w:fldChar w:fldCharType="end"/>
            </w:r>
          </w:hyperlink>
        </w:p>
        <w:p w14:paraId="7119E10F" w14:textId="57F86B32" w:rsidR="005573E0" w:rsidRDefault="005573E0">
          <w:pPr>
            <w:pStyle w:val="Verzeichnis3"/>
            <w:rPr>
              <w:rFonts w:asciiTheme="minorHAnsi" w:eastAsiaTheme="minorEastAsia" w:hAnsiTheme="minorHAnsi" w:cstheme="minorBidi"/>
              <w:noProof/>
              <w:sz w:val="22"/>
              <w:szCs w:val="22"/>
              <w:lang w:eastAsia="de-CH"/>
            </w:rPr>
          </w:pPr>
          <w:hyperlink w:anchor="_Toc147849900" w:history="1">
            <w:r w:rsidRPr="00445518">
              <w:rPr>
                <w:rStyle w:val="Hyperlink"/>
                <w:noProof/>
                <w:lang w:val="x-none" w:eastAsia="x-none" w:bidi="x-none"/>
              </w:rPr>
              <w:t>6.1.26</w:t>
            </w:r>
            <w:r>
              <w:rPr>
                <w:rFonts w:asciiTheme="minorHAnsi" w:eastAsiaTheme="minorEastAsia" w:hAnsiTheme="minorHAnsi" w:cstheme="minorBidi"/>
                <w:noProof/>
                <w:sz w:val="22"/>
                <w:szCs w:val="22"/>
                <w:lang w:eastAsia="de-CH"/>
              </w:rPr>
              <w:tab/>
            </w:r>
            <w:r w:rsidRPr="00445518">
              <w:rPr>
                <w:rStyle w:val="Hyperlink"/>
                <w:noProof/>
              </w:rPr>
              <w:t>Operationelle Risiken im Zusammenhang mit Cyberrisiken und neue Technologien (GR-26)</w:t>
            </w:r>
            <w:r>
              <w:rPr>
                <w:noProof/>
                <w:webHidden/>
              </w:rPr>
              <w:tab/>
            </w:r>
            <w:r>
              <w:rPr>
                <w:noProof/>
                <w:webHidden/>
              </w:rPr>
              <w:fldChar w:fldCharType="begin"/>
            </w:r>
            <w:r>
              <w:rPr>
                <w:noProof/>
                <w:webHidden/>
              </w:rPr>
              <w:instrText xml:space="preserve"> PAGEREF _Toc147849900 \h </w:instrText>
            </w:r>
            <w:r>
              <w:rPr>
                <w:noProof/>
                <w:webHidden/>
              </w:rPr>
            </w:r>
            <w:r>
              <w:rPr>
                <w:noProof/>
                <w:webHidden/>
              </w:rPr>
              <w:fldChar w:fldCharType="separate"/>
            </w:r>
            <w:r>
              <w:rPr>
                <w:noProof/>
                <w:webHidden/>
              </w:rPr>
              <w:t>39</w:t>
            </w:r>
            <w:r>
              <w:rPr>
                <w:noProof/>
                <w:webHidden/>
              </w:rPr>
              <w:fldChar w:fldCharType="end"/>
            </w:r>
          </w:hyperlink>
        </w:p>
        <w:p w14:paraId="08DBF8E9" w14:textId="236AD31A" w:rsidR="005573E0" w:rsidRDefault="005573E0">
          <w:pPr>
            <w:pStyle w:val="Verzeichnis3"/>
            <w:rPr>
              <w:rFonts w:asciiTheme="minorHAnsi" w:eastAsiaTheme="minorEastAsia" w:hAnsiTheme="minorHAnsi" w:cstheme="minorBidi"/>
              <w:noProof/>
              <w:sz w:val="22"/>
              <w:szCs w:val="22"/>
              <w:lang w:eastAsia="de-CH"/>
            </w:rPr>
          </w:pPr>
          <w:hyperlink w:anchor="_Toc147849901" w:history="1">
            <w:r w:rsidRPr="00445518">
              <w:rPr>
                <w:rStyle w:val="Hyperlink"/>
                <w:noProof/>
                <w:lang w:val="x-none" w:eastAsia="x-none" w:bidi="x-none"/>
              </w:rPr>
              <w:t>6.1.27</w:t>
            </w:r>
            <w:r>
              <w:rPr>
                <w:rFonts w:asciiTheme="minorHAnsi" w:eastAsiaTheme="minorEastAsia" w:hAnsiTheme="minorHAnsi" w:cstheme="minorBidi"/>
                <w:noProof/>
                <w:sz w:val="22"/>
                <w:szCs w:val="22"/>
                <w:lang w:eastAsia="de-CH"/>
              </w:rPr>
              <w:tab/>
            </w:r>
            <w:r w:rsidRPr="00445518">
              <w:rPr>
                <w:rStyle w:val="Hyperlink"/>
                <w:noProof/>
              </w:rPr>
              <w:t>Operationelle Risiken: Rechts- und Prozessrisiken inkl. Kundenbeschwerden (GR-27)</w:t>
            </w:r>
            <w:r>
              <w:rPr>
                <w:noProof/>
                <w:webHidden/>
              </w:rPr>
              <w:tab/>
            </w:r>
            <w:r>
              <w:rPr>
                <w:noProof/>
                <w:webHidden/>
              </w:rPr>
              <w:fldChar w:fldCharType="begin"/>
            </w:r>
            <w:r>
              <w:rPr>
                <w:noProof/>
                <w:webHidden/>
              </w:rPr>
              <w:instrText xml:space="preserve"> PAGEREF _Toc147849901 \h </w:instrText>
            </w:r>
            <w:r>
              <w:rPr>
                <w:noProof/>
                <w:webHidden/>
              </w:rPr>
            </w:r>
            <w:r>
              <w:rPr>
                <w:noProof/>
                <w:webHidden/>
              </w:rPr>
              <w:fldChar w:fldCharType="separate"/>
            </w:r>
            <w:r>
              <w:rPr>
                <w:noProof/>
                <w:webHidden/>
              </w:rPr>
              <w:t>41</w:t>
            </w:r>
            <w:r>
              <w:rPr>
                <w:noProof/>
                <w:webHidden/>
              </w:rPr>
              <w:fldChar w:fldCharType="end"/>
            </w:r>
          </w:hyperlink>
        </w:p>
        <w:p w14:paraId="79E8AAE1" w14:textId="1ABFAAD8" w:rsidR="005573E0" w:rsidRDefault="005573E0">
          <w:pPr>
            <w:pStyle w:val="Verzeichnis3"/>
            <w:rPr>
              <w:rFonts w:asciiTheme="minorHAnsi" w:eastAsiaTheme="minorEastAsia" w:hAnsiTheme="minorHAnsi" w:cstheme="minorBidi"/>
              <w:noProof/>
              <w:sz w:val="22"/>
              <w:szCs w:val="22"/>
              <w:lang w:eastAsia="de-CH"/>
            </w:rPr>
          </w:pPr>
          <w:hyperlink w:anchor="_Toc147849902" w:history="1">
            <w:r w:rsidRPr="00445518">
              <w:rPr>
                <w:rStyle w:val="Hyperlink"/>
                <w:noProof/>
                <w:lang w:val="x-none" w:eastAsia="x-none" w:bidi="x-none"/>
              </w:rPr>
              <w:t>6.1.28</w:t>
            </w:r>
            <w:r>
              <w:rPr>
                <w:rFonts w:asciiTheme="minorHAnsi" w:eastAsiaTheme="minorEastAsia" w:hAnsiTheme="minorHAnsi" w:cstheme="minorBidi"/>
                <w:noProof/>
                <w:sz w:val="22"/>
                <w:szCs w:val="22"/>
                <w:lang w:eastAsia="de-CH"/>
              </w:rPr>
              <w:tab/>
            </w:r>
            <w:r w:rsidRPr="00445518">
              <w:rPr>
                <w:rStyle w:val="Hyperlink"/>
                <w:noProof/>
                <w:highlight w:val="yellow"/>
              </w:rPr>
              <w:t>[Weitere Operationelle Risiken von der Revisionsstelle selber zu definieren]</w:t>
            </w:r>
            <w:r w:rsidRPr="00445518">
              <w:rPr>
                <w:rStyle w:val="Hyperlink"/>
                <w:noProof/>
              </w:rPr>
              <w:t xml:space="preserve"> (GR-28)</w:t>
            </w:r>
            <w:r>
              <w:rPr>
                <w:noProof/>
                <w:webHidden/>
              </w:rPr>
              <w:tab/>
            </w:r>
            <w:r>
              <w:rPr>
                <w:noProof/>
                <w:webHidden/>
              </w:rPr>
              <w:fldChar w:fldCharType="begin"/>
            </w:r>
            <w:r>
              <w:rPr>
                <w:noProof/>
                <w:webHidden/>
              </w:rPr>
              <w:instrText xml:space="preserve"> PAGEREF _Toc147849902 \h </w:instrText>
            </w:r>
            <w:r>
              <w:rPr>
                <w:noProof/>
                <w:webHidden/>
              </w:rPr>
            </w:r>
            <w:r>
              <w:rPr>
                <w:noProof/>
                <w:webHidden/>
              </w:rPr>
              <w:fldChar w:fldCharType="separate"/>
            </w:r>
            <w:r>
              <w:rPr>
                <w:noProof/>
                <w:webHidden/>
              </w:rPr>
              <w:t>42</w:t>
            </w:r>
            <w:r>
              <w:rPr>
                <w:noProof/>
                <w:webHidden/>
              </w:rPr>
              <w:fldChar w:fldCharType="end"/>
            </w:r>
          </w:hyperlink>
        </w:p>
        <w:p w14:paraId="6DF06854" w14:textId="0755C48B" w:rsidR="005573E0" w:rsidRDefault="005573E0">
          <w:pPr>
            <w:pStyle w:val="Verzeichnis3"/>
            <w:rPr>
              <w:rFonts w:asciiTheme="minorHAnsi" w:eastAsiaTheme="minorEastAsia" w:hAnsiTheme="minorHAnsi" w:cstheme="minorBidi"/>
              <w:noProof/>
              <w:sz w:val="22"/>
              <w:szCs w:val="22"/>
              <w:lang w:eastAsia="de-CH"/>
            </w:rPr>
          </w:pPr>
          <w:hyperlink w:anchor="_Toc147849903" w:history="1">
            <w:r w:rsidRPr="00445518">
              <w:rPr>
                <w:rStyle w:val="Hyperlink"/>
                <w:noProof/>
                <w:lang w:val="x-none" w:eastAsia="x-none" w:bidi="x-none"/>
              </w:rPr>
              <w:t>6.1.29</w:t>
            </w:r>
            <w:r>
              <w:rPr>
                <w:rFonts w:asciiTheme="minorHAnsi" w:eastAsiaTheme="minorEastAsia" w:hAnsiTheme="minorHAnsi" w:cstheme="minorBidi"/>
                <w:noProof/>
                <w:sz w:val="22"/>
                <w:szCs w:val="22"/>
                <w:lang w:eastAsia="de-CH"/>
              </w:rPr>
              <w:tab/>
            </w:r>
            <w:r w:rsidRPr="00445518">
              <w:rPr>
                <w:rStyle w:val="Hyperlink"/>
                <w:noProof/>
              </w:rPr>
              <w:t>Kurzfristige Liquiditätsrisiken (Abruf- und Terminrisiken) (GR-29)</w:t>
            </w:r>
            <w:r>
              <w:rPr>
                <w:noProof/>
                <w:webHidden/>
              </w:rPr>
              <w:tab/>
            </w:r>
            <w:r>
              <w:rPr>
                <w:noProof/>
                <w:webHidden/>
              </w:rPr>
              <w:fldChar w:fldCharType="begin"/>
            </w:r>
            <w:r>
              <w:rPr>
                <w:noProof/>
                <w:webHidden/>
              </w:rPr>
              <w:instrText xml:space="preserve"> PAGEREF _Toc147849903 \h </w:instrText>
            </w:r>
            <w:r>
              <w:rPr>
                <w:noProof/>
                <w:webHidden/>
              </w:rPr>
            </w:r>
            <w:r>
              <w:rPr>
                <w:noProof/>
                <w:webHidden/>
              </w:rPr>
              <w:fldChar w:fldCharType="separate"/>
            </w:r>
            <w:r>
              <w:rPr>
                <w:noProof/>
                <w:webHidden/>
              </w:rPr>
              <w:t>43</w:t>
            </w:r>
            <w:r>
              <w:rPr>
                <w:noProof/>
                <w:webHidden/>
              </w:rPr>
              <w:fldChar w:fldCharType="end"/>
            </w:r>
          </w:hyperlink>
        </w:p>
        <w:p w14:paraId="3ADF629D" w14:textId="242A5161" w:rsidR="005573E0" w:rsidRDefault="005573E0">
          <w:pPr>
            <w:pStyle w:val="Verzeichnis3"/>
            <w:rPr>
              <w:rFonts w:asciiTheme="minorHAnsi" w:eastAsiaTheme="minorEastAsia" w:hAnsiTheme="minorHAnsi" w:cstheme="minorBidi"/>
              <w:noProof/>
              <w:sz w:val="22"/>
              <w:szCs w:val="22"/>
              <w:lang w:eastAsia="de-CH"/>
            </w:rPr>
          </w:pPr>
          <w:hyperlink w:anchor="_Toc147849904" w:history="1">
            <w:r w:rsidRPr="00445518">
              <w:rPr>
                <w:rStyle w:val="Hyperlink"/>
                <w:noProof/>
                <w:lang w:val="x-none" w:eastAsia="x-none" w:bidi="x-none"/>
              </w:rPr>
              <w:t>6.1.30</w:t>
            </w:r>
            <w:r>
              <w:rPr>
                <w:rFonts w:asciiTheme="minorHAnsi" w:eastAsiaTheme="minorEastAsia" w:hAnsiTheme="minorHAnsi" w:cstheme="minorBidi"/>
                <w:noProof/>
                <w:sz w:val="22"/>
                <w:szCs w:val="22"/>
                <w:lang w:eastAsia="de-CH"/>
              </w:rPr>
              <w:tab/>
            </w:r>
            <w:r w:rsidRPr="00445518">
              <w:rPr>
                <w:rStyle w:val="Hyperlink"/>
                <w:noProof/>
              </w:rPr>
              <w:t>Strukturelle Refinanzierungsrisiken (GR-30)</w:t>
            </w:r>
            <w:r>
              <w:rPr>
                <w:noProof/>
                <w:webHidden/>
              </w:rPr>
              <w:tab/>
            </w:r>
            <w:r>
              <w:rPr>
                <w:noProof/>
                <w:webHidden/>
              </w:rPr>
              <w:fldChar w:fldCharType="begin"/>
            </w:r>
            <w:r>
              <w:rPr>
                <w:noProof/>
                <w:webHidden/>
              </w:rPr>
              <w:instrText xml:space="preserve"> PAGEREF _Toc147849904 \h </w:instrText>
            </w:r>
            <w:r>
              <w:rPr>
                <w:noProof/>
                <w:webHidden/>
              </w:rPr>
            </w:r>
            <w:r>
              <w:rPr>
                <w:noProof/>
                <w:webHidden/>
              </w:rPr>
              <w:fldChar w:fldCharType="separate"/>
            </w:r>
            <w:r>
              <w:rPr>
                <w:noProof/>
                <w:webHidden/>
              </w:rPr>
              <w:t>45</w:t>
            </w:r>
            <w:r>
              <w:rPr>
                <w:noProof/>
                <w:webHidden/>
              </w:rPr>
              <w:fldChar w:fldCharType="end"/>
            </w:r>
          </w:hyperlink>
        </w:p>
        <w:p w14:paraId="26D703DE" w14:textId="0DB06F62" w:rsidR="005573E0" w:rsidRDefault="005573E0">
          <w:pPr>
            <w:pStyle w:val="Verzeichnis3"/>
            <w:rPr>
              <w:rFonts w:asciiTheme="minorHAnsi" w:eastAsiaTheme="minorEastAsia" w:hAnsiTheme="minorHAnsi" w:cstheme="minorBidi"/>
              <w:noProof/>
              <w:sz w:val="22"/>
              <w:szCs w:val="22"/>
              <w:lang w:eastAsia="de-CH"/>
            </w:rPr>
          </w:pPr>
          <w:hyperlink w:anchor="_Toc147849905" w:history="1">
            <w:r w:rsidRPr="00445518">
              <w:rPr>
                <w:rStyle w:val="Hyperlink"/>
                <w:noProof/>
                <w:lang w:val="x-none" w:eastAsia="x-none" w:bidi="x-none"/>
              </w:rPr>
              <w:t>6.1.31</w:t>
            </w:r>
            <w:r>
              <w:rPr>
                <w:rFonts w:asciiTheme="minorHAnsi" w:eastAsiaTheme="minorEastAsia" w:hAnsiTheme="minorHAnsi" w:cstheme="minorBidi"/>
                <w:noProof/>
                <w:sz w:val="22"/>
                <w:szCs w:val="22"/>
                <w:lang w:eastAsia="de-CH"/>
              </w:rPr>
              <w:tab/>
            </w:r>
            <w:r w:rsidRPr="00445518">
              <w:rPr>
                <w:rStyle w:val="Hyperlink"/>
                <w:noProof/>
              </w:rPr>
              <w:t>Risikokonzentrationen aus Kredit- und Ausfallrisikokonzentrationen (inkl. Ausserbilanzgeschäft) (GR-31)</w:t>
            </w:r>
            <w:r>
              <w:rPr>
                <w:noProof/>
                <w:webHidden/>
              </w:rPr>
              <w:tab/>
            </w:r>
            <w:r>
              <w:rPr>
                <w:noProof/>
                <w:webHidden/>
              </w:rPr>
              <w:fldChar w:fldCharType="begin"/>
            </w:r>
            <w:r>
              <w:rPr>
                <w:noProof/>
                <w:webHidden/>
              </w:rPr>
              <w:instrText xml:space="preserve"> PAGEREF _Toc147849905 \h </w:instrText>
            </w:r>
            <w:r>
              <w:rPr>
                <w:noProof/>
                <w:webHidden/>
              </w:rPr>
            </w:r>
            <w:r>
              <w:rPr>
                <w:noProof/>
                <w:webHidden/>
              </w:rPr>
              <w:fldChar w:fldCharType="separate"/>
            </w:r>
            <w:r>
              <w:rPr>
                <w:noProof/>
                <w:webHidden/>
              </w:rPr>
              <w:t>46</w:t>
            </w:r>
            <w:r>
              <w:rPr>
                <w:noProof/>
                <w:webHidden/>
              </w:rPr>
              <w:fldChar w:fldCharType="end"/>
            </w:r>
          </w:hyperlink>
        </w:p>
        <w:p w14:paraId="21BC2588" w14:textId="64C9D7A7" w:rsidR="005573E0" w:rsidRDefault="005573E0">
          <w:pPr>
            <w:pStyle w:val="Verzeichnis3"/>
            <w:rPr>
              <w:rFonts w:asciiTheme="minorHAnsi" w:eastAsiaTheme="minorEastAsia" w:hAnsiTheme="minorHAnsi" w:cstheme="minorBidi"/>
              <w:noProof/>
              <w:sz w:val="22"/>
              <w:szCs w:val="22"/>
              <w:lang w:eastAsia="de-CH"/>
            </w:rPr>
          </w:pPr>
          <w:hyperlink w:anchor="_Toc147849906" w:history="1">
            <w:r w:rsidRPr="00445518">
              <w:rPr>
                <w:rStyle w:val="Hyperlink"/>
                <w:noProof/>
                <w:lang w:val="x-none" w:eastAsia="x-none" w:bidi="x-none"/>
              </w:rPr>
              <w:t>6.1.32</w:t>
            </w:r>
            <w:r>
              <w:rPr>
                <w:rFonts w:asciiTheme="minorHAnsi" w:eastAsiaTheme="minorEastAsia" w:hAnsiTheme="minorHAnsi" w:cstheme="minorBidi"/>
                <w:noProof/>
                <w:sz w:val="22"/>
                <w:szCs w:val="22"/>
                <w:lang w:eastAsia="de-CH"/>
              </w:rPr>
              <w:tab/>
            </w:r>
            <w:r w:rsidRPr="00445518">
              <w:rPr>
                <w:rStyle w:val="Hyperlink"/>
                <w:noProof/>
              </w:rPr>
              <w:t>Risikokonzentrationen aus Marktrisiken (GR-32)</w:t>
            </w:r>
            <w:r>
              <w:rPr>
                <w:noProof/>
                <w:webHidden/>
              </w:rPr>
              <w:tab/>
            </w:r>
            <w:r>
              <w:rPr>
                <w:noProof/>
                <w:webHidden/>
              </w:rPr>
              <w:fldChar w:fldCharType="begin"/>
            </w:r>
            <w:r>
              <w:rPr>
                <w:noProof/>
                <w:webHidden/>
              </w:rPr>
              <w:instrText xml:space="preserve"> PAGEREF _Toc147849906 \h </w:instrText>
            </w:r>
            <w:r>
              <w:rPr>
                <w:noProof/>
                <w:webHidden/>
              </w:rPr>
            </w:r>
            <w:r>
              <w:rPr>
                <w:noProof/>
                <w:webHidden/>
              </w:rPr>
              <w:fldChar w:fldCharType="separate"/>
            </w:r>
            <w:r>
              <w:rPr>
                <w:noProof/>
                <w:webHidden/>
              </w:rPr>
              <w:t>47</w:t>
            </w:r>
            <w:r>
              <w:rPr>
                <w:noProof/>
                <w:webHidden/>
              </w:rPr>
              <w:fldChar w:fldCharType="end"/>
            </w:r>
          </w:hyperlink>
        </w:p>
        <w:p w14:paraId="49F889A1" w14:textId="621ECA6E" w:rsidR="005573E0" w:rsidRDefault="005573E0">
          <w:pPr>
            <w:pStyle w:val="Verzeichnis3"/>
            <w:rPr>
              <w:rFonts w:asciiTheme="minorHAnsi" w:eastAsiaTheme="minorEastAsia" w:hAnsiTheme="minorHAnsi" w:cstheme="minorBidi"/>
              <w:noProof/>
              <w:sz w:val="22"/>
              <w:szCs w:val="22"/>
              <w:lang w:eastAsia="de-CH"/>
            </w:rPr>
          </w:pPr>
          <w:hyperlink w:anchor="_Toc147849907" w:history="1">
            <w:r w:rsidRPr="00445518">
              <w:rPr>
                <w:rStyle w:val="Hyperlink"/>
                <w:noProof/>
                <w:lang w:val="x-none" w:eastAsia="x-none" w:bidi="x-none"/>
              </w:rPr>
              <w:t>6.1.33</w:t>
            </w:r>
            <w:r>
              <w:rPr>
                <w:rFonts w:asciiTheme="minorHAnsi" w:eastAsiaTheme="minorEastAsia" w:hAnsiTheme="minorHAnsi" w:cstheme="minorBidi"/>
                <w:noProof/>
                <w:sz w:val="22"/>
                <w:szCs w:val="22"/>
                <w:lang w:eastAsia="de-CH"/>
              </w:rPr>
              <w:tab/>
            </w:r>
            <w:r w:rsidRPr="00445518">
              <w:rPr>
                <w:rStyle w:val="Hyperlink"/>
                <w:noProof/>
              </w:rPr>
              <w:t>Risikokonzentrationen aus operationellen Risiken (GR-33)</w:t>
            </w:r>
            <w:r>
              <w:rPr>
                <w:noProof/>
                <w:webHidden/>
              </w:rPr>
              <w:tab/>
            </w:r>
            <w:r>
              <w:rPr>
                <w:noProof/>
                <w:webHidden/>
              </w:rPr>
              <w:fldChar w:fldCharType="begin"/>
            </w:r>
            <w:r>
              <w:rPr>
                <w:noProof/>
                <w:webHidden/>
              </w:rPr>
              <w:instrText xml:space="preserve"> PAGEREF _Toc147849907 \h </w:instrText>
            </w:r>
            <w:r>
              <w:rPr>
                <w:noProof/>
                <w:webHidden/>
              </w:rPr>
            </w:r>
            <w:r>
              <w:rPr>
                <w:noProof/>
                <w:webHidden/>
              </w:rPr>
              <w:fldChar w:fldCharType="separate"/>
            </w:r>
            <w:r>
              <w:rPr>
                <w:noProof/>
                <w:webHidden/>
              </w:rPr>
              <w:t>48</w:t>
            </w:r>
            <w:r>
              <w:rPr>
                <w:noProof/>
                <w:webHidden/>
              </w:rPr>
              <w:fldChar w:fldCharType="end"/>
            </w:r>
          </w:hyperlink>
        </w:p>
        <w:p w14:paraId="5EC4BA4E" w14:textId="3F2EB975" w:rsidR="005573E0" w:rsidRDefault="005573E0">
          <w:pPr>
            <w:pStyle w:val="Verzeichnis3"/>
            <w:rPr>
              <w:rFonts w:asciiTheme="minorHAnsi" w:eastAsiaTheme="minorEastAsia" w:hAnsiTheme="minorHAnsi" w:cstheme="minorBidi"/>
              <w:noProof/>
              <w:sz w:val="22"/>
              <w:szCs w:val="22"/>
              <w:lang w:eastAsia="de-CH"/>
            </w:rPr>
          </w:pPr>
          <w:hyperlink w:anchor="_Toc147849908" w:history="1">
            <w:r w:rsidRPr="00445518">
              <w:rPr>
                <w:rStyle w:val="Hyperlink"/>
                <w:noProof/>
                <w:lang w:val="x-none" w:eastAsia="x-none" w:bidi="x-none"/>
              </w:rPr>
              <w:t>6.1.34</w:t>
            </w:r>
            <w:r>
              <w:rPr>
                <w:rFonts w:asciiTheme="minorHAnsi" w:eastAsiaTheme="minorEastAsia" w:hAnsiTheme="minorHAnsi" w:cstheme="minorBidi"/>
                <w:noProof/>
                <w:sz w:val="22"/>
                <w:szCs w:val="22"/>
                <w:lang w:eastAsia="de-CH"/>
              </w:rPr>
              <w:tab/>
            </w:r>
            <w:r w:rsidRPr="00445518">
              <w:rPr>
                <w:rStyle w:val="Hyperlink"/>
                <w:noProof/>
                <w:highlight w:val="yellow"/>
              </w:rPr>
              <w:t>[Weitere Risikokonzentrationen von der Revisionsstelle selber zu definieren]</w:t>
            </w:r>
            <w:r w:rsidRPr="00445518">
              <w:rPr>
                <w:rStyle w:val="Hyperlink"/>
                <w:noProof/>
              </w:rPr>
              <w:t xml:space="preserve"> (GR-34)</w:t>
            </w:r>
            <w:r>
              <w:rPr>
                <w:noProof/>
                <w:webHidden/>
              </w:rPr>
              <w:tab/>
            </w:r>
            <w:r>
              <w:rPr>
                <w:noProof/>
                <w:webHidden/>
              </w:rPr>
              <w:fldChar w:fldCharType="begin"/>
            </w:r>
            <w:r>
              <w:rPr>
                <w:noProof/>
                <w:webHidden/>
              </w:rPr>
              <w:instrText xml:space="preserve"> PAGEREF _Toc147849908 \h </w:instrText>
            </w:r>
            <w:r>
              <w:rPr>
                <w:noProof/>
                <w:webHidden/>
              </w:rPr>
            </w:r>
            <w:r>
              <w:rPr>
                <w:noProof/>
                <w:webHidden/>
              </w:rPr>
              <w:fldChar w:fldCharType="separate"/>
            </w:r>
            <w:r>
              <w:rPr>
                <w:noProof/>
                <w:webHidden/>
              </w:rPr>
              <w:t>49</w:t>
            </w:r>
            <w:r>
              <w:rPr>
                <w:noProof/>
                <w:webHidden/>
              </w:rPr>
              <w:fldChar w:fldCharType="end"/>
            </w:r>
          </w:hyperlink>
        </w:p>
        <w:p w14:paraId="3C2C33DA" w14:textId="0DF37A97" w:rsidR="005573E0" w:rsidRDefault="005573E0">
          <w:pPr>
            <w:pStyle w:val="Verzeichnis3"/>
            <w:rPr>
              <w:rFonts w:asciiTheme="minorHAnsi" w:eastAsiaTheme="minorEastAsia" w:hAnsiTheme="minorHAnsi" w:cstheme="minorBidi"/>
              <w:noProof/>
              <w:sz w:val="22"/>
              <w:szCs w:val="22"/>
              <w:lang w:eastAsia="de-CH"/>
            </w:rPr>
          </w:pPr>
          <w:hyperlink w:anchor="_Toc147849909" w:history="1">
            <w:r w:rsidRPr="00445518">
              <w:rPr>
                <w:rStyle w:val="Hyperlink"/>
                <w:noProof/>
                <w:lang w:val="x-none" w:eastAsia="x-none" w:bidi="x-none"/>
              </w:rPr>
              <w:t>6.1.35</w:t>
            </w:r>
            <w:r>
              <w:rPr>
                <w:rFonts w:asciiTheme="minorHAnsi" w:eastAsiaTheme="minorEastAsia" w:hAnsiTheme="minorHAnsi" w:cstheme="minorBidi"/>
                <w:noProof/>
                <w:sz w:val="22"/>
                <w:szCs w:val="22"/>
                <w:lang w:eastAsia="de-CH"/>
              </w:rPr>
              <w:tab/>
            </w:r>
            <w:r w:rsidRPr="00445518">
              <w:rPr>
                <w:rStyle w:val="Hyperlink"/>
                <w:noProof/>
              </w:rPr>
              <w:t>Sonstige Risiken im Zusammenhang mit grenzüberschreitenden Dienstleistungen und Korrespondenzbankbeziehungen (GR-35)</w:t>
            </w:r>
            <w:r>
              <w:rPr>
                <w:noProof/>
                <w:webHidden/>
              </w:rPr>
              <w:tab/>
            </w:r>
            <w:r>
              <w:rPr>
                <w:noProof/>
                <w:webHidden/>
              </w:rPr>
              <w:fldChar w:fldCharType="begin"/>
            </w:r>
            <w:r>
              <w:rPr>
                <w:noProof/>
                <w:webHidden/>
              </w:rPr>
              <w:instrText xml:space="preserve"> PAGEREF _Toc147849909 \h </w:instrText>
            </w:r>
            <w:r>
              <w:rPr>
                <w:noProof/>
                <w:webHidden/>
              </w:rPr>
            </w:r>
            <w:r>
              <w:rPr>
                <w:noProof/>
                <w:webHidden/>
              </w:rPr>
              <w:fldChar w:fldCharType="separate"/>
            </w:r>
            <w:r>
              <w:rPr>
                <w:noProof/>
                <w:webHidden/>
              </w:rPr>
              <w:t>50</w:t>
            </w:r>
            <w:r>
              <w:rPr>
                <w:noProof/>
                <w:webHidden/>
              </w:rPr>
              <w:fldChar w:fldCharType="end"/>
            </w:r>
          </w:hyperlink>
        </w:p>
        <w:p w14:paraId="06CE1328" w14:textId="3DAA2932" w:rsidR="005573E0" w:rsidRDefault="005573E0">
          <w:pPr>
            <w:pStyle w:val="Verzeichnis3"/>
            <w:rPr>
              <w:rFonts w:asciiTheme="minorHAnsi" w:eastAsiaTheme="minorEastAsia" w:hAnsiTheme="minorHAnsi" w:cstheme="minorBidi"/>
              <w:noProof/>
              <w:sz w:val="22"/>
              <w:szCs w:val="22"/>
              <w:lang w:eastAsia="de-CH"/>
            </w:rPr>
          </w:pPr>
          <w:hyperlink w:anchor="_Toc147849910" w:history="1">
            <w:r w:rsidRPr="00445518">
              <w:rPr>
                <w:rStyle w:val="Hyperlink"/>
                <w:noProof/>
                <w:lang w:val="x-none" w:eastAsia="x-none" w:bidi="x-none"/>
              </w:rPr>
              <w:t>6.1.36</w:t>
            </w:r>
            <w:r>
              <w:rPr>
                <w:rFonts w:asciiTheme="minorHAnsi" w:eastAsiaTheme="minorEastAsia" w:hAnsiTheme="minorHAnsi" w:cstheme="minorBidi"/>
                <w:noProof/>
                <w:sz w:val="22"/>
                <w:szCs w:val="22"/>
                <w:lang w:eastAsia="de-CH"/>
              </w:rPr>
              <w:tab/>
            </w:r>
            <w:r w:rsidRPr="00445518">
              <w:rPr>
                <w:rStyle w:val="Hyperlink"/>
                <w:noProof/>
              </w:rPr>
              <w:t>Sonstige Risiken im Zusammenhang mit Intragruppenbeziehungen (GR-36)</w:t>
            </w:r>
            <w:r>
              <w:rPr>
                <w:noProof/>
                <w:webHidden/>
              </w:rPr>
              <w:tab/>
            </w:r>
            <w:r>
              <w:rPr>
                <w:noProof/>
                <w:webHidden/>
              </w:rPr>
              <w:fldChar w:fldCharType="begin"/>
            </w:r>
            <w:r>
              <w:rPr>
                <w:noProof/>
                <w:webHidden/>
              </w:rPr>
              <w:instrText xml:space="preserve"> PAGEREF _Toc147849910 \h </w:instrText>
            </w:r>
            <w:r>
              <w:rPr>
                <w:noProof/>
                <w:webHidden/>
              </w:rPr>
            </w:r>
            <w:r>
              <w:rPr>
                <w:noProof/>
                <w:webHidden/>
              </w:rPr>
              <w:fldChar w:fldCharType="separate"/>
            </w:r>
            <w:r>
              <w:rPr>
                <w:noProof/>
                <w:webHidden/>
              </w:rPr>
              <w:t>51</w:t>
            </w:r>
            <w:r>
              <w:rPr>
                <w:noProof/>
                <w:webHidden/>
              </w:rPr>
              <w:fldChar w:fldCharType="end"/>
            </w:r>
          </w:hyperlink>
        </w:p>
        <w:p w14:paraId="2AC19AA8" w14:textId="6136DFC1" w:rsidR="005573E0" w:rsidRDefault="005573E0">
          <w:pPr>
            <w:pStyle w:val="Verzeichnis3"/>
            <w:rPr>
              <w:rFonts w:asciiTheme="minorHAnsi" w:eastAsiaTheme="minorEastAsia" w:hAnsiTheme="minorHAnsi" w:cstheme="minorBidi"/>
              <w:noProof/>
              <w:sz w:val="22"/>
              <w:szCs w:val="22"/>
              <w:lang w:eastAsia="de-CH"/>
            </w:rPr>
          </w:pPr>
          <w:hyperlink w:anchor="_Toc147849911" w:history="1">
            <w:r w:rsidRPr="00445518">
              <w:rPr>
                <w:rStyle w:val="Hyperlink"/>
                <w:noProof/>
                <w:lang w:val="x-none" w:eastAsia="x-none" w:bidi="x-none"/>
              </w:rPr>
              <w:t>6.1.37</w:t>
            </w:r>
            <w:r>
              <w:rPr>
                <w:rFonts w:asciiTheme="minorHAnsi" w:eastAsiaTheme="minorEastAsia" w:hAnsiTheme="minorHAnsi" w:cstheme="minorBidi"/>
                <w:noProof/>
                <w:sz w:val="22"/>
                <w:szCs w:val="22"/>
                <w:lang w:eastAsia="de-CH"/>
              </w:rPr>
              <w:tab/>
            </w:r>
            <w:r w:rsidRPr="00445518">
              <w:rPr>
                <w:rStyle w:val="Hyperlink"/>
                <w:noProof/>
              </w:rPr>
              <w:t>Reputations- und Step-In-Risiken (GR-37)</w:t>
            </w:r>
            <w:r>
              <w:rPr>
                <w:noProof/>
                <w:webHidden/>
              </w:rPr>
              <w:tab/>
            </w:r>
            <w:r>
              <w:rPr>
                <w:noProof/>
                <w:webHidden/>
              </w:rPr>
              <w:fldChar w:fldCharType="begin"/>
            </w:r>
            <w:r>
              <w:rPr>
                <w:noProof/>
                <w:webHidden/>
              </w:rPr>
              <w:instrText xml:space="preserve"> PAGEREF _Toc147849911 \h </w:instrText>
            </w:r>
            <w:r>
              <w:rPr>
                <w:noProof/>
                <w:webHidden/>
              </w:rPr>
            </w:r>
            <w:r>
              <w:rPr>
                <w:noProof/>
                <w:webHidden/>
              </w:rPr>
              <w:fldChar w:fldCharType="separate"/>
            </w:r>
            <w:r>
              <w:rPr>
                <w:noProof/>
                <w:webHidden/>
              </w:rPr>
              <w:t>52</w:t>
            </w:r>
            <w:r>
              <w:rPr>
                <w:noProof/>
                <w:webHidden/>
              </w:rPr>
              <w:fldChar w:fldCharType="end"/>
            </w:r>
          </w:hyperlink>
        </w:p>
        <w:p w14:paraId="6056F08D" w14:textId="14C94E50" w:rsidR="005573E0" w:rsidRDefault="005573E0">
          <w:pPr>
            <w:pStyle w:val="Verzeichnis3"/>
            <w:rPr>
              <w:rFonts w:asciiTheme="minorHAnsi" w:eastAsiaTheme="minorEastAsia" w:hAnsiTheme="minorHAnsi" w:cstheme="minorBidi"/>
              <w:noProof/>
              <w:sz w:val="22"/>
              <w:szCs w:val="22"/>
              <w:lang w:eastAsia="de-CH"/>
            </w:rPr>
          </w:pPr>
          <w:hyperlink w:anchor="_Toc147849912" w:history="1">
            <w:r w:rsidRPr="00445518">
              <w:rPr>
                <w:rStyle w:val="Hyperlink"/>
                <w:noProof/>
                <w:lang w:val="x-none" w:eastAsia="x-none" w:bidi="x-none"/>
              </w:rPr>
              <w:t>6.1.38</w:t>
            </w:r>
            <w:r>
              <w:rPr>
                <w:rFonts w:asciiTheme="minorHAnsi" w:eastAsiaTheme="minorEastAsia" w:hAnsiTheme="minorHAnsi" w:cstheme="minorBidi"/>
                <w:noProof/>
                <w:sz w:val="22"/>
                <w:szCs w:val="22"/>
                <w:lang w:eastAsia="de-CH"/>
              </w:rPr>
              <w:tab/>
            </w:r>
            <w:r w:rsidRPr="00445518">
              <w:rPr>
                <w:rStyle w:val="Hyperlink"/>
                <w:noProof/>
                <w:highlight w:val="yellow"/>
              </w:rPr>
              <w:t>[Weitere sonstige Risiken von der Revisionsstelle zu definieren]</w:t>
            </w:r>
            <w:r w:rsidRPr="00445518">
              <w:rPr>
                <w:rStyle w:val="Hyperlink"/>
                <w:noProof/>
              </w:rPr>
              <w:t xml:space="preserve"> (GR-38)</w:t>
            </w:r>
            <w:r>
              <w:rPr>
                <w:noProof/>
                <w:webHidden/>
              </w:rPr>
              <w:tab/>
            </w:r>
            <w:r>
              <w:rPr>
                <w:noProof/>
                <w:webHidden/>
              </w:rPr>
              <w:fldChar w:fldCharType="begin"/>
            </w:r>
            <w:r>
              <w:rPr>
                <w:noProof/>
                <w:webHidden/>
              </w:rPr>
              <w:instrText xml:space="preserve"> PAGEREF _Toc147849912 \h </w:instrText>
            </w:r>
            <w:r>
              <w:rPr>
                <w:noProof/>
                <w:webHidden/>
              </w:rPr>
            </w:r>
            <w:r>
              <w:rPr>
                <w:noProof/>
                <w:webHidden/>
              </w:rPr>
              <w:fldChar w:fldCharType="separate"/>
            </w:r>
            <w:r>
              <w:rPr>
                <w:noProof/>
                <w:webHidden/>
              </w:rPr>
              <w:t>54</w:t>
            </w:r>
            <w:r>
              <w:rPr>
                <w:noProof/>
                <w:webHidden/>
              </w:rPr>
              <w:fldChar w:fldCharType="end"/>
            </w:r>
          </w:hyperlink>
        </w:p>
        <w:p w14:paraId="0257430B" w14:textId="27814943" w:rsidR="005573E0" w:rsidRDefault="005573E0">
          <w:pPr>
            <w:pStyle w:val="Verzeichnis2"/>
            <w:rPr>
              <w:rFonts w:asciiTheme="minorHAnsi" w:eastAsiaTheme="minorEastAsia" w:hAnsiTheme="minorHAnsi" w:cstheme="minorBidi"/>
              <w:noProof/>
              <w:sz w:val="22"/>
              <w:szCs w:val="22"/>
              <w:lang w:eastAsia="de-CH"/>
            </w:rPr>
          </w:pPr>
          <w:hyperlink w:anchor="_Toc147849913" w:history="1">
            <w:r w:rsidRPr="00445518">
              <w:rPr>
                <w:rStyle w:val="Hyperlink"/>
                <w:noProof/>
              </w:rPr>
              <w:t>6.2</w:t>
            </w:r>
            <w:r>
              <w:rPr>
                <w:rFonts w:asciiTheme="minorHAnsi" w:eastAsiaTheme="minorEastAsia" w:hAnsiTheme="minorHAnsi" w:cstheme="minorBidi"/>
                <w:noProof/>
                <w:sz w:val="22"/>
                <w:szCs w:val="22"/>
                <w:lang w:eastAsia="de-CH"/>
              </w:rPr>
              <w:tab/>
            </w:r>
            <w:r w:rsidRPr="00445518">
              <w:rPr>
                <w:rStyle w:val="Hyperlink"/>
                <w:noProof/>
              </w:rPr>
              <w:t>Governance</w:t>
            </w:r>
            <w:r>
              <w:rPr>
                <w:noProof/>
                <w:webHidden/>
              </w:rPr>
              <w:tab/>
            </w:r>
            <w:r>
              <w:rPr>
                <w:noProof/>
                <w:webHidden/>
              </w:rPr>
              <w:fldChar w:fldCharType="begin"/>
            </w:r>
            <w:r>
              <w:rPr>
                <w:noProof/>
                <w:webHidden/>
              </w:rPr>
              <w:instrText xml:space="preserve"> PAGEREF _Toc147849913 \h </w:instrText>
            </w:r>
            <w:r>
              <w:rPr>
                <w:noProof/>
                <w:webHidden/>
              </w:rPr>
            </w:r>
            <w:r>
              <w:rPr>
                <w:noProof/>
                <w:webHidden/>
              </w:rPr>
              <w:fldChar w:fldCharType="separate"/>
            </w:r>
            <w:r>
              <w:rPr>
                <w:noProof/>
                <w:webHidden/>
              </w:rPr>
              <w:t>55</w:t>
            </w:r>
            <w:r>
              <w:rPr>
                <w:noProof/>
                <w:webHidden/>
              </w:rPr>
              <w:fldChar w:fldCharType="end"/>
            </w:r>
          </w:hyperlink>
        </w:p>
        <w:p w14:paraId="68B3AD19" w14:textId="2C90CA70" w:rsidR="005573E0" w:rsidRDefault="005573E0">
          <w:pPr>
            <w:pStyle w:val="Verzeichnis3"/>
            <w:rPr>
              <w:rFonts w:asciiTheme="minorHAnsi" w:eastAsiaTheme="minorEastAsia" w:hAnsiTheme="minorHAnsi" w:cstheme="minorBidi"/>
              <w:noProof/>
              <w:sz w:val="22"/>
              <w:szCs w:val="22"/>
              <w:lang w:eastAsia="de-CH"/>
            </w:rPr>
          </w:pPr>
          <w:hyperlink w:anchor="_Toc147849914" w:history="1">
            <w:r w:rsidRPr="00445518">
              <w:rPr>
                <w:rStyle w:val="Hyperlink"/>
                <w:noProof/>
                <w:lang w:val="x-none" w:eastAsia="x-none" w:bidi="x-none"/>
              </w:rPr>
              <w:t>6.2.1</w:t>
            </w:r>
            <w:r>
              <w:rPr>
                <w:rFonts w:asciiTheme="minorHAnsi" w:eastAsiaTheme="minorEastAsia" w:hAnsiTheme="minorHAnsi" w:cstheme="minorBidi"/>
                <w:noProof/>
                <w:sz w:val="22"/>
                <w:szCs w:val="22"/>
                <w:lang w:eastAsia="de-CH"/>
              </w:rPr>
              <w:tab/>
            </w:r>
            <w:r w:rsidRPr="00445518">
              <w:rPr>
                <w:rStyle w:val="Hyperlink"/>
                <w:noProof/>
              </w:rPr>
              <w:t>Geschäftsleitung (GOV-1)</w:t>
            </w:r>
            <w:r>
              <w:rPr>
                <w:noProof/>
                <w:webHidden/>
              </w:rPr>
              <w:tab/>
            </w:r>
            <w:r>
              <w:rPr>
                <w:noProof/>
                <w:webHidden/>
              </w:rPr>
              <w:fldChar w:fldCharType="begin"/>
            </w:r>
            <w:r>
              <w:rPr>
                <w:noProof/>
                <w:webHidden/>
              </w:rPr>
              <w:instrText xml:space="preserve"> PAGEREF _Toc147849914 \h </w:instrText>
            </w:r>
            <w:r>
              <w:rPr>
                <w:noProof/>
                <w:webHidden/>
              </w:rPr>
            </w:r>
            <w:r>
              <w:rPr>
                <w:noProof/>
                <w:webHidden/>
              </w:rPr>
              <w:fldChar w:fldCharType="separate"/>
            </w:r>
            <w:r>
              <w:rPr>
                <w:noProof/>
                <w:webHidden/>
              </w:rPr>
              <w:t>55</w:t>
            </w:r>
            <w:r>
              <w:rPr>
                <w:noProof/>
                <w:webHidden/>
              </w:rPr>
              <w:fldChar w:fldCharType="end"/>
            </w:r>
          </w:hyperlink>
        </w:p>
        <w:p w14:paraId="50048973" w14:textId="58218EDF" w:rsidR="005573E0" w:rsidRDefault="005573E0">
          <w:pPr>
            <w:pStyle w:val="Verzeichnis3"/>
            <w:rPr>
              <w:rFonts w:asciiTheme="minorHAnsi" w:eastAsiaTheme="minorEastAsia" w:hAnsiTheme="minorHAnsi" w:cstheme="minorBidi"/>
              <w:noProof/>
              <w:sz w:val="22"/>
              <w:szCs w:val="22"/>
              <w:lang w:eastAsia="de-CH"/>
            </w:rPr>
          </w:pPr>
          <w:hyperlink w:anchor="_Toc147849915" w:history="1">
            <w:r w:rsidRPr="00445518">
              <w:rPr>
                <w:rStyle w:val="Hyperlink"/>
                <w:noProof/>
                <w:lang w:val="x-none" w:eastAsia="x-none" w:bidi="x-none"/>
              </w:rPr>
              <w:t>6.2.2</w:t>
            </w:r>
            <w:r>
              <w:rPr>
                <w:rFonts w:asciiTheme="minorHAnsi" w:eastAsiaTheme="minorEastAsia" w:hAnsiTheme="minorHAnsi" w:cstheme="minorBidi"/>
                <w:noProof/>
                <w:sz w:val="22"/>
                <w:szCs w:val="22"/>
                <w:lang w:eastAsia="de-CH"/>
              </w:rPr>
              <w:tab/>
            </w:r>
            <w:r w:rsidRPr="00445518">
              <w:rPr>
                <w:rStyle w:val="Hyperlink"/>
                <w:noProof/>
              </w:rPr>
              <w:t>Verwaltungsrat (GOV-2)</w:t>
            </w:r>
            <w:r>
              <w:rPr>
                <w:noProof/>
                <w:webHidden/>
              </w:rPr>
              <w:tab/>
            </w:r>
            <w:r>
              <w:rPr>
                <w:noProof/>
                <w:webHidden/>
              </w:rPr>
              <w:fldChar w:fldCharType="begin"/>
            </w:r>
            <w:r>
              <w:rPr>
                <w:noProof/>
                <w:webHidden/>
              </w:rPr>
              <w:instrText xml:space="preserve"> PAGEREF _Toc147849915 \h </w:instrText>
            </w:r>
            <w:r>
              <w:rPr>
                <w:noProof/>
                <w:webHidden/>
              </w:rPr>
            </w:r>
            <w:r>
              <w:rPr>
                <w:noProof/>
                <w:webHidden/>
              </w:rPr>
              <w:fldChar w:fldCharType="separate"/>
            </w:r>
            <w:r>
              <w:rPr>
                <w:noProof/>
                <w:webHidden/>
              </w:rPr>
              <w:t>56</w:t>
            </w:r>
            <w:r>
              <w:rPr>
                <w:noProof/>
                <w:webHidden/>
              </w:rPr>
              <w:fldChar w:fldCharType="end"/>
            </w:r>
          </w:hyperlink>
        </w:p>
        <w:p w14:paraId="5919EACD" w14:textId="524BC4DE" w:rsidR="005573E0" w:rsidRDefault="005573E0">
          <w:pPr>
            <w:pStyle w:val="Verzeichnis3"/>
            <w:rPr>
              <w:rFonts w:asciiTheme="minorHAnsi" w:eastAsiaTheme="minorEastAsia" w:hAnsiTheme="minorHAnsi" w:cstheme="minorBidi"/>
              <w:noProof/>
              <w:sz w:val="22"/>
              <w:szCs w:val="22"/>
              <w:lang w:eastAsia="de-CH"/>
            </w:rPr>
          </w:pPr>
          <w:hyperlink w:anchor="_Toc147849916" w:history="1">
            <w:r w:rsidRPr="00445518">
              <w:rPr>
                <w:rStyle w:val="Hyperlink"/>
                <w:noProof/>
                <w:lang w:val="x-none" w:eastAsia="x-none" w:bidi="x-none"/>
              </w:rPr>
              <w:t>6.2.3</w:t>
            </w:r>
            <w:r>
              <w:rPr>
                <w:rFonts w:asciiTheme="minorHAnsi" w:eastAsiaTheme="minorEastAsia" w:hAnsiTheme="minorHAnsi" w:cstheme="minorBidi"/>
                <w:noProof/>
                <w:sz w:val="22"/>
                <w:szCs w:val="22"/>
                <w:lang w:eastAsia="de-CH"/>
              </w:rPr>
              <w:tab/>
            </w:r>
            <w:r w:rsidRPr="00445518">
              <w:rPr>
                <w:rStyle w:val="Hyperlink"/>
                <w:noProof/>
              </w:rPr>
              <w:t>Interessenskonflikte (GOV-3)</w:t>
            </w:r>
            <w:r>
              <w:rPr>
                <w:noProof/>
                <w:webHidden/>
              </w:rPr>
              <w:tab/>
            </w:r>
            <w:r>
              <w:rPr>
                <w:noProof/>
                <w:webHidden/>
              </w:rPr>
              <w:fldChar w:fldCharType="begin"/>
            </w:r>
            <w:r>
              <w:rPr>
                <w:noProof/>
                <w:webHidden/>
              </w:rPr>
              <w:instrText xml:space="preserve"> PAGEREF _Toc147849916 \h </w:instrText>
            </w:r>
            <w:r>
              <w:rPr>
                <w:noProof/>
                <w:webHidden/>
              </w:rPr>
            </w:r>
            <w:r>
              <w:rPr>
                <w:noProof/>
                <w:webHidden/>
              </w:rPr>
              <w:fldChar w:fldCharType="separate"/>
            </w:r>
            <w:r>
              <w:rPr>
                <w:noProof/>
                <w:webHidden/>
              </w:rPr>
              <w:t>57</w:t>
            </w:r>
            <w:r>
              <w:rPr>
                <w:noProof/>
                <w:webHidden/>
              </w:rPr>
              <w:fldChar w:fldCharType="end"/>
            </w:r>
          </w:hyperlink>
        </w:p>
        <w:p w14:paraId="52519523" w14:textId="638911FB" w:rsidR="005573E0" w:rsidRDefault="005573E0">
          <w:pPr>
            <w:pStyle w:val="Verzeichnis3"/>
            <w:rPr>
              <w:rFonts w:asciiTheme="minorHAnsi" w:eastAsiaTheme="minorEastAsia" w:hAnsiTheme="minorHAnsi" w:cstheme="minorBidi"/>
              <w:noProof/>
              <w:sz w:val="22"/>
              <w:szCs w:val="22"/>
              <w:lang w:eastAsia="de-CH"/>
            </w:rPr>
          </w:pPr>
          <w:hyperlink w:anchor="_Toc147849917" w:history="1">
            <w:r w:rsidRPr="00445518">
              <w:rPr>
                <w:rStyle w:val="Hyperlink"/>
                <w:noProof/>
                <w:lang w:val="x-none" w:eastAsia="x-none" w:bidi="x-none"/>
              </w:rPr>
              <w:t>6.2.4</w:t>
            </w:r>
            <w:r>
              <w:rPr>
                <w:rFonts w:asciiTheme="minorHAnsi" w:eastAsiaTheme="minorEastAsia" w:hAnsiTheme="minorHAnsi" w:cstheme="minorBidi"/>
                <w:noProof/>
                <w:sz w:val="22"/>
                <w:szCs w:val="22"/>
                <w:lang w:eastAsia="de-CH"/>
              </w:rPr>
              <w:tab/>
            </w:r>
            <w:r w:rsidRPr="00445518">
              <w:rPr>
                <w:rStyle w:val="Hyperlink"/>
                <w:noProof/>
              </w:rPr>
              <w:t>Interne Kontrollfunktion: Risikomanagementfunktion und Risikomanagement-Rahmenwerk (GOV-4)</w:t>
            </w:r>
            <w:r>
              <w:rPr>
                <w:noProof/>
                <w:webHidden/>
              </w:rPr>
              <w:tab/>
            </w:r>
            <w:r>
              <w:rPr>
                <w:noProof/>
                <w:webHidden/>
              </w:rPr>
              <w:fldChar w:fldCharType="begin"/>
            </w:r>
            <w:r>
              <w:rPr>
                <w:noProof/>
                <w:webHidden/>
              </w:rPr>
              <w:instrText xml:space="preserve"> PAGEREF _Toc147849917 \h </w:instrText>
            </w:r>
            <w:r>
              <w:rPr>
                <w:noProof/>
                <w:webHidden/>
              </w:rPr>
            </w:r>
            <w:r>
              <w:rPr>
                <w:noProof/>
                <w:webHidden/>
              </w:rPr>
              <w:fldChar w:fldCharType="separate"/>
            </w:r>
            <w:r>
              <w:rPr>
                <w:noProof/>
                <w:webHidden/>
              </w:rPr>
              <w:t>58</w:t>
            </w:r>
            <w:r>
              <w:rPr>
                <w:noProof/>
                <w:webHidden/>
              </w:rPr>
              <w:fldChar w:fldCharType="end"/>
            </w:r>
          </w:hyperlink>
        </w:p>
        <w:p w14:paraId="1ED33150" w14:textId="34F8004F" w:rsidR="005573E0" w:rsidRDefault="005573E0">
          <w:pPr>
            <w:pStyle w:val="Verzeichnis3"/>
            <w:rPr>
              <w:rFonts w:asciiTheme="minorHAnsi" w:eastAsiaTheme="minorEastAsia" w:hAnsiTheme="minorHAnsi" w:cstheme="minorBidi"/>
              <w:noProof/>
              <w:sz w:val="22"/>
              <w:szCs w:val="22"/>
              <w:lang w:eastAsia="de-CH"/>
            </w:rPr>
          </w:pPr>
          <w:hyperlink w:anchor="_Toc147849918" w:history="1">
            <w:r w:rsidRPr="00445518">
              <w:rPr>
                <w:rStyle w:val="Hyperlink"/>
                <w:noProof/>
                <w:lang w:val="x-none" w:eastAsia="x-none" w:bidi="x-none"/>
              </w:rPr>
              <w:t>6.2.5</w:t>
            </w:r>
            <w:r>
              <w:rPr>
                <w:rFonts w:asciiTheme="minorHAnsi" w:eastAsiaTheme="minorEastAsia" w:hAnsiTheme="minorHAnsi" w:cstheme="minorBidi"/>
                <w:noProof/>
                <w:sz w:val="22"/>
                <w:szCs w:val="22"/>
                <w:lang w:eastAsia="de-CH"/>
              </w:rPr>
              <w:tab/>
            </w:r>
            <w:r w:rsidRPr="00445518">
              <w:rPr>
                <w:rStyle w:val="Hyperlink"/>
                <w:noProof/>
              </w:rPr>
              <w:t>Interne Kontrollfunktion: Compliance (GOV-5)</w:t>
            </w:r>
            <w:r>
              <w:rPr>
                <w:noProof/>
                <w:webHidden/>
              </w:rPr>
              <w:tab/>
            </w:r>
            <w:r>
              <w:rPr>
                <w:noProof/>
                <w:webHidden/>
              </w:rPr>
              <w:fldChar w:fldCharType="begin"/>
            </w:r>
            <w:r>
              <w:rPr>
                <w:noProof/>
                <w:webHidden/>
              </w:rPr>
              <w:instrText xml:space="preserve"> PAGEREF _Toc147849918 \h </w:instrText>
            </w:r>
            <w:r>
              <w:rPr>
                <w:noProof/>
                <w:webHidden/>
              </w:rPr>
            </w:r>
            <w:r>
              <w:rPr>
                <w:noProof/>
                <w:webHidden/>
              </w:rPr>
              <w:fldChar w:fldCharType="separate"/>
            </w:r>
            <w:r>
              <w:rPr>
                <w:noProof/>
                <w:webHidden/>
              </w:rPr>
              <w:t>59</w:t>
            </w:r>
            <w:r>
              <w:rPr>
                <w:noProof/>
                <w:webHidden/>
              </w:rPr>
              <w:fldChar w:fldCharType="end"/>
            </w:r>
          </w:hyperlink>
        </w:p>
        <w:p w14:paraId="27179C7C" w14:textId="596EC743" w:rsidR="005573E0" w:rsidRDefault="005573E0">
          <w:pPr>
            <w:pStyle w:val="Verzeichnis3"/>
            <w:rPr>
              <w:rFonts w:asciiTheme="minorHAnsi" w:eastAsiaTheme="minorEastAsia" w:hAnsiTheme="minorHAnsi" w:cstheme="minorBidi"/>
              <w:noProof/>
              <w:sz w:val="22"/>
              <w:szCs w:val="22"/>
              <w:lang w:eastAsia="de-CH"/>
            </w:rPr>
          </w:pPr>
          <w:hyperlink w:anchor="_Toc147849919" w:history="1">
            <w:r w:rsidRPr="00445518">
              <w:rPr>
                <w:rStyle w:val="Hyperlink"/>
                <w:noProof/>
                <w:lang w:val="x-none" w:eastAsia="x-none" w:bidi="x-none"/>
              </w:rPr>
              <w:t>6.2.6</w:t>
            </w:r>
            <w:r>
              <w:rPr>
                <w:rFonts w:asciiTheme="minorHAnsi" w:eastAsiaTheme="minorEastAsia" w:hAnsiTheme="minorHAnsi" w:cstheme="minorBidi"/>
                <w:noProof/>
                <w:sz w:val="22"/>
                <w:szCs w:val="22"/>
                <w:lang w:eastAsia="de-CH"/>
              </w:rPr>
              <w:tab/>
            </w:r>
            <w:r w:rsidRPr="00445518">
              <w:rPr>
                <w:rStyle w:val="Hyperlink"/>
                <w:noProof/>
              </w:rPr>
              <w:t>Interne Kontrollfunktion: Interne Revision (GOV-6)</w:t>
            </w:r>
            <w:r>
              <w:rPr>
                <w:noProof/>
                <w:webHidden/>
              </w:rPr>
              <w:tab/>
            </w:r>
            <w:r>
              <w:rPr>
                <w:noProof/>
                <w:webHidden/>
              </w:rPr>
              <w:fldChar w:fldCharType="begin"/>
            </w:r>
            <w:r>
              <w:rPr>
                <w:noProof/>
                <w:webHidden/>
              </w:rPr>
              <w:instrText xml:space="preserve"> PAGEREF _Toc147849919 \h </w:instrText>
            </w:r>
            <w:r>
              <w:rPr>
                <w:noProof/>
                <w:webHidden/>
              </w:rPr>
            </w:r>
            <w:r>
              <w:rPr>
                <w:noProof/>
                <w:webHidden/>
              </w:rPr>
              <w:fldChar w:fldCharType="separate"/>
            </w:r>
            <w:r>
              <w:rPr>
                <w:noProof/>
                <w:webHidden/>
              </w:rPr>
              <w:t>60</w:t>
            </w:r>
            <w:r>
              <w:rPr>
                <w:noProof/>
                <w:webHidden/>
              </w:rPr>
              <w:fldChar w:fldCharType="end"/>
            </w:r>
          </w:hyperlink>
        </w:p>
        <w:p w14:paraId="4FDB1364" w14:textId="45C485DD" w:rsidR="005573E0" w:rsidRDefault="005573E0">
          <w:pPr>
            <w:pStyle w:val="Verzeichnis3"/>
            <w:rPr>
              <w:rFonts w:asciiTheme="minorHAnsi" w:eastAsiaTheme="minorEastAsia" w:hAnsiTheme="minorHAnsi" w:cstheme="minorBidi"/>
              <w:noProof/>
              <w:sz w:val="22"/>
              <w:szCs w:val="22"/>
              <w:lang w:eastAsia="de-CH"/>
            </w:rPr>
          </w:pPr>
          <w:hyperlink w:anchor="_Toc147849920" w:history="1">
            <w:r w:rsidRPr="00445518">
              <w:rPr>
                <w:rStyle w:val="Hyperlink"/>
                <w:noProof/>
                <w:lang w:val="x-none" w:eastAsia="x-none" w:bidi="x-none"/>
              </w:rPr>
              <w:t>6.2.7</w:t>
            </w:r>
            <w:r>
              <w:rPr>
                <w:rFonts w:asciiTheme="minorHAnsi" w:eastAsiaTheme="minorEastAsia" w:hAnsiTheme="minorHAnsi" w:cstheme="minorBidi"/>
                <w:noProof/>
                <w:sz w:val="22"/>
                <w:szCs w:val="22"/>
                <w:lang w:eastAsia="de-CH"/>
              </w:rPr>
              <w:tab/>
            </w:r>
            <w:r w:rsidRPr="00445518">
              <w:rPr>
                <w:rStyle w:val="Hyperlink"/>
                <w:noProof/>
              </w:rPr>
              <w:t>Neue Produkte und wichtige Änderungen (GOV-7)</w:t>
            </w:r>
            <w:r>
              <w:rPr>
                <w:noProof/>
                <w:webHidden/>
              </w:rPr>
              <w:tab/>
            </w:r>
            <w:r>
              <w:rPr>
                <w:noProof/>
                <w:webHidden/>
              </w:rPr>
              <w:fldChar w:fldCharType="begin"/>
            </w:r>
            <w:r>
              <w:rPr>
                <w:noProof/>
                <w:webHidden/>
              </w:rPr>
              <w:instrText xml:space="preserve"> PAGEREF _Toc147849920 \h </w:instrText>
            </w:r>
            <w:r>
              <w:rPr>
                <w:noProof/>
                <w:webHidden/>
              </w:rPr>
            </w:r>
            <w:r>
              <w:rPr>
                <w:noProof/>
                <w:webHidden/>
              </w:rPr>
              <w:fldChar w:fldCharType="separate"/>
            </w:r>
            <w:r>
              <w:rPr>
                <w:noProof/>
                <w:webHidden/>
              </w:rPr>
              <w:t>61</w:t>
            </w:r>
            <w:r>
              <w:rPr>
                <w:noProof/>
                <w:webHidden/>
              </w:rPr>
              <w:fldChar w:fldCharType="end"/>
            </w:r>
          </w:hyperlink>
        </w:p>
        <w:p w14:paraId="2283D512" w14:textId="35198799" w:rsidR="005573E0" w:rsidRDefault="005573E0">
          <w:pPr>
            <w:pStyle w:val="Verzeichnis3"/>
            <w:rPr>
              <w:rFonts w:asciiTheme="minorHAnsi" w:eastAsiaTheme="minorEastAsia" w:hAnsiTheme="minorHAnsi" w:cstheme="minorBidi"/>
              <w:noProof/>
              <w:sz w:val="22"/>
              <w:szCs w:val="22"/>
              <w:lang w:eastAsia="de-CH"/>
            </w:rPr>
          </w:pPr>
          <w:hyperlink w:anchor="_Toc147849921" w:history="1">
            <w:r w:rsidRPr="00445518">
              <w:rPr>
                <w:rStyle w:val="Hyperlink"/>
                <w:noProof/>
                <w:lang w:val="x-none" w:eastAsia="x-none" w:bidi="x-none"/>
              </w:rPr>
              <w:t>6.2.8</w:t>
            </w:r>
            <w:r>
              <w:rPr>
                <w:rFonts w:asciiTheme="minorHAnsi" w:eastAsiaTheme="minorEastAsia" w:hAnsiTheme="minorHAnsi" w:cstheme="minorBidi"/>
                <w:noProof/>
                <w:sz w:val="22"/>
                <w:szCs w:val="22"/>
                <w:lang w:eastAsia="de-CH"/>
              </w:rPr>
              <w:tab/>
            </w:r>
            <w:r w:rsidRPr="00445518">
              <w:rPr>
                <w:rStyle w:val="Hyperlink"/>
                <w:noProof/>
              </w:rPr>
              <w:t>Auslagerungen (GOV-8)</w:t>
            </w:r>
            <w:r>
              <w:rPr>
                <w:noProof/>
                <w:webHidden/>
              </w:rPr>
              <w:tab/>
            </w:r>
            <w:r>
              <w:rPr>
                <w:noProof/>
                <w:webHidden/>
              </w:rPr>
              <w:fldChar w:fldCharType="begin"/>
            </w:r>
            <w:r>
              <w:rPr>
                <w:noProof/>
                <w:webHidden/>
              </w:rPr>
              <w:instrText xml:space="preserve"> PAGEREF _Toc147849921 \h </w:instrText>
            </w:r>
            <w:r>
              <w:rPr>
                <w:noProof/>
                <w:webHidden/>
              </w:rPr>
            </w:r>
            <w:r>
              <w:rPr>
                <w:noProof/>
                <w:webHidden/>
              </w:rPr>
              <w:fldChar w:fldCharType="separate"/>
            </w:r>
            <w:r>
              <w:rPr>
                <w:noProof/>
                <w:webHidden/>
              </w:rPr>
              <w:t>62</w:t>
            </w:r>
            <w:r>
              <w:rPr>
                <w:noProof/>
                <w:webHidden/>
              </w:rPr>
              <w:fldChar w:fldCharType="end"/>
            </w:r>
          </w:hyperlink>
        </w:p>
        <w:p w14:paraId="3691E30A" w14:textId="0E17B484" w:rsidR="005573E0" w:rsidRDefault="005573E0">
          <w:pPr>
            <w:pStyle w:val="Verzeichnis3"/>
            <w:rPr>
              <w:rFonts w:asciiTheme="minorHAnsi" w:eastAsiaTheme="minorEastAsia" w:hAnsiTheme="minorHAnsi" w:cstheme="minorBidi"/>
              <w:noProof/>
              <w:sz w:val="22"/>
              <w:szCs w:val="22"/>
              <w:lang w:eastAsia="de-CH"/>
            </w:rPr>
          </w:pPr>
          <w:hyperlink w:anchor="_Toc147849922" w:history="1">
            <w:r w:rsidRPr="00445518">
              <w:rPr>
                <w:rStyle w:val="Hyperlink"/>
                <w:noProof/>
                <w:lang w:val="x-none" w:eastAsia="x-none" w:bidi="x-none"/>
              </w:rPr>
              <w:t>6.2.9</w:t>
            </w:r>
            <w:r>
              <w:rPr>
                <w:rFonts w:asciiTheme="minorHAnsi" w:eastAsiaTheme="minorEastAsia" w:hAnsiTheme="minorHAnsi" w:cstheme="minorBidi"/>
                <w:noProof/>
                <w:sz w:val="22"/>
                <w:szCs w:val="22"/>
                <w:lang w:eastAsia="de-CH"/>
              </w:rPr>
              <w:tab/>
            </w:r>
            <w:r w:rsidRPr="00445518">
              <w:rPr>
                <w:rStyle w:val="Hyperlink"/>
                <w:noProof/>
              </w:rPr>
              <w:t>Business Continuity Management (Massnahmen zur Aufrechterhaltung des Geschäftsbetriebs) (GOV-9)</w:t>
            </w:r>
            <w:r>
              <w:rPr>
                <w:noProof/>
                <w:webHidden/>
              </w:rPr>
              <w:tab/>
            </w:r>
            <w:r>
              <w:rPr>
                <w:noProof/>
                <w:webHidden/>
              </w:rPr>
              <w:fldChar w:fldCharType="begin"/>
            </w:r>
            <w:r>
              <w:rPr>
                <w:noProof/>
                <w:webHidden/>
              </w:rPr>
              <w:instrText xml:space="preserve"> PAGEREF _Toc147849922 \h </w:instrText>
            </w:r>
            <w:r>
              <w:rPr>
                <w:noProof/>
                <w:webHidden/>
              </w:rPr>
            </w:r>
            <w:r>
              <w:rPr>
                <w:noProof/>
                <w:webHidden/>
              </w:rPr>
              <w:fldChar w:fldCharType="separate"/>
            </w:r>
            <w:r>
              <w:rPr>
                <w:noProof/>
                <w:webHidden/>
              </w:rPr>
              <w:t>67</w:t>
            </w:r>
            <w:r>
              <w:rPr>
                <w:noProof/>
                <w:webHidden/>
              </w:rPr>
              <w:fldChar w:fldCharType="end"/>
            </w:r>
          </w:hyperlink>
        </w:p>
        <w:p w14:paraId="15BFC5C3" w14:textId="2348CDDF" w:rsidR="005573E0" w:rsidRDefault="005573E0">
          <w:pPr>
            <w:pStyle w:val="Verzeichnis3"/>
            <w:rPr>
              <w:rFonts w:asciiTheme="minorHAnsi" w:eastAsiaTheme="minorEastAsia" w:hAnsiTheme="minorHAnsi" w:cstheme="minorBidi"/>
              <w:noProof/>
              <w:sz w:val="22"/>
              <w:szCs w:val="22"/>
              <w:lang w:eastAsia="de-CH"/>
            </w:rPr>
          </w:pPr>
          <w:hyperlink w:anchor="_Toc147849923" w:history="1">
            <w:r w:rsidRPr="00445518">
              <w:rPr>
                <w:rStyle w:val="Hyperlink"/>
                <w:noProof/>
                <w:lang w:val="x-none" w:eastAsia="x-none" w:bidi="x-none"/>
              </w:rPr>
              <w:t>6.2.10</w:t>
            </w:r>
            <w:r>
              <w:rPr>
                <w:rFonts w:asciiTheme="minorHAnsi" w:eastAsiaTheme="minorEastAsia" w:hAnsiTheme="minorHAnsi" w:cstheme="minorBidi"/>
                <w:noProof/>
                <w:sz w:val="22"/>
                <w:szCs w:val="22"/>
                <w:lang w:eastAsia="de-CH"/>
              </w:rPr>
              <w:tab/>
            </w:r>
            <w:r w:rsidRPr="00445518">
              <w:rPr>
                <w:rStyle w:val="Hyperlink"/>
                <w:noProof/>
              </w:rPr>
              <w:t>IKT-Sicherheit (GOV-10)</w:t>
            </w:r>
            <w:r>
              <w:rPr>
                <w:noProof/>
                <w:webHidden/>
              </w:rPr>
              <w:tab/>
            </w:r>
            <w:r>
              <w:rPr>
                <w:noProof/>
                <w:webHidden/>
              </w:rPr>
              <w:fldChar w:fldCharType="begin"/>
            </w:r>
            <w:r>
              <w:rPr>
                <w:noProof/>
                <w:webHidden/>
              </w:rPr>
              <w:instrText xml:space="preserve"> PAGEREF _Toc147849923 \h </w:instrText>
            </w:r>
            <w:r>
              <w:rPr>
                <w:noProof/>
                <w:webHidden/>
              </w:rPr>
            </w:r>
            <w:r>
              <w:rPr>
                <w:noProof/>
                <w:webHidden/>
              </w:rPr>
              <w:fldChar w:fldCharType="separate"/>
            </w:r>
            <w:r>
              <w:rPr>
                <w:noProof/>
                <w:webHidden/>
              </w:rPr>
              <w:t>69</w:t>
            </w:r>
            <w:r>
              <w:rPr>
                <w:noProof/>
                <w:webHidden/>
              </w:rPr>
              <w:fldChar w:fldCharType="end"/>
            </w:r>
          </w:hyperlink>
        </w:p>
        <w:p w14:paraId="7912761F" w14:textId="559BFEB3" w:rsidR="005573E0" w:rsidRDefault="005573E0">
          <w:pPr>
            <w:pStyle w:val="Verzeichnis3"/>
            <w:rPr>
              <w:rFonts w:asciiTheme="minorHAnsi" w:eastAsiaTheme="minorEastAsia" w:hAnsiTheme="minorHAnsi" w:cstheme="minorBidi"/>
              <w:noProof/>
              <w:sz w:val="22"/>
              <w:szCs w:val="22"/>
              <w:lang w:eastAsia="de-CH"/>
            </w:rPr>
          </w:pPr>
          <w:hyperlink w:anchor="_Toc147849924" w:history="1">
            <w:r w:rsidRPr="00445518">
              <w:rPr>
                <w:rStyle w:val="Hyperlink"/>
                <w:noProof/>
                <w:lang w:val="x-none" w:eastAsia="x-none" w:bidi="x-none"/>
              </w:rPr>
              <w:t>6.2.11</w:t>
            </w:r>
            <w:r>
              <w:rPr>
                <w:rFonts w:asciiTheme="minorHAnsi" w:eastAsiaTheme="minorEastAsia" w:hAnsiTheme="minorHAnsi" w:cstheme="minorBidi"/>
                <w:noProof/>
                <w:sz w:val="22"/>
                <w:szCs w:val="22"/>
                <w:lang w:eastAsia="de-CH"/>
              </w:rPr>
              <w:tab/>
            </w:r>
            <w:r w:rsidRPr="00445518">
              <w:rPr>
                <w:rStyle w:val="Hyperlink"/>
                <w:noProof/>
              </w:rPr>
              <w:t>Vergütungspolitik- und praxis (GOV-11)</w:t>
            </w:r>
            <w:r>
              <w:rPr>
                <w:noProof/>
                <w:webHidden/>
              </w:rPr>
              <w:tab/>
            </w:r>
            <w:r>
              <w:rPr>
                <w:noProof/>
                <w:webHidden/>
              </w:rPr>
              <w:fldChar w:fldCharType="begin"/>
            </w:r>
            <w:r>
              <w:rPr>
                <w:noProof/>
                <w:webHidden/>
              </w:rPr>
              <w:instrText xml:space="preserve"> PAGEREF _Toc147849924 \h </w:instrText>
            </w:r>
            <w:r>
              <w:rPr>
                <w:noProof/>
                <w:webHidden/>
              </w:rPr>
            </w:r>
            <w:r>
              <w:rPr>
                <w:noProof/>
                <w:webHidden/>
              </w:rPr>
              <w:fldChar w:fldCharType="separate"/>
            </w:r>
            <w:r>
              <w:rPr>
                <w:noProof/>
                <w:webHidden/>
              </w:rPr>
              <w:t>75</w:t>
            </w:r>
            <w:r>
              <w:rPr>
                <w:noProof/>
                <w:webHidden/>
              </w:rPr>
              <w:fldChar w:fldCharType="end"/>
            </w:r>
          </w:hyperlink>
        </w:p>
        <w:p w14:paraId="544A6A83" w14:textId="37DB5D5A" w:rsidR="005573E0" w:rsidRDefault="005573E0">
          <w:pPr>
            <w:pStyle w:val="Verzeichnis3"/>
            <w:rPr>
              <w:rFonts w:asciiTheme="minorHAnsi" w:eastAsiaTheme="minorEastAsia" w:hAnsiTheme="minorHAnsi" w:cstheme="minorBidi"/>
              <w:noProof/>
              <w:sz w:val="22"/>
              <w:szCs w:val="22"/>
              <w:lang w:eastAsia="de-CH"/>
            </w:rPr>
          </w:pPr>
          <w:hyperlink w:anchor="_Toc147849925" w:history="1">
            <w:r w:rsidRPr="00445518">
              <w:rPr>
                <w:rStyle w:val="Hyperlink"/>
                <w:noProof/>
                <w:lang w:val="x-none" w:eastAsia="x-none" w:bidi="x-none"/>
              </w:rPr>
              <w:t>6.2.12</w:t>
            </w:r>
            <w:r>
              <w:rPr>
                <w:rFonts w:asciiTheme="minorHAnsi" w:eastAsiaTheme="minorEastAsia" w:hAnsiTheme="minorHAnsi" w:cstheme="minorBidi"/>
                <w:noProof/>
                <w:sz w:val="22"/>
                <w:szCs w:val="22"/>
                <w:lang w:eastAsia="de-CH"/>
              </w:rPr>
              <w:tab/>
            </w:r>
            <w:r w:rsidRPr="00445518">
              <w:rPr>
                <w:rStyle w:val="Hyperlink"/>
                <w:noProof/>
              </w:rPr>
              <w:t>Offenlegung (GOV-12)</w:t>
            </w:r>
            <w:r>
              <w:rPr>
                <w:noProof/>
                <w:webHidden/>
              </w:rPr>
              <w:tab/>
            </w:r>
            <w:r>
              <w:rPr>
                <w:noProof/>
                <w:webHidden/>
              </w:rPr>
              <w:fldChar w:fldCharType="begin"/>
            </w:r>
            <w:r>
              <w:rPr>
                <w:noProof/>
                <w:webHidden/>
              </w:rPr>
              <w:instrText xml:space="preserve"> PAGEREF _Toc147849925 \h </w:instrText>
            </w:r>
            <w:r>
              <w:rPr>
                <w:noProof/>
                <w:webHidden/>
              </w:rPr>
            </w:r>
            <w:r>
              <w:rPr>
                <w:noProof/>
                <w:webHidden/>
              </w:rPr>
              <w:fldChar w:fldCharType="separate"/>
            </w:r>
            <w:r>
              <w:rPr>
                <w:noProof/>
                <w:webHidden/>
              </w:rPr>
              <w:t>77</w:t>
            </w:r>
            <w:r>
              <w:rPr>
                <w:noProof/>
                <w:webHidden/>
              </w:rPr>
              <w:fldChar w:fldCharType="end"/>
            </w:r>
          </w:hyperlink>
        </w:p>
        <w:p w14:paraId="45E5091E" w14:textId="061548AC" w:rsidR="005573E0" w:rsidRDefault="005573E0">
          <w:pPr>
            <w:pStyle w:val="Verzeichnis2"/>
            <w:rPr>
              <w:rFonts w:asciiTheme="minorHAnsi" w:eastAsiaTheme="minorEastAsia" w:hAnsiTheme="minorHAnsi" w:cstheme="minorBidi"/>
              <w:noProof/>
              <w:sz w:val="22"/>
              <w:szCs w:val="22"/>
              <w:lang w:eastAsia="de-CH"/>
            </w:rPr>
          </w:pPr>
          <w:hyperlink w:anchor="_Toc147849926" w:history="1">
            <w:r w:rsidRPr="00445518">
              <w:rPr>
                <w:rStyle w:val="Hyperlink"/>
                <w:noProof/>
              </w:rPr>
              <w:t>6.3</w:t>
            </w:r>
            <w:r>
              <w:rPr>
                <w:rFonts w:asciiTheme="minorHAnsi" w:eastAsiaTheme="minorEastAsia" w:hAnsiTheme="minorHAnsi" w:cstheme="minorBidi"/>
                <w:noProof/>
                <w:sz w:val="22"/>
                <w:szCs w:val="22"/>
                <w:lang w:eastAsia="de-CH"/>
              </w:rPr>
              <w:tab/>
            </w:r>
            <w:r w:rsidRPr="00445518">
              <w:rPr>
                <w:rStyle w:val="Hyperlink"/>
                <w:noProof/>
              </w:rPr>
              <w:t>ICAAP (ICA-1)</w:t>
            </w:r>
            <w:r>
              <w:rPr>
                <w:noProof/>
                <w:webHidden/>
              </w:rPr>
              <w:tab/>
            </w:r>
            <w:r>
              <w:rPr>
                <w:noProof/>
                <w:webHidden/>
              </w:rPr>
              <w:fldChar w:fldCharType="begin"/>
            </w:r>
            <w:r>
              <w:rPr>
                <w:noProof/>
                <w:webHidden/>
              </w:rPr>
              <w:instrText xml:space="preserve"> PAGEREF _Toc147849926 \h </w:instrText>
            </w:r>
            <w:r>
              <w:rPr>
                <w:noProof/>
                <w:webHidden/>
              </w:rPr>
            </w:r>
            <w:r>
              <w:rPr>
                <w:noProof/>
                <w:webHidden/>
              </w:rPr>
              <w:fldChar w:fldCharType="separate"/>
            </w:r>
            <w:r>
              <w:rPr>
                <w:noProof/>
                <w:webHidden/>
              </w:rPr>
              <w:t>78</w:t>
            </w:r>
            <w:r>
              <w:rPr>
                <w:noProof/>
                <w:webHidden/>
              </w:rPr>
              <w:fldChar w:fldCharType="end"/>
            </w:r>
          </w:hyperlink>
        </w:p>
        <w:p w14:paraId="7E9BA274" w14:textId="38CDF167" w:rsidR="005573E0" w:rsidRDefault="005573E0">
          <w:pPr>
            <w:pStyle w:val="Verzeichnis2"/>
            <w:rPr>
              <w:rFonts w:asciiTheme="minorHAnsi" w:eastAsiaTheme="minorEastAsia" w:hAnsiTheme="minorHAnsi" w:cstheme="minorBidi"/>
              <w:noProof/>
              <w:sz w:val="22"/>
              <w:szCs w:val="22"/>
              <w:lang w:eastAsia="de-CH"/>
            </w:rPr>
          </w:pPr>
          <w:hyperlink w:anchor="_Toc147849927" w:history="1">
            <w:r w:rsidRPr="00445518">
              <w:rPr>
                <w:rStyle w:val="Hyperlink"/>
                <w:noProof/>
              </w:rPr>
              <w:t>6.4</w:t>
            </w:r>
            <w:r>
              <w:rPr>
                <w:rFonts w:asciiTheme="minorHAnsi" w:eastAsiaTheme="minorEastAsia" w:hAnsiTheme="minorHAnsi" w:cstheme="minorBidi"/>
                <w:noProof/>
                <w:sz w:val="22"/>
                <w:szCs w:val="22"/>
                <w:lang w:eastAsia="de-CH"/>
              </w:rPr>
              <w:tab/>
            </w:r>
            <w:r w:rsidRPr="00445518">
              <w:rPr>
                <w:rStyle w:val="Hyperlink"/>
                <w:noProof/>
              </w:rPr>
              <w:t>ILAAP (ILA-1)</w:t>
            </w:r>
            <w:r>
              <w:rPr>
                <w:noProof/>
                <w:webHidden/>
              </w:rPr>
              <w:tab/>
            </w:r>
            <w:r>
              <w:rPr>
                <w:noProof/>
                <w:webHidden/>
              </w:rPr>
              <w:fldChar w:fldCharType="begin"/>
            </w:r>
            <w:r>
              <w:rPr>
                <w:noProof/>
                <w:webHidden/>
              </w:rPr>
              <w:instrText xml:space="preserve"> PAGEREF _Toc147849927 \h </w:instrText>
            </w:r>
            <w:r>
              <w:rPr>
                <w:noProof/>
                <w:webHidden/>
              </w:rPr>
            </w:r>
            <w:r>
              <w:rPr>
                <w:noProof/>
                <w:webHidden/>
              </w:rPr>
              <w:fldChar w:fldCharType="separate"/>
            </w:r>
            <w:r>
              <w:rPr>
                <w:noProof/>
                <w:webHidden/>
              </w:rPr>
              <w:t>80</w:t>
            </w:r>
            <w:r>
              <w:rPr>
                <w:noProof/>
                <w:webHidden/>
              </w:rPr>
              <w:fldChar w:fldCharType="end"/>
            </w:r>
          </w:hyperlink>
        </w:p>
        <w:p w14:paraId="33B44530" w14:textId="19176FBD" w:rsidR="005573E0" w:rsidRDefault="005573E0">
          <w:pPr>
            <w:pStyle w:val="Verzeichnis2"/>
            <w:rPr>
              <w:rFonts w:asciiTheme="minorHAnsi" w:eastAsiaTheme="minorEastAsia" w:hAnsiTheme="minorHAnsi" w:cstheme="minorBidi"/>
              <w:noProof/>
              <w:sz w:val="22"/>
              <w:szCs w:val="22"/>
              <w:lang w:eastAsia="de-CH"/>
            </w:rPr>
          </w:pPr>
          <w:hyperlink w:anchor="_Toc147849928" w:history="1">
            <w:r w:rsidRPr="00445518">
              <w:rPr>
                <w:rStyle w:val="Hyperlink"/>
                <w:noProof/>
              </w:rPr>
              <w:t>6.5</w:t>
            </w:r>
            <w:r>
              <w:rPr>
                <w:rFonts w:asciiTheme="minorHAnsi" w:eastAsiaTheme="minorEastAsia" w:hAnsiTheme="minorHAnsi" w:cstheme="minorBidi"/>
                <w:noProof/>
                <w:sz w:val="22"/>
                <w:szCs w:val="22"/>
                <w:lang w:eastAsia="de-CH"/>
              </w:rPr>
              <w:tab/>
            </w:r>
            <w:r w:rsidRPr="00445518">
              <w:rPr>
                <w:rStyle w:val="Hyperlink"/>
                <w:noProof/>
              </w:rPr>
              <w:t>Andere Vorschriften</w:t>
            </w:r>
            <w:r>
              <w:rPr>
                <w:noProof/>
                <w:webHidden/>
              </w:rPr>
              <w:tab/>
            </w:r>
            <w:r>
              <w:rPr>
                <w:noProof/>
                <w:webHidden/>
              </w:rPr>
              <w:fldChar w:fldCharType="begin"/>
            </w:r>
            <w:r>
              <w:rPr>
                <w:noProof/>
                <w:webHidden/>
              </w:rPr>
              <w:instrText xml:space="preserve"> PAGEREF _Toc147849928 \h </w:instrText>
            </w:r>
            <w:r>
              <w:rPr>
                <w:noProof/>
                <w:webHidden/>
              </w:rPr>
            </w:r>
            <w:r>
              <w:rPr>
                <w:noProof/>
                <w:webHidden/>
              </w:rPr>
              <w:fldChar w:fldCharType="separate"/>
            </w:r>
            <w:r>
              <w:rPr>
                <w:noProof/>
                <w:webHidden/>
              </w:rPr>
              <w:t>84</w:t>
            </w:r>
            <w:r>
              <w:rPr>
                <w:noProof/>
                <w:webHidden/>
              </w:rPr>
              <w:fldChar w:fldCharType="end"/>
            </w:r>
          </w:hyperlink>
        </w:p>
        <w:p w14:paraId="25CEFE75" w14:textId="5F75099B" w:rsidR="005573E0" w:rsidRDefault="005573E0">
          <w:pPr>
            <w:pStyle w:val="Verzeichnis3"/>
            <w:rPr>
              <w:rFonts w:asciiTheme="minorHAnsi" w:eastAsiaTheme="minorEastAsia" w:hAnsiTheme="minorHAnsi" w:cstheme="minorBidi"/>
              <w:noProof/>
              <w:sz w:val="22"/>
              <w:szCs w:val="22"/>
              <w:lang w:eastAsia="de-CH"/>
            </w:rPr>
          </w:pPr>
          <w:hyperlink w:anchor="_Toc147849929" w:history="1">
            <w:r w:rsidRPr="00445518">
              <w:rPr>
                <w:rStyle w:val="Hyperlink"/>
                <w:noProof/>
                <w:lang w:val="x-none" w:eastAsia="x-none" w:bidi="x-none"/>
              </w:rPr>
              <w:t>6.5.1</w:t>
            </w:r>
            <w:r>
              <w:rPr>
                <w:rFonts w:asciiTheme="minorHAnsi" w:eastAsiaTheme="minorEastAsia" w:hAnsiTheme="minorHAnsi" w:cstheme="minorBidi"/>
                <w:noProof/>
                <w:sz w:val="22"/>
                <w:szCs w:val="22"/>
                <w:lang w:eastAsia="de-CH"/>
              </w:rPr>
              <w:tab/>
            </w:r>
            <w:r w:rsidRPr="00445518">
              <w:rPr>
                <w:rStyle w:val="Hyperlink"/>
                <w:noProof/>
              </w:rPr>
              <w:t>Konsolidierung nach CRR (And-1)</w:t>
            </w:r>
            <w:r>
              <w:rPr>
                <w:noProof/>
                <w:webHidden/>
              </w:rPr>
              <w:tab/>
            </w:r>
            <w:r>
              <w:rPr>
                <w:noProof/>
                <w:webHidden/>
              </w:rPr>
              <w:fldChar w:fldCharType="begin"/>
            </w:r>
            <w:r>
              <w:rPr>
                <w:noProof/>
                <w:webHidden/>
              </w:rPr>
              <w:instrText xml:space="preserve"> PAGEREF _Toc147849929 \h </w:instrText>
            </w:r>
            <w:r>
              <w:rPr>
                <w:noProof/>
                <w:webHidden/>
              </w:rPr>
            </w:r>
            <w:r>
              <w:rPr>
                <w:noProof/>
                <w:webHidden/>
              </w:rPr>
              <w:fldChar w:fldCharType="separate"/>
            </w:r>
            <w:r>
              <w:rPr>
                <w:noProof/>
                <w:webHidden/>
              </w:rPr>
              <w:t>84</w:t>
            </w:r>
            <w:r>
              <w:rPr>
                <w:noProof/>
                <w:webHidden/>
              </w:rPr>
              <w:fldChar w:fldCharType="end"/>
            </w:r>
          </w:hyperlink>
        </w:p>
        <w:p w14:paraId="110494F1" w14:textId="041E5CFC" w:rsidR="005573E0" w:rsidRDefault="005573E0">
          <w:pPr>
            <w:pStyle w:val="Verzeichnis3"/>
            <w:rPr>
              <w:rFonts w:asciiTheme="minorHAnsi" w:eastAsiaTheme="minorEastAsia" w:hAnsiTheme="minorHAnsi" w:cstheme="minorBidi"/>
              <w:noProof/>
              <w:sz w:val="22"/>
              <w:szCs w:val="22"/>
              <w:lang w:eastAsia="de-CH"/>
            </w:rPr>
          </w:pPr>
          <w:hyperlink w:anchor="_Toc147849930" w:history="1">
            <w:r w:rsidRPr="00445518">
              <w:rPr>
                <w:rStyle w:val="Hyperlink"/>
                <w:noProof/>
                <w:lang w:val="x-none" w:eastAsia="x-none" w:bidi="x-none"/>
              </w:rPr>
              <w:t>6.5.2</w:t>
            </w:r>
            <w:r>
              <w:rPr>
                <w:rFonts w:asciiTheme="minorHAnsi" w:eastAsiaTheme="minorEastAsia" w:hAnsiTheme="minorHAnsi" w:cstheme="minorBidi"/>
                <w:noProof/>
                <w:sz w:val="22"/>
                <w:szCs w:val="22"/>
                <w:lang w:eastAsia="de-CH"/>
              </w:rPr>
              <w:tab/>
            </w:r>
            <w:r w:rsidRPr="00445518">
              <w:rPr>
                <w:rStyle w:val="Hyperlink"/>
                <w:noProof/>
              </w:rPr>
              <w:t>Wertpapier- und Nebendienstleistungen (MiFID II) (And-2)</w:t>
            </w:r>
            <w:r>
              <w:rPr>
                <w:noProof/>
                <w:webHidden/>
              </w:rPr>
              <w:tab/>
            </w:r>
            <w:r>
              <w:rPr>
                <w:noProof/>
                <w:webHidden/>
              </w:rPr>
              <w:fldChar w:fldCharType="begin"/>
            </w:r>
            <w:r>
              <w:rPr>
                <w:noProof/>
                <w:webHidden/>
              </w:rPr>
              <w:instrText xml:space="preserve"> PAGEREF _Toc147849930 \h </w:instrText>
            </w:r>
            <w:r>
              <w:rPr>
                <w:noProof/>
                <w:webHidden/>
              </w:rPr>
            </w:r>
            <w:r>
              <w:rPr>
                <w:noProof/>
                <w:webHidden/>
              </w:rPr>
              <w:fldChar w:fldCharType="separate"/>
            </w:r>
            <w:r>
              <w:rPr>
                <w:noProof/>
                <w:webHidden/>
              </w:rPr>
              <w:t>84</w:t>
            </w:r>
            <w:r>
              <w:rPr>
                <w:noProof/>
                <w:webHidden/>
              </w:rPr>
              <w:fldChar w:fldCharType="end"/>
            </w:r>
          </w:hyperlink>
        </w:p>
        <w:p w14:paraId="77D28B22" w14:textId="5DC7EB36" w:rsidR="005573E0" w:rsidRDefault="005573E0">
          <w:pPr>
            <w:pStyle w:val="Verzeichnis3"/>
            <w:rPr>
              <w:rFonts w:asciiTheme="minorHAnsi" w:eastAsiaTheme="minorEastAsia" w:hAnsiTheme="minorHAnsi" w:cstheme="minorBidi"/>
              <w:noProof/>
              <w:sz w:val="22"/>
              <w:szCs w:val="22"/>
              <w:lang w:eastAsia="de-CH"/>
            </w:rPr>
          </w:pPr>
          <w:hyperlink w:anchor="_Toc147849931" w:history="1">
            <w:r w:rsidRPr="00445518">
              <w:rPr>
                <w:rStyle w:val="Hyperlink"/>
                <w:noProof/>
                <w:lang w:val="x-none" w:eastAsia="x-none" w:bidi="x-none"/>
              </w:rPr>
              <w:t>6.5.3</w:t>
            </w:r>
            <w:r>
              <w:rPr>
                <w:rFonts w:asciiTheme="minorHAnsi" w:eastAsiaTheme="minorEastAsia" w:hAnsiTheme="minorHAnsi" w:cstheme="minorBidi"/>
                <w:noProof/>
                <w:sz w:val="22"/>
                <w:szCs w:val="22"/>
                <w:lang w:eastAsia="de-CH"/>
              </w:rPr>
              <w:tab/>
            </w:r>
            <w:r w:rsidRPr="00445518">
              <w:rPr>
                <w:rStyle w:val="Hyperlink"/>
                <w:noProof/>
              </w:rPr>
              <w:t>Sanierungsplanung (And-3)</w:t>
            </w:r>
            <w:r>
              <w:rPr>
                <w:noProof/>
                <w:webHidden/>
              </w:rPr>
              <w:tab/>
            </w:r>
            <w:r>
              <w:rPr>
                <w:noProof/>
                <w:webHidden/>
              </w:rPr>
              <w:fldChar w:fldCharType="begin"/>
            </w:r>
            <w:r>
              <w:rPr>
                <w:noProof/>
                <w:webHidden/>
              </w:rPr>
              <w:instrText xml:space="preserve"> PAGEREF _Toc147849931 \h </w:instrText>
            </w:r>
            <w:r>
              <w:rPr>
                <w:noProof/>
                <w:webHidden/>
              </w:rPr>
            </w:r>
            <w:r>
              <w:rPr>
                <w:noProof/>
                <w:webHidden/>
              </w:rPr>
              <w:fldChar w:fldCharType="separate"/>
            </w:r>
            <w:r>
              <w:rPr>
                <w:noProof/>
                <w:webHidden/>
              </w:rPr>
              <w:t>88</w:t>
            </w:r>
            <w:r>
              <w:rPr>
                <w:noProof/>
                <w:webHidden/>
              </w:rPr>
              <w:fldChar w:fldCharType="end"/>
            </w:r>
          </w:hyperlink>
        </w:p>
        <w:p w14:paraId="63309049" w14:textId="473D6832" w:rsidR="005573E0" w:rsidRDefault="005573E0">
          <w:pPr>
            <w:pStyle w:val="Verzeichnis3"/>
            <w:rPr>
              <w:rFonts w:asciiTheme="minorHAnsi" w:eastAsiaTheme="minorEastAsia" w:hAnsiTheme="minorHAnsi" w:cstheme="minorBidi"/>
              <w:noProof/>
              <w:sz w:val="22"/>
              <w:szCs w:val="22"/>
              <w:lang w:eastAsia="de-CH"/>
            </w:rPr>
          </w:pPr>
          <w:hyperlink w:anchor="_Toc147849932" w:history="1">
            <w:r w:rsidRPr="00445518">
              <w:rPr>
                <w:rStyle w:val="Hyperlink"/>
                <w:noProof/>
                <w:lang w:val="x-none" w:eastAsia="x-none" w:bidi="x-none"/>
              </w:rPr>
              <w:t>6.5.4</w:t>
            </w:r>
            <w:r>
              <w:rPr>
                <w:rFonts w:asciiTheme="minorHAnsi" w:eastAsiaTheme="minorEastAsia" w:hAnsiTheme="minorHAnsi" w:cstheme="minorBidi"/>
                <w:noProof/>
                <w:sz w:val="22"/>
                <w:szCs w:val="22"/>
                <w:lang w:eastAsia="de-CH"/>
              </w:rPr>
              <w:tab/>
            </w:r>
            <w:r w:rsidRPr="00445518">
              <w:rPr>
                <w:rStyle w:val="Hyperlink"/>
                <w:noProof/>
              </w:rPr>
              <w:t>Zahlungsdienstrichtlinie (PSD II) (And-4)</w:t>
            </w:r>
            <w:r>
              <w:rPr>
                <w:noProof/>
                <w:webHidden/>
              </w:rPr>
              <w:tab/>
            </w:r>
            <w:r>
              <w:rPr>
                <w:noProof/>
                <w:webHidden/>
              </w:rPr>
              <w:fldChar w:fldCharType="begin"/>
            </w:r>
            <w:r>
              <w:rPr>
                <w:noProof/>
                <w:webHidden/>
              </w:rPr>
              <w:instrText xml:space="preserve"> PAGEREF _Toc147849932 \h </w:instrText>
            </w:r>
            <w:r>
              <w:rPr>
                <w:noProof/>
                <w:webHidden/>
              </w:rPr>
            </w:r>
            <w:r>
              <w:rPr>
                <w:noProof/>
                <w:webHidden/>
              </w:rPr>
              <w:fldChar w:fldCharType="separate"/>
            </w:r>
            <w:r>
              <w:rPr>
                <w:noProof/>
                <w:webHidden/>
              </w:rPr>
              <w:t>89</w:t>
            </w:r>
            <w:r>
              <w:rPr>
                <w:noProof/>
                <w:webHidden/>
              </w:rPr>
              <w:fldChar w:fldCharType="end"/>
            </w:r>
          </w:hyperlink>
        </w:p>
        <w:p w14:paraId="591C20F3" w14:textId="67ACBBB9" w:rsidR="005573E0" w:rsidRDefault="005573E0">
          <w:pPr>
            <w:pStyle w:val="Verzeichnis2"/>
            <w:rPr>
              <w:rFonts w:asciiTheme="minorHAnsi" w:eastAsiaTheme="minorEastAsia" w:hAnsiTheme="minorHAnsi" w:cstheme="minorBidi"/>
              <w:noProof/>
              <w:sz w:val="22"/>
              <w:szCs w:val="22"/>
              <w:lang w:eastAsia="de-CH"/>
            </w:rPr>
          </w:pPr>
          <w:hyperlink w:anchor="_Toc147849933" w:history="1">
            <w:r w:rsidRPr="00445518">
              <w:rPr>
                <w:rStyle w:val="Hyperlink"/>
                <w:noProof/>
              </w:rPr>
              <w:t>6.6</w:t>
            </w:r>
            <w:r>
              <w:rPr>
                <w:rFonts w:asciiTheme="minorHAnsi" w:eastAsiaTheme="minorEastAsia" w:hAnsiTheme="minorHAnsi" w:cstheme="minorBidi"/>
                <w:noProof/>
                <w:sz w:val="22"/>
                <w:szCs w:val="22"/>
                <w:lang w:eastAsia="de-CH"/>
              </w:rPr>
              <w:tab/>
            </w:r>
            <w:r w:rsidRPr="00445518">
              <w:rPr>
                <w:rStyle w:val="Hyperlink"/>
                <w:noProof/>
              </w:rPr>
              <w:t>Prüfresultate der bewilligten (gemischten) Finanzholdinggesellschaft auf Einzelbasis</w:t>
            </w:r>
            <w:r>
              <w:rPr>
                <w:noProof/>
                <w:webHidden/>
              </w:rPr>
              <w:tab/>
            </w:r>
            <w:r>
              <w:rPr>
                <w:noProof/>
                <w:webHidden/>
              </w:rPr>
              <w:fldChar w:fldCharType="begin"/>
            </w:r>
            <w:r>
              <w:rPr>
                <w:noProof/>
                <w:webHidden/>
              </w:rPr>
              <w:instrText xml:space="preserve"> PAGEREF _Toc147849933 \h </w:instrText>
            </w:r>
            <w:r>
              <w:rPr>
                <w:noProof/>
                <w:webHidden/>
              </w:rPr>
            </w:r>
            <w:r>
              <w:rPr>
                <w:noProof/>
                <w:webHidden/>
              </w:rPr>
              <w:fldChar w:fldCharType="separate"/>
            </w:r>
            <w:r>
              <w:rPr>
                <w:noProof/>
                <w:webHidden/>
              </w:rPr>
              <w:t>92</w:t>
            </w:r>
            <w:r>
              <w:rPr>
                <w:noProof/>
                <w:webHidden/>
              </w:rPr>
              <w:fldChar w:fldCharType="end"/>
            </w:r>
          </w:hyperlink>
        </w:p>
        <w:p w14:paraId="272901B7" w14:textId="3E9C71AD" w:rsidR="005573E0" w:rsidRDefault="005573E0">
          <w:pPr>
            <w:pStyle w:val="Verzeichnis3"/>
            <w:rPr>
              <w:rFonts w:asciiTheme="minorHAnsi" w:eastAsiaTheme="minorEastAsia" w:hAnsiTheme="minorHAnsi" w:cstheme="minorBidi"/>
              <w:noProof/>
              <w:sz w:val="22"/>
              <w:szCs w:val="22"/>
              <w:lang w:eastAsia="de-CH"/>
            </w:rPr>
          </w:pPr>
          <w:hyperlink w:anchor="_Toc147849934" w:history="1">
            <w:r w:rsidRPr="00445518">
              <w:rPr>
                <w:rStyle w:val="Hyperlink"/>
                <w:noProof/>
                <w:lang w:val="x-none" w:eastAsia="x-none" w:bidi="x-none"/>
              </w:rPr>
              <w:t>6.6.1</w:t>
            </w:r>
            <w:r>
              <w:rPr>
                <w:rFonts w:asciiTheme="minorHAnsi" w:eastAsiaTheme="minorEastAsia" w:hAnsiTheme="minorHAnsi" w:cstheme="minorBidi"/>
                <w:noProof/>
                <w:sz w:val="22"/>
                <w:szCs w:val="22"/>
                <w:lang w:eastAsia="de-CH"/>
              </w:rPr>
              <w:tab/>
            </w:r>
            <w:r w:rsidRPr="00445518">
              <w:rPr>
                <w:rStyle w:val="Hyperlink"/>
                <w:noProof/>
              </w:rPr>
              <w:t>Gruppeninterne Steuerung &amp; Koordination</w:t>
            </w:r>
            <w:r>
              <w:rPr>
                <w:noProof/>
                <w:webHidden/>
              </w:rPr>
              <w:tab/>
            </w:r>
            <w:r>
              <w:rPr>
                <w:noProof/>
                <w:webHidden/>
              </w:rPr>
              <w:fldChar w:fldCharType="begin"/>
            </w:r>
            <w:r>
              <w:rPr>
                <w:noProof/>
                <w:webHidden/>
              </w:rPr>
              <w:instrText xml:space="preserve"> PAGEREF _Toc147849934 \h </w:instrText>
            </w:r>
            <w:r>
              <w:rPr>
                <w:noProof/>
                <w:webHidden/>
              </w:rPr>
            </w:r>
            <w:r>
              <w:rPr>
                <w:noProof/>
                <w:webHidden/>
              </w:rPr>
              <w:fldChar w:fldCharType="separate"/>
            </w:r>
            <w:r>
              <w:rPr>
                <w:noProof/>
                <w:webHidden/>
              </w:rPr>
              <w:t>92</w:t>
            </w:r>
            <w:r>
              <w:rPr>
                <w:noProof/>
                <w:webHidden/>
              </w:rPr>
              <w:fldChar w:fldCharType="end"/>
            </w:r>
          </w:hyperlink>
        </w:p>
        <w:p w14:paraId="6B33917C" w14:textId="471E0978" w:rsidR="005573E0" w:rsidRDefault="005573E0">
          <w:pPr>
            <w:pStyle w:val="Verzeichnis3"/>
            <w:rPr>
              <w:rFonts w:asciiTheme="minorHAnsi" w:eastAsiaTheme="minorEastAsia" w:hAnsiTheme="minorHAnsi" w:cstheme="minorBidi"/>
              <w:noProof/>
              <w:sz w:val="22"/>
              <w:szCs w:val="22"/>
              <w:lang w:eastAsia="de-CH"/>
            </w:rPr>
          </w:pPr>
          <w:hyperlink w:anchor="_Toc147849935" w:history="1">
            <w:r w:rsidRPr="00445518">
              <w:rPr>
                <w:rStyle w:val="Hyperlink"/>
                <w:noProof/>
                <w:lang w:val="x-none" w:eastAsia="x-none" w:bidi="x-none"/>
              </w:rPr>
              <w:t>6.6.2</w:t>
            </w:r>
            <w:r>
              <w:rPr>
                <w:rFonts w:asciiTheme="minorHAnsi" w:eastAsiaTheme="minorEastAsia" w:hAnsiTheme="minorHAnsi" w:cstheme="minorBidi"/>
                <w:noProof/>
                <w:sz w:val="22"/>
                <w:szCs w:val="22"/>
                <w:lang w:eastAsia="de-CH"/>
              </w:rPr>
              <w:tab/>
            </w:r>
            <w:r w:rsidRPr="00445518">
              <w:rPr>
                <w:rStyle w:val="Hyperlink"/>
                <w:noProof/>
              </w:rPr>
              <w:t>Gewähr der Personen, die die Geschäfte der bewilligten (gemischten) Finanzholdinggesellschaft tatsächlich führen</w:t>
            </w:r>
            <w:r>
              <w:rPr>
                <w:noProof/>
                <w:webHidden/>
              </w:rPr>
              <w:tab/>
            </w:r>
            <w:r>
              <w:rPr>
                <w:noProof/>
                <w:webHidden/>
              </w:rPr>
              <w:fldChar w:fldCharType="begin"/>
            </w:r>
            <w:r>
              <w:rPr>
                <w:noProof/>
                <w:webHidden/>
              </w:rPr>
              <w:instrText xml:space="preserve"> PAGEREF _Toc147849935 \h </w:instrText>
            </w:r>
            <w:r>
              <w:rPr>
                <w:noProof/>
                <w:webHidden/>
              </w:rPr>
            </w:r>
            <w:r>
              <w:rPr>
                <w:noProof/>
                <w:webHidden/>
              </w:rPr>
              <w:fldChar w:fldCharType="separate"/>
            </w:r>
            <w:r>
              <w:rPr>
                <w:noProof/>
                <w:webHidden/>
              </w:rPr>
              <w:t>93</w:t>
            </w:r>
            <w:r>
              <w:rPr>
                <w:noProof/>
                <w:webHidden/>
              </w:rPr>
              <w:fldChar w:fldCharType="end"/>
            </w:r>
          </w:hyperlink>
        </w:p>
        <w:p w14:paraId="3461313E" w14:textId="11EEA93C" w:rsidR="005573E0" w:rsidRDefault="005573E0">
          <w:pPr>
            <w:pStyle w:val="Verzeichnis3"/>
            <w:rPr>
              <w:rFonts w:asciiTheme="minorHAnsi" w:eastAsiaTheme="minorEastAsia" w:hAnsiTheme="minorHAnsi" w:cstheme="minorBidi"/>
              <w:noProof/>
              <w:sz w:val="22"/>
              <w:szCs w:val="22"/>
              <w:lang w:eastAsia="de-CH"/>
            </w:rPr>
          </w:pPr>
          <w:hyperlink w:anchor="_Toc147849936" w:history="1">
            <w:r w:rsidRPr="00445518">
              <w:rPr>
                <w:rStyle w:val="Hyperlink"/>
                <w:noProof/>
                <w:lang w:val="x-none" w:eastAsia="x-none" w:bidi="x-none"/>
              </w:rPr>
              <w:t>6.6.3</w:t>
            </w:r>
            <w:r>
              <w:rPr>
                <w:rFonts w:asciiTheme="minorHAnsi" w:eastAsiaTheme="minorEastAsia" w:hAnsiTheme="minorHAnsi" w:cstheme="minorBidi"/>
                <w:noProof/>
                <w:sz w:val="22"/>
                <w:szCs w:val="22"/>
                <w:lang w:eastAsia="de-CH"/>
              </w:rPr>
              <w:tab/>
            </w:r>
            <w:r w:rsidRPr="00445518">
              <w:rPr>
                <w:rStyle w:val="Hyperlink"/>
                <w:noProof/>
              </w:rPr>
              <w:t>Auslagerung</w:t>
            </w:r>
            <w:r>
              <w:rPr>
                <w:noProof/>
                <w:webHidden/>
              </w:rPr>
              <w:tab/>
            </w:r>
            <w:r>
              <w:rPr>
                <w:noProof/>
                <w:webHidden/>
              </w:rPr>
              <w:fldChar w:fldCharType="begin"/>
            </w:r>
            <w:r>
              <w:rPr>
                <w:noProof/>
                <w:webHidden/>
              </w:rPr>
              <w:instrText xml:space="preserve"> PAGEREF _Toc147849936 \h </w:instrText>
            </w:r>
            <w:r>
              <w:rPr>
                <w:noProof/>
                <w:webHidden/>
              </w:rPr>
            </w:r>
            <w:r>
              <w:rPr>
                <w:noProof/>
                <w:webHidden/>
              </w:rPr>
              <w:fldChar w:fldCharType="separate"/>
            </w:r>
            <w:r>
              <w:rPr>
                <w:noProof/>
                <w:webHidden/>
              </w:rPr>
              <w:t>94</w:t>
            </w:r>
            <w:r>
              <w:rPr>
                <w:noProof/>
                <w:webHidden/>
              </w:rPr>
              <w:fldChar w:fldCharType="end"/>
            </w:r>
          </w:hyperlink>
        </w:p>
        <w:p w14:paraId="0FAAE048" w14:textId="61F43172" w:rsidR="005573E0" w:rsidRDefault="005573E0">
          <w:pPr>
            <w:pStyle w:val="Verzeichnis2"/>
            <w:rPr>
              <w:rFonts w:asciiTheme="minorHAnsi" w:eastAsiaTheme="minorEastAsia" w:hAnsiTheme="minorHAnsi" w:cstheme="minorBidi"/>
              <w:noProof/>
              <w:sz w:val="22"/>
              <w:szCs w:val="22"/>
              <w:lang w:eastAsia="de-CH"/>
            </w:rPr>
          </w:pPr>
          <w:hyperlink w:anchor="_Toc147849937" w:history="1">
            <w:r w:rsidRPr="00445518">
              <w:rPr>
                <w:rStyle w:val="Hyperlink"/>
                <w:noProof/>
              </w:rPr>
              <w:t>6.7</w:t>
            </w:r>
            <w:r>
              <w:rPr>
                <w:rFonts w:asciiTheme="minorHAnsi" w:eastAsiaTheme="minorEastAsia" w:hAnsiTheme="minorHAnsi" w:cstheme="minorBidi"/>
                <w:noProof/>
                <w:sz w:val="22"/>
                <w:szCs w:val="22"/>
                <w:lang w:eastAsia="de-CH"/>
              </w:rPr>
              <w:tab/>
            </w:r>
            <w:r w:rsidRPr="00445518">
              <w:rPr>
                <w:rStyle w:val="Hyperlink"/>
                <w:noProof/>
              </w:rPr>
              <w:t>Prüfresultate aus von der FMA Liechtenstein zusätzlich festgelegten Prüfgebieten / Risikoarten bzw. Prüffelder</w:t>
            </w:r>
            <w:r>
              <w:rPr>
                <w:noProof/>
                <w:webHidden/>
              </w:rPr>
              <w:tab/>
            </w:r>
            <w:r>
              <w:rPr>
                <w:noProof/>
                <w:webHidden/>
              </w:rPr>
              <w:fldChar w:fldCharType="begin"/>
            </w:r>
            <w:r>
              <w:rPr>
                <w:noProof/>
                <w:webHidden/>
              </w:rPr>
              <w:instrText xml:space="preserve"> PAGEREF _Toc147849937 \h </w:instrText>
            </w:r>
            <w:r>
              <w:rPr>
                <w:noProof/>
                <w:webHidden/>
              </w:rPr>
            </w:r>
            <w:r>
              <w:rPr>
                <w:noProof/>
                <w:webHidden/>
              </w:rPr>
              <w:fldChar w:fldCharType="separate"/>
            </w:r>
            <w:r>
              <w:rPr>
                <w:noProof/>
                <w:webHidden/>
              </w:rPr>
              <w:t>98</w:t>
            </w:r>
            <w:r>
              <w:rPr>
                <w:noProof/>
                <w:webHidden/>
              </w:rPr>
              <w:fldChar w:fldCharType="end"/>
            </w:r>
          </w:hyperlink>
        </w:p>
        <w:p w14:paraId="296AEBF2" w14:textId="3922C33D" w:rsidR="005573E0" w:rsidRDefault="005573E0">
          <w:pPr>
            <w:pStyle w:val="Verzeichnis1"/>
            <w:rPr>
              <w:rFonts w:asciiTheme="minorHAnsi" w:eastAsiaTheme="minorEastAsia" w:hAnsiTheme="minorHAnsi" w:cstheme="minorBidi"/>
              <w:b w:val="0"/>
              <w:bCs w:val="0"/>
              <w:sz w:val="22"/>
              <w:szCs w:val="22"/>
              <w:lang w:eastAsia="de-CH"/>
            </w:rPr>
          </w:pPr>
          <w:hyperlink w:anchor="_Toc147849938" w:history="1">
            <w:r w:rsidRPr="00445518">
              <w:rPr>
                <w:rStyle w:val="Hyperlink"/>
              </w:rPr>
              <w:t>7.</w:t>
            </w:r>
            <w:r>
              <w:rPr>
                <w:rFonts w:asciiTheme="minorHAnsi" w:eastAsiaTheme="minorEastAsia" w:hAnsiTheme="minorHAnsi" w:cstheme="minorBidi"/>
                <w:b w:val="0"/>
                <w:bCs w:val="0"/>
                <w:sz w:val="22"/>
                <w:szCs w:val="22"/>
                <w:lang w:eastAsia="de-CH"/>
              </w:rPr>
              <w:tab/>
            </w:r>
            <w:r w:rsidRPr="00445518">
              <w:rPr>
                <w:rStyle w:val="Hyperlink"/>
              </w:rPr>
              <w:t>Weitere Bemerkungen</w:t>
            </w:r>
            <w:r>
              <w:rPr>
                <w:webHidden/>
              </w:rPr>
              <w:tab/>
            </w:r>
            <w:r>
              <w:rPr>
                <w:webHidden/>
              </w:rPr>
              <w:fldChar w:fldCharType="begin"/>
            </w:r>
            <w:r>
              <w:rPr>
                <w:webHidden/>
              </w:rPr>
              <w:instrText xml:space="preserve"> PAGEREF _Toc147849938 \h </w:instrText>
            </w:r>
            <w:r>
              <w:rPr>
                <w:webHidden/>
              </w:rPr>
            </w:r>
            <w:r>
              <w:rPr>
                <w:webHidden/>
              </w:rPr>
              <w:fldChar w:fldCharType="separate"/>
            </w:r>
            <w:r>
              <w:rPr>
                <w:webHidden/>
              </w:rPr>
              <w:t>99</w:t>
            </w:r>
            <w:r>
              <w:rPr>
                <w:webHidden/>
              </w:rPr>
              <w:fldChar w:fldCharType="end"/>
            </w:r>
          </w:hyperlink>
        </w:p>
        <w:p w14:paraId="05EA68D3" w14:textId="604EEE67" w:rsidR="005573E0" w:rsidRDefault="005573E0">
          <w:pPr>
            <w:pStyle w:val="Verzeichnis1"/>
            <w:rPr>
              <w:rFonts w:asciiTheme="minorHAnsi" w:eastAsiaTheme="minorEastAsia" w:hAnsiTheme="minorHAnsi" w:cstheme="minorBidi"/>
              <w:b w:val="0"/>
              <w:bCs w:val="0"/>
              <w:sz w:val="22"/>
              <w:szCs w:val="22"/>
              <w:lang w:eastAsia="de-CH"/>
            </w:rPr>
          </w:pPr>
          <w:hyperlink w:anchor="_Toc147849939" w:history="1">
            <w:r w:rsidRPr="00445518">
              <w:rPr>
                <w:rStyle w:val="Hyperlink"/>
              </w:rPr>
              <w:t>8.</w:t>
            </w:r>
            <w:r>
              <w:rPr>
                <w:rFonts w:asciiTheme="minorHAnsi" w:eastAsiaTheme="minorEastAsia" w:hAnsiTheme="minorHAnsi" w:cstheme="minorBidi"/>
                <w:b w:val="0"/>
                <w:bCs w:val="0"/>
                <w:sz w:val="22"/>
                <w:szCs w:val="22"/>
                <w:lang w:eastAsia="de-CH"/>
              </w:rPr>
              <w:tab/>
            </w:r>
            <w:r w:rsidRPr="00445518">
              <w:rPr>
                <w:rStyle w:val="Hyperlink"/>
              </w:rPr>
              <w:t>Unterschrift / Bestätigung der Revisionsstelle</w:t>
            </w:r>
            <w:r>
              <w:rPr>
                <w:webHidden/>
              </w:rPr>
              <w:tab/>
            </w:r>
            <w:r>
              <w:rPr>
                <w:webHidden/>
              </w:rPr>
              <w:fldChar w:fldCharType="begin"/>
            </w:r>
            <w:r>
              <w:rPr>
                <w:webHidden/>
              </w:rPr>
              <w:instrText xml:space="preserve"> PAGEREF _Toc147849939 \h </w:instrText>
            </w:r>
            <w:r>
              <w:rPr>
                <w:webHidden/>
              </w:rPr>
            </w:r>
            <w:r>
              <w:rPr>
                <w:webHidden/>
              </w:rPr>
              <w:fldChar w:fldCharType="separate"/>
            </w:r>
            <w:r>
              <w:rPr>
                <w:webHidden/>
              </w:rPr>
              <w:t>99</w:t>
            </w:r>
            <w:r>
              <w:rPr>
                <w:webHidden/>
              </w:rPr>
              <w:fldChar w:fldCharType="end"/>
            </w:r>
          </w:hyperlink>
        </w:p>
        <w:p w14:paraId="0CC42C30" w14:textId="62CD6787" w:rsidR="005573E0" w:rsidRDefault="005573E0">
          <w:pPr>
            <w:pStyle w:val="Verzeichnis1"/>
            <w:rPr>
              <w:rFonts w:asciiTheme="minorHAnsi" w:eastAsiaTheme="minorEastAsia" w:hAnsiTheme="minorHAnsi" w:cstheme="minorBidi"/>
              <w:b w:val="0"/>
              <w:bCs w:val="0"/>
              <w:sz w:val="22"/>
              <w:szCs w:val="22"/>
              <w:lang w:eastAsia="de-CH"/>
            </w:rPr>
          </w:pPr>
          <w:hyperlink w:anchor="_Toc147849940" w:history="1">
            <w:r w:rsidRPr="00445518">
              <w:rPr>
                <w:rStyle w:val="Hyperlink"/>
              </w:rPr>
              <w:t>9.</w:t>
            </w:r>
            <w:r>
              <w:rPr>
                <w:rFonts w:asciiTheme="minorHAnsi" w:eastAsiaTheme="minorEastAsia" w:hAnsiTheme="minorHAnsi" w:cstheme="minorBidi"/>
                <w:b w:val="0"/>
                <w:bCs w:val="0"/>
                <w:sz w:val="22"/>
                <w:szCs w:val="22"/>
                <w:lang w:eastAsia="de-CH"/>
              </w:rPr>
              <w:tab/>
            </w:r>
            <w:r w:rsidRPr="00445518">
              <w:rPr>
                <w:rStyle w:val="Hyperlink"/>
              </w:rPr>
              <w:t>Anhang</w:t>
            </w:r>
            <w:r>
              <w:rPr>
                <w:webHidden/>
              </w:rPr>
              <w:tab/>
            </w:r>
            <w:r>
              <w:rPr>
                <w:webHidden/>
              </w:rPr>
              <w:fldChar w:fldCharType="begin"/>
            </w:r>
            <w:r>
              <w:rPr>
                <w:webHidden/>
              </w:rPr>
              <w:instrText xml:space="preserve"> PAGEREF _Toc147849940 \h </w:instrText>
            </w:r>
            <w:r>
              <w:rPr>
                <w:webHidden/>
              </w:rPr>
            </w:r>
            <w:r>
              <w:rPr>
                <w:webHidden/>
              </w:rPr>
              <w:fldChar w:fldCharType="separate"/>
            </w:r>
            <w:r>
              <w:rPr>
                <w:webHidden/>
              </w:rPr>
              <w:t>99</w:t>
            </w:r>
            <w:r>
              <w:rPr>
                <w:webHidden/>
              </w:rPr>
              <w:fldChar w:fldCharType="end"/>
            </w:r>
          </w:hyperlink>
        </w:p>
        <w:p w14:paraId="40272320" w14:textId="77777777" w:rsidR="003A65D2" w:rsidRPr="00BB6029" w:rsidRDefault="00326E88" w:rsidP="00254B93">
          <w:pPr>
            <w:spacing w:before="120"/>
            <w:rPr>
              <w:sz w:val="20"/>
              <w:szCs w:val="20"/>
            </w:rPr>
          </w:pPr>
          <w:r w:rsidRPr="00DF10D9">
            <w:rPr>
              <w:rFonts w:ascii="Arial" w:hAnsi="Arial" w:cs="Arial"/>
              <w:sz w:val="20"/>
              <w:szCs w:val="20"/>
            </w:rPr>
            <w:fldChar w:fldCharType="end"/>
          </w:r>
        </w:p>
      </w:sdtContent>
    </w:sdt>
    <w:p w14:paraId="387B5738" w14:textId="77777777" w:rsidR="003A65D2" w:rsidRDefault="003A65D2">
      <w:pPr>
        <w:rPr>
          <w:b/>
        </w:rPr>
      </w:pPr>
      <w:r>
        <w:rPr>
          <w:b/>
        </w:rPr>
        <w:br w:type="page"/>
      </w:r>
    </w:p>
    <w:p w14:paraId="6ECDDBF4" w14:textId="5E1075B9" w:rsidR="00DD5846" w:rsidRPr="00897AEF" w:rsidRDefault="0049142B" w:rsidP="003A65D2">
      <w:pPr>
        <w:jc w:val="both"/>
        <w:rPr>
          <w:rFonts w:ascii="Arial" w:hAnsi="Arial" w:cs="Arial"/>
          <w:b/>
          <w:i/>
        </w:rPr>
      </w:pPr>
      <w:r w:rsidRPr="00897AEF">
        <w:rPr>
          <w:rFonts w:ascii="Arial" w:hAnsi="Arial" w:cs="Arial"/>
          <w:b/>
          <w:i/>
          <w:highlight w:val="yellow"/>
        </w:rPr>
        <w:lastRenderedPageBreak/>
        <w:t xml:space="preserve">Beaufsichtigte </w:t>
      </w:r>
      <w:r w:rsidR="004F737B">
        <w:rPr>
          <w:rFonts w:ascii="Arial" w:hAnsi="Arial" w:cs="Arial"/>
          <w:b/>
          <w:i/>
          <w:highlight w:val="yellow"/>
        </w:rPr>
        <w:t>Bank oder Wertpapierfirma</w:t>
      </w:r>
      <w:r w:rsidR="00404617">
        <w:rPr>
          <w:rFonts w:ascii="Arial" w:hAnsi="Arial" w:cs="Arial"/>
          <w:b/>
          <w:i/>
          <w:highlight w:val="yellow"/>
        </w:rPr>
        <w:t xml:space="preserve"> </w:t>
      </w:r>
      <w:r w:rsidR="0087714B">
        <w:rPr>
          <w:rFonts w:ascii="Arial" w:hAnsi="Arial" w:cs="Arial"/>
          <w:b/>
          <w:i/>
          <w:highlight w:val="yellow"/>
        </w:rPr>
        <w:t xml:space="preserve"> bzw. der </w:t>
      </w:r>
      <w:r w:rsidR="00404617">
        <w:rPr>
          <w:rFonts w:ascii="Arial" w:hAnsi="Arial" w:cs="Arial"/>
          <w:b/>
          <w:i/>
          <w:highlight w:val="yellow"/>
        </w:rPr>
        <w:t>Gruppe</w:t>
      </w:r>
    </w:p>
    <w:p w14:paraId="6A7C0CF5" w14:textId="77777777" w:rsidR="003A65D2" w:rsidRPr="00897AEF" w:rsidRDefault="003A65D2" w:rsidP="003A65D2">
      <w:pPr>
        <w:jc w:val="both"/>
        <w:rPr>
          <w:rFonts w:ascii="Arial" w:hAnsi="Arial" w:cs="Arial"/>
          <w:b/>
        </w:rPr>
      </w:pPr>
    </w:p>
    <w:p w14:paraId="340A13CF" w14:textId="77777777" w:rsidR="003A65D2" w:rsidRPr="00897AEF" w:rsidRDefault="003A65D2" w:rsidP="003A65D2">
      <w:pPr>
        <w:jc w:val="both"/>
        <w:rPr>
          <w:rFonts w:ascii="Arial" w:hAnsi="Arial" w:cs="Arial"/>
        </w:rPr>
      </w:pPr>
      <w:r w:rsidRPr="00897AEF">
        <w:rPr>
          <w:rFonts w:ascii="Arial" w:hAnsi="Arial" w:cs="Arial"/>
        </w:rPr>
        <w:t xml:space="preserve">Bericht der Revisionsstelle gemäss Gesetz über die Banken und Wertpapierfirmen über die Aufsichtsprüfung </w:t>
      </w:r>
      <w:r w:rsidRPr="00897AEF">
        <w:rPr>
          <w:rFonts w:ascii="Arial" w:hAnsi="Arial" w:cs="Arial"/>
          <w:i/>
          <w:highlight w:val="yellow"/>
        </w:rPr>
        <w:t>Berichtsjahr</w:t>
      </w:r>
    </w:p>
    <w:p w14:paraId="01A6A8E5" w14:textId="77777777" w:rsidR="00625CFC" w:rsidRPr="00897AEF" w:rsidRDefault="00625CFC" w:rsidP="003A65D2">
      <w:pPr>
        <w:jc w:val="both"/>
        <w:rPr>
          <w:rFonts w:ascii="Arial" w:hAnsi="Arial" w:cs="Arial"/>
        </w:rPr>
      </w:pPr>
    </w:p>
    <w:p w14:paraId="71AA119C" w14:textId="4F434FFB" w:rsidR="00625CFC" w:rsidRDefault="00625CFC" w:rsidP="003A65D2">
      <w:pPr>
        <w:jc w:val="both"/>
        <w:rPr>
          <w:rFonts w:ascii="Arial" w:hAnsi="Arial" w:cs="Arial"/>
          <w:i/>
          <w:sz w:val="20"/>
          <w:szCs w:val="20"/>
        </w:rPr>
      </w:pPr>
      <w:r w:rsidRPr="00897AEF">
        <w:rPr>
          <w:rFonts w:ascii="Arial" w:hAnsi="Arial" w:cs="Arial"/>
          <w:i/>
          <w:sz w:val="20"/>
          <w:szCs w:val="20"/>
          <w:highlight w:val="lightGray"/>
        </w:rPr>
        <w:t>[Die im Dokument kursiv und grau gehaltenen Text</w:t>
      </w:r>
      <w:r w:rsidR="008B259C">
        <w:rPr>
          <w:rFonts w:ascii="Arial" w:hAnsi="Arial" w:cs="Arial"/>
          <w:i/>
          <w:sz w:val="20"/>
          <w:szCs w:val="20"/>
          <w:highlight w:val="lightGray"/>
        </w:rPr>
        <w:t>t</w:t>
      </w:r>
      <w:r w:rsidRPr="00897AEF">
        <w:rPr>
          <w:rFonts w:ascii="Arial" w:hAnsi="Arial" w:cs="Arial"/>
          <w:i/>
          <w:sz w:val="20"/>
          <w:szCs w:val="20"/>
          <w:highlight w:val="lightGray"/>
        </w:rPr>
        <w:t>eile sind als Anleitung, jene in kursiv und gelb als beispielshafte Vorgabe zu verstehen. Nicht kursiv gehaltene Textvorgaben sind zwingend einzuhalten. Die Vorlage ist ab 20</w:t>
      </w:r>
      <w:r w:rsidR="00881418">
        <w:rPr>
          <w:rFonts w:ascii="Arial" w:hAnsi="Arial" w:cs="Arial"/>
          <w:i/>
          <w:sz w:val="20"/>
          <w:szCs w:val="20"/>
          <w:highlight w:val="lightGray"/>
        </w:rPr>
        <w:t>2</w:t>
      </w:r>
      <w:r w:rsidR="004E14E7">
        <w:rPr>
          <w:rFonts w:ascii="Arial" w:hAnsi="Arial" w:cs="Arial"/>
          <w:i/>
          <w:sz w:val="20"/>
          <w:szCs w:val="20"/>
          <w:highlight w:val="lightGray"/>
        </w:rPr>
        <w:t>4</w:t>
      </w:r>
      <w:r w:rsidRPr="00897AEF">
        <w:rPr>
          <w:rFonts w:ascii="Arial" w:hAnsi="Arial" w:cs="Arial"/>
          <w:i/>
          <w:sz w:val="20"/>
          <w:szCs w:val="20"/>
          <w:highlight w:val="lightGray"/>
        </w:rPr>
        <w:t xml:space="preserve"> anwendbar (aufsichtsrechtliche Berichterstattung für Prüfperioden beginnend am 01. Januar 20</w:t>
      </w:r>
      <w:r w:rsidR="00881418">
        <w:rPr>
          <w:rFonts w:ascii="Arial" w:hAnsi="Arial" w:cs="Arial"/>
          <w:i/>
          <w:sz w:val="20"/>
          <w:szCs w:val="20"/>
          <w:highlight w:val="lightGray"/>
        </w:rPr>
        <w:t>2</w:t>
      </w:r>
      <w:r w:rsidR="004E14E7">
        <w:rPr>
          <w:rFonts w:ascii="Arial" w:hAnsi="Arial" w:cs="Arial"/>
          <w:i/>
          <w:sz w:val="20"/>
          <w:szCs w:val="20"/>
          <w:highlight w:val="lightGray"/>
        </w:rPr>
        <w:t>4</w:t>
      </w:r>
      <w:r w:rsidRPr="00897AEF">
        <w:rPr>
          <w:rFonts w:ascii="Arial" w:hAnsi="Arial" w:cs="Arial"/>
          <w:i/>
          <w:sz w:val="20"/>
          <w:szCs w:val="20"/>
          <w:highlight w:val="lightGray"/>
        </w:rPr>
        <w:t>]</w:t>
      </w:r>
    </w:p>
    <w:p w14:paraId="24728543" w14:textId="77777777" w:rsidR="00C44852" w:rsidRDefault="00C44852">
      <w:pPr>
        <w:rPr>
          <w:rFonts w:ascii="Arial" w:hAnsi="Arial" w:cs="Arial"/>
          <w:i/>
          <w:sz w:val="20"/>
          <w:szCs w:val="20"/>
          <w:highlight w:val="lightGray"/>
        </w:rPr>
      </w:pPr>
      <w:r>
        <w:rPr>
          <w:rFonts w:ascii="Arial" w:hAnsi="Arial" w:cs="Arial"/>
          <w:i/>
          <w:sz w:val="20"/>
          <w:szCs w:val="20"/>
          <w:highlight w:val="lightGray"/>
        </w:rPr>
        <w:br w:type="page"/>
      </w:r>
    </w:p>
    <w:p w14:paraId="586F1675" w14:textId="77777777" w:rsidR="0049142B" w:rsidRDefault="0049142B" w:rsidP="006F7AB5">
      <w:pPr>
        <w:pStyle w:val="FINMAGliederungEbene1"/>
      </w:pPr>
      <w:bookmarkStart w:id="1" w:name="_Toc147849856"/>
      <w:r>
        <w:lastRenderedPageBreak/>
        <w:t>Rahmenbedingungen der Aufsichtsprüfung</w:t>
      </w:r>
      <w:bookmarkEnd w:id="1"/>
    </w:p>
    <w:p w14:paraId="38BD6C68" w14:textId="77777777" w:rsidR="00542456" w:rsidRPr="00624857" w:rsidRDefault="00542456" w:rsidP="0049142B">
      <w:pPr>
        <w:jc w:val="both"/>
        <w:rPr>
          <w:sz w:val="20"/>
          <w:szCs w:val="20"/>
        </w:rPr>
      </w:pPr>
    </w:p>
    <w:p w14:paraId="55F4ACD1" w14:textId="77777777" w:rsidR="00624857" w:rsidRDefault="00624857" w:rsidP="0049142B">
      <w:pPr>
        <w:jc w:val="both"/>
        <w:rPr>
          <w:rFonts w:ascii="Arial" w:hAnsi="Arial" w:cs="Arial"/>
          <w:i/>
          <w:sz w:val="20"/>
          <w:szCs w:val="20"/>
        </w:rPr>
      </w:pPr>
      <w:r w:rsidRPr="00624857">
        <w:rPr>
          <w:rFonts w:ascii="Arial" w:hAnsi="Arial" w:cs="Arial"/>
          <w:i/>
          <w:sz w:val="20"/>
          <w:szCs w:val="20"/>
          <w:highlight w:val="lightGray"/>
        </w:rPr>
        <w:t>Unter diesem Abschnitt sind die Rahmenbedingungen der Prüfung aufzuführen, d.h. insbesondere</w:t>
      </w:r>
      <w:r w:rsidRPr="00624857">
        <w:rPr>
          <w:rFonts w:ascii="Arial" w:hAnsi="Arial" w:cs="Arial"/>
          <w:i/>
          <w:sz w:val="20"/>
          <w:szCs w:val="20"/>
        </w:rPr>
        <w:t xml:space="preserve"> </w:t>
      </w:r>
    </w:p>
    <w:p w14:paraId="2696C25E" w14:textId="77777777" w:rsidR="00193A84" w:rsidRPr="00624857" w:rsidRDefault="00193A84" w:rsidP="0049142B">
      <w:pPr>
        <w:jc w:val="both"/>
        <w:rPr>
          <w:rFonts w:ascii="Arial" w:hAnsi="Arial" w:cs="Arial"/>
          <w:i/>
          <w:sz w:val="20"/>
          <w:szCs w:val="20"/>
        </w:rPr>
      </w:pPr>
    </w:p>
    <w:p w14:paraId="00AB4DF8" w14:textId="77777777"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die Prüfung gemäss der an die FMA vorab eingereichten Prüfstrategie durchge</w:t>
      </w:r>
      <w:r w:rsidR="00BC19D0">
        <w:rPr>
          <w:rFonts w:cs="Arial"/>
          <w:szCs w:val="20"/>
          <w:highlight w:val="lightGray"/>
        </w:rPr>
        <w:t>führt wurden;</w:t>
      </w:r>
      <w:r w:rsidRPr="00193A84">
        <w:rPr>
          <w:rFonts w:cs="Arial"/>
          <w:szCs w:val="20"/>
          <w:highlight w:val="lightGray"/>
        </w:rPr>
        <w:t xml:space="preserve"> Abweichungen sind zu begründen</w:t>
      </w:r>
    </w:p>
    <w:p w14:paraId="46DAD0F3" w14:textId="77777777" w:rsidR="004F737B" w:rsidRPr="00193A84" w:rsidRDefault="004F737B" w:rsidP="00624857">
      <w:pPr>
        <w:pStyle w:val="Listenabsatz"/>
        <w:numPr>
          <w:ilvl w:val="0"/>
          <w:numId w:val="5"/>
        </w:numPr>
        <w:jc w:val="both"/>
        <w:rPr>
          <w:rFonts w:cs="Arial"/>
          <w:szCs w:val="20"/>
          <w:highlight w:val="lightGray"/>
        </w:rPr>
      </w:pPr>
      <w:r>
        <w:rPr>
          <w:rFonts w:cs="Arial"/>
          <w:szCs w:val="20"/>
          <w:highlight w:val="lightGray"/>
        </w:rPr>
        <w:t>Angabe der Zeitspanne(-n), in der die Prüfungshandlungen und die Berichterstattung durchgeführt bzw. erstellt wurden</w:t>
      </w:r>
    </w:p>
    <w:p w14:paraId="538EDA69" w14:textId="77777777" w:rsidR="00394320" w:rsidRPr="00CB3EE6" w:rsidRDefault="00394320" w:rsidP="00624857">
      <w:pPr>
        <w:pStyle w:val="Listenabsatz"/>
        <w:numPr>
          <w:ilvl w:val="0"/>
          <w:numId w:val="5"/>
        </w:numPr>
        <w:jc w:val="both"/>
        <w:rPr>
          <w:rFonts w:cs="Arial"/>
          <w:szCs w:val="20"/>
          <w:highlight w:val="lightGray"/>
        </w:rPr>
      </w:pPr>
      <w:r w:rsidRPr="00CB3EE6">
        <w:rPr>
          <w:rFonts w:cs="Arial"/>
          <w:szCs w:val="20"/>
          <w:highlight w:val="lightGray"/>
        </w:rPr>
        <w:t>Auflistung der bei der Prüfung wesentlich eingesetzten Personen inklusive Angabe der Hierarchie- bzw. Funktionsstufe (z.B. Partner, Manager, eingesetzte Spezialisten in den Bereichen Recht, Steuern, IT usw.)</w:t>
      </w:r>
    </w:p>
    <w:p w14:paraId="2A5DD52C" w14:textId="77777777" w:rsidR="00624857" w:rsidRPr="00954411" w:rsidRDefault="00624857" w:rsidP="00624857">
      <w:pPr>
        <w:pStyle w:val="Listenabsatz"/>
        <w:numPr>
          <w:ilvl w:val="0"/>
          <w:numId w:val="5"/>
        </w:numPr>
        <w:jc w:val="both"/>
        <w:rPr>
          <w:rFonts w:cs="Arial"/>
          <w:szCs w:val="20"/>
          <w:highlight w:val="lightGray"/>
        </w:rPr>
      </w:pPr>
      <w:r w:rsidRPr="00954411">
        <w:rPr>
          <w:rFonts w:cs="Arial"/>
          <w:szCs w:val="20"/>
          <w:highlight w:val="lightGray"/>
        </w:rPr>
        <w:t>Ausmass der Abstützung auf bzw. Verwendung von Arbeiten Dritter, eines Experten oder eines anderen Wirtschaftsprüfers (z.B. bei Gruppengesellschaften)</w:t>
      </w:r>
    </w:p>
    <w:p w14:paraId="6CC7C974" w14:textId="5A9D3E4E" w:rsidR="00624857" w:rsidRPr="00193A84" w:rsidRDefault="00624857" w:rsidP="00624857">
      <w:pPr>
        <w:pStyle w:val="Listenabsatz"/>
        <w:numPr>
          <w:ilvl w:val="0"/>
          <w:numId w:val="5"/>
        </w:numPr>
        <w:jc w:val="both"/>
        <w:rPr>
          <w:rFonts w:cs="Arial"/>
          <w:szCs w:val="20"/>
          <w:highlight w:val="lightGray"/>
        </w:rPr>
      </w:pPr>
      <w:r w:rsidRPr="00193A84">
        <w:rPr>
          <w:rFonts w:cs="Arial"/>
          <w:szCs w:val="20"/>
          <w:highlight w:val="lightGray"/>
        </w:rPr>
        <w:t xml:space="preserve">Hinweise auf </w:t>
      </w:r>
      <w:r w:rsidR="00885CE4">
        <w:rPr>
          <w:rFonts w:cs="Arial"/>
          <w:szCs w:val="20"/>
          <w:highlight w:val="lightGray"/>
        </w:rPr>
        <w:t xml:space="preserve">Einschränkungen und </w:t>
      </w:r>
      <w:r w:rsidRPr="00193A84">
        <w:rPr>
          <w:rFonts w:cs="Arial"/>
          <w:szCs w:val="20"/>
          <w:highlight w:val="lightGray"/>
        </w:rPr>
        <w:t>Schwierigkeiten bei der Prüfung</w:t>
      </w:r>
      <w:r w:rsidR="007E12DD">
        <w:rPr>
          <w:rFonts w:cs="Arial"/>
          <w:szCs w:val="20"/>
          <w:highlight w:val="lightGray"/>
        </w:rPr>
        <w:t xml:space="preserve"> </w:t>
      </w:r>
      <w:r w:rsidR="009464E8">
        <w:rPr>
          <w:rFonts w:cs="Arial"/>
          <w:szCs w:val="20"/>
          <w:highlight w:val="lightGray"/>
        </w:rPr>
        <w:t>(z.B. Abwesenheit von Entscheidungsträgern; unvollständige/qualitativ mangelhafte Dokumentation durch d</w:t>
      </w:r>
      <w:r w:rsidR="00885CE4">
        <w:rPr>
          <w:rFonts w:cs="Arial"/>
          <w:szCs w:val="20"/>
          <w:highlight w:val="lightGray"/>
        </w:rPr>
        <w:t>ie</w:t>
      </w:r>
      <w:r w:rsidR="009464E8">
        <w:rPr>
          <w:rFonts w:cs="Arial"/>
          <w:szCs w:val="20"/>
          <w:highlight w:val="lightGray"/>
        </w:rPr>
        <w:t xml:space="preserve"> </w:t>
      </w:r>
      <w:r w:rsidR="00885CE4">
        <w:rPr>
          <w:rFonts w:cs="Arial"/>
          <w:szCs w:val="20"/>
          <w:highlight w:val="lightGray"/>
        </w:rPr>
        <w:t>b</w:t>
      </w:r>
      <w:r w:rsidR="004F737B">
        <w:rPr>
          <w:rFonts w:cs="Arial"/>
          <w:szCs w:val="20"/>
          <w:highlight w:val="lightGray"/>
        </w:rPr>
        <w:t>eaufsich</w:t>
      </w:r>
      <w:r w:rsidR="00885CE4">
        <w:rPr>
          <w:rFonts w:cs="Arial"/>
          <w:szCs w:val="20"/>
          <w:highlight w:val="lightGray"/>
        </w:rPr>
        <w:t>tigte</w:t>
      </w:r>
      <w:r w:rsidR="004F737B">
        <w:rPr>
          <w:rFonts w:cs="Arial"/>
          <w:szCs w:val="20"/>
          <w:highlight w:val="lightGray"/>
        </w:rPr>
        <w:t xml:space="preserve"> Bank</w:t>
      </w:r>
      <w:r w:rsidR="00F83287">
        <w:rPr>
          <w:rFonts w:cs="Arial"/>
          <w:szCs w:val="20"/>
          <w:highlight w:val="lightGray"/>
        </w:rPr>
        <w:t xml:space="preserve">, </w:t>
      </w:r>
      <w:r w:rsidR="004F737B">
        <w:rPr>
          <w:rFonts w:cs="Arial"/>
          <w:szCs w:val="20"/>
          <w:highlight w:val="lightGray"/>
        </w:rPr>
        <w:t>Wertpapierfirma</w:t>
      </w:r>
      <w:r w:rsidR="00365BF1">
        <w:rPr>
          <w:rFonts w:cs="Arial"/>
          <w:szCs w:val="20"/>
          <w:highlight w:val="lightGray"/>
        </w:rPr>
        <w:t>, bewilligte (gemischte) Finanzholdinggesellschaft</w:t>
      </w:r>
      <w:r w:rsidR="009464E8">
        <w:rPr>
          <w:rFonts w:cs="Arial"/>
          <w:szCs w:val="20"/>
          <w:highlight w:val="lightGray"/>
        </w:rPr>
        <w:t xml:space="preserve"> </w:t>
      </w:r>
      <w:r w:rsidR="00377A0B">
        <w:rPr>
          <w:rFonts w:cs="Arial"/>
          <w:szCs w:val="20"/>
          <w:highlight w:val="lightGray"/>
        </w:rPr>
        <w:t xml:space="preserve">bzw. Gruppe </w:t>
      </w:r>
      <w:r w:rsidR="009464E8">
        <w:rPr>
          <w:rFonts w:cs="Arial"/>
          <w:szCs w:val="20"/>
          <w:highlight w:val="lightGray"/>
        </w:rPr>
        <w:t xml:space="preserve">inkl. dessen </w:t>
      </w:r>
      <w:r w:rsidR="00DC5168">
        <w:rPr>
          <w:rFonts w:cs="Arial"/>
          <w:szCs w:val="20"/>
          <w:highlight w:val="lightGray"/>
        </w:rPr>
        <w:t>I</w:t>
      </w:r>
      <w:r w:rsidR="009464E8">
        <w:rPr>
          <w:rFonts w:cs="Arial"/>
          <w:szCs w:val="20"/>
          <w:highlight w:val="lightGray"/>
        </w:rPr>
        <w:t>nterne Revision; Restriktionen bei den Prüfungen z.B. reduzierter Prüfungsumfang infolge von durch d</w:t>
      </w:r>
      <w:r w:rsidR="00AA63DD">
        <w:rPr>
          <w:rFonts w:cs="Arial"/>
          <w:szCs w:val="20"/>
          <w:highlight w:val="lightGray"/>
        </w:rPr>
        <w:t>ie</w:t>
      </w:r>
      <w:r w:rsidR="009464E8">
        <w:rPr>
          <w:rFonts w:cs="Arial"/>
          <w:szCs w:val="20"/>
          <w:highlight w:val="lightGray"/>
        </w:rPr>
        <w:t xml:space="preserve"> </w:t>
      </w:r>
      <w:r w:rsidR="00AA63DD">
        <w:rPr>
          <w:rFonts w:cs="Arial"/>
          <w:szCs w:val="20"/>
          <w:highlight w:val="lightGray"/>
        </w:rPr>
        <w:t>b</w:t>
      </w:r>
      <w:r w:rsidR="004F737B">
        <w:rPr>
          <w:rFonts w:cs="Arial"/>
          <w:szCs w:val="20"/>
          <w:highlight w:val="lightGray"/>
        </w:rPr>
        <w:t>eauf</w:t>
      </w:r>
      <w:r w:rsidR="00AA63DD">
        <w:rPr>
          <w:rFonts w:cs="Arial"/>
          <w:szCs w:val="20"/>
          <w:highlight w:val="lightGray"/>
        </w:rPr>
        <w:t>sichtigte</w:t>
      </w:r>
      <w:r w:rsidR="004F737B">
        <w:rPr>
          <w:rFonts w:cs="Arial"/>
          <w:szCs w:val="20"/>
          <w:highlight w:val="lightGray"/>
        </w:rPr>
        <w:t xml:space="preserve"> Bank</w:t>
      </w:r>
      <w:r w:rsidR="00365BF1">
        <w:rPr>
          <w:rFonts w:cs="Arial"/>
          <w:szCs w:val="20"/>
          <w:highlight w:val="lightGray"/>
        </w:rPr>
        <w:t xml:space="preserve">, </w:t>
      </w:r>
      <w:r w:rsidR="004F737B">
        <w:rPr>
          <w:rFonts w:cs="Arial"/>
          <w:szCs w:val="20"/>
          <w:highlight w:val="lightGray"/>
        </w:rPr>
        <w:t>Wertpapierfirma</w:t>
      </w:r>
      <w:r w:rsidR="00D3000D">
        <w:rPr>
          <w:rFonts w:cs="Arial"/>
          <w:szCs w:val="20"/>
          <w:highlight w:val="lightGray"/>
        </w:rPr>
        <w:t>, bewilligte (gemischte) Finanzholdinggesellschaft</w:t>
      </w:r>
      <w:r w:rsidR="009464E8">
        <w:rPr>
          <w:rFonts w:cs="Arial"/>
          <w:szCs w:val="20"/>
          <w:highlight w:val="lightGray"/>
        </w:rPr>
        <w:t xml:space="preserve"> </w:t>
      </w:r>
      <w:r w:rsidR="00377A0B">
        <w:rPr>
          <w:rFonts w:cs="Arial"/>
          <w:szCs w:val="20"/>
          <w:highlight w:val="lightGray"/>
        </w:rPr>
        <w:t xml:space="preserve">bzw. Gruppe </w:t>
      </w:r>
      <w:r w:rsidR="009464E8">
        <w:rPr>
          <w:rFonts w:cs="Arial"/>
          <w:szCs w:val="20"/>
          <w:highlight w:val="lightGray"/>
        </w:rPr>
        <w:t>reduziertem Budget</w:t>
      </w:r>
      <w:r w:rsidR="00885CE4">
        <w:rPr>
          <w:rFonts w:cs="Arial"/>
          <w:szCs w:val="20"/>
          <w:highlight w:val="lightGray"/>
        </w:rPr>
        <w:t>; Sachverhalte, die dazu führen, dass die Würdigung des Tatbestands verunmöglicht wird</w:t>
      </w:r>
      <w:r w:rsidR="009464E8">
        <w:rPr>
          <w:rFonts w:cs="Arial"/>
          <w:szCs w:val="20"/>
          <w:highlight w:val="lightGray"/>
        </w:rPr>
        <w:t xml:space="preserve"> etc.)</w:t>
      </w:r>
    </w:p>
    <w:p w14:paraId="47886A7D" w14:textId="3F690D43" w:rsidR="00624857" w:rsidRDefault="00624857" w:rsidP="00624857">
      <w:pPr>
        <w:pStyle w:val="Listenabsatz"/>
        <w:numPr>
          <w:ilvl w:val="0"/>
          <w:numId w:val="5"/>
        </w:numPr>
        <w:jc w:val="both"/>
        <w:rPr>
          <w:rFonts w:cs="Arial"/>
          <w:szCs w:val="20"/>
          <w:highlight w:val="lightGray"/>
        </w:rPr>
      </w:pPr>
      <w:r w:rsidRPr="00193A84">
        <w:rPr>
          <w:rFonts w:cs="Arial"/>
          <w:szCs w:val="20"/>
          <w:highlight w:val="lightGray"/>
        </w:rPr>
        <w:t>Bestätigung, dass alle Informationen zeitgerecht und in der erforderlichen Qualität zur Verfügung gestellt wurden (gemäss Art. 11 Abs. 2 BankG)</w:t>
      </w:r>
    </w:p>
    <w:p w14:paraId="576A2748" w14:textId="77777777" w:rsidR="00433F12" w:rsidRPr="00193A84" w:rsidRDefault="00433F12" w:rsidP="00624857">
      <w:pPr>
        <w:pStyle w:val="Listenabsatz"/>
        <w:numPr>
          <w:ilvl w:val="0"/>
          <w:numId w:val="5"/>
        </w:numPr>
        <w:jc w:val="both"/>
        <w:rPr>
          <w:rFonts w:cs="Arial"/>
          <w:szCs w:val="20"/>
          <w:highlight w:val="lightGray"/>
        </w:rPr>
      </w:pPr>
      <w:r>
        <w:rPr>
          <w:rFonts w:cs="Arial"/>
          <w:szCs w:val="20"/>
          <w:highlight w:val="lightGray"/>
        </w:rPr>
        <w:t xml:space="preserve">Bestätigung der Unabhängigkeit der Revisionsstelle gemäss Art. 37 Abs. 4 BankG. </w:t>
      </w:r>
    </w:p>
    <w:p w14:paraId="1E71E840" w14:textId="77777777" w:rsidR="00193A84" w:rsidRDefault="00193A84" w:rsidP="00193A84">
      <w:pPr>
        <w:jc w:val="both"/>
      </w:pPr>
    </w:p>
    <w:p w14:paraId="12E792BB" w14:textId="6DEEA04A" w:rsidR="00193A84" w:rsidRDefault="00193A84" w:rsidP="006F7AB5">
      <w:pPr>
        <w:pStyle w:val="FINMAGliederungEbene1"/>
      </w:pPr>
      <w:bookmarkStart w:id="2" w:name="_Toc147849857"/>
      <w:r>
        <w:t>Weitere Mandate der Revisionsstelle bei</w:t>
      </w:r>
      <w:r w:rsidR="004F737B">
        <w:t xml:space="preserve"> der beaufsichtigten Bank oder Wertpapierfirma </w:t>
      </w:r>
      <w:r w:rsidR="00EA5362">
        <w:t xml:space="preserve">bzw. </w:t>
      </w:r>
      <w:r w:rsidR="00E55E3C">
        <w:t xml:space="preserve">innerhalb </w:t>
      </w:r>
      <w:r w:rsidR="00EA5362">
        <w:t>der</w:t>
      </w:r>
      <w:r w:rsidR="00E55E3C">
        <w:t>selben</w:t>
      </w:r>
      <w:r w:rsidR="00EA5362">
        <w:t xml:space="preserve"> Gruppe</w:t>
      </w:r>
      <w:bookmarkEnd w:id="2"/>
    </w:p>
    <w:p w14:paraId="58F4BB3E" w14:textId="77777777" w:rsidR="004F737B" w:rsidRDefault="004F737B" w:rsidP="004F737B">
      <w:pPr>
        <w:pStyle w:val="Listenabsatz"/>
        <w:ind w:left="360"/>
        <w:jc w:val="both"/>
      </w:pPr>
    </w:p>
    <w:p w14:paraId="3FC012EA" w14:textId="682F23F2" w:rsidR="00193A84" w:rsidRPr="006819F9" w:rsidRDefault="00193A84" w:rsidP="00193A84">
      <w:pPr>
        <w:jc w:val="both"/>
        <w:rPr>
          <w:rFonts w:ascii="Arial" w:hAnsi="Arial" w:cs="Arial"/>
          <w:i/>
          <w:sz w:val="20"/>
          <w:szCs w:val="20"/>
          <w:highlight w:val="lightGray"/>
        </w:rPr>
      </w:pPr>
      <w:r w:rsidRPr="00193A84">
        <w:rPr>
          <w:rFonts w:ascii="Arial" w:hAnsi="Arial" w:cs="Arial"/>
          <w:i/>
          <w:sz w:val="20"/>
          <w:szCs w:val="20"/>
          <w:highlight w:val="lightGray"/>
        </w:rPr>
        <w:t>Die Revisionsstelle führt allfällige weitere Mandat</w:t>
      </w:r>
      <w:r w:rsidR="000C756C">
        <w:rPr>
          <w:rFonts w:ascii="Arial" w:hAnsi="Arial" w:cs="Arial"/>
          <w:i/>
          <w:sz w:val="20"/>
          <w:szCs w:val="20"/>
          <w:highlight w:val="lightGray"/>
        </w:rPr>
        <w:t>e (z.B. Abschlussprüfung, vereinbarte Prüfungshandlungen, Beratungsmandate, andere Prüfmandate und Dienstleistungen)</w:t>
      </w:r>
      <w:r w:rsidRPr="00193A84">
        <w:rPr>
          <w:rFonts w:ascii="Arial" w:hAnsi="Arial" w:cs="Arial"/>
          <w:i/>
          <w:sz w:val="20"/>
          <w:szCs w:val="20"/>
          <w:highlight w:val="lightGray"/>
        </w:rPr>
        <w:t xml:space="preserve"> </w:t>
      </w:r>
      <w:r w:rsidR="000C756C">
        <w:rPr>
          <w:rFonts w:ascii="Arial" w:hAnsi="Arial" w:cs="Arial"/>
          <w:i/>
          <w:sz w:val="20"/>
          <w:szCs w:val="20"/>
          <w:highlight w:val="lightGray"/>
        </w:rPr>
        <w:t xml:space="preserve">im berichtsrelevanten Zeitraum </w:t>
      </w:r>
      <w:r w:rsidRPr="00193A84">
        <w:rPr>
          <w:rFonts w:ascii="Arial" w:hAnsi="Arial" w:cs="Arial"/>
          <w:i/>
          <w:sz w:val="20"/>
          <w:szCs w:val="20"/>
          <w:highlight w:val="lightGray"/>
        </w:rPr>
        <w:t xml:space="preserve">bei </w:t>
      </w:r>
      <w:r w:rsidR="00885CE4">
        <w:rPr>
          <w:rFonts w:ascii="Arial" w:hAnsi="Arial" w:cs="Arial"/>
          <w:i/>
          <w:sz w:val="20"/>
          <w:szCs w:val="20"/>
          <w:highlight w:val="lightGray"/>
        </w:rPr>
        <w:t xml:space="preserve">der </w:t>
      </w:r>
      <w:r w:rsidRPr="00193A84">
        <w:rPr>
          <w:rFonts w:ascii="Arial" w:hAnsi="Arial" w:cs="Arial"/>
          <w:i/>
          <w:sz w:val="20"/>
          <w:szCs w:val="20"/>
          <w:highlight w:val="lightGray"/>
        </w:rPr>
        <w:t xml:space="preserve">beaufsichtigten </w:t>
      </w:r>
      <w:r w:rsidR="004F737B">
        <w:rPr>
          <w:rFonts w:ascii="Arial" w:hAnsi="Arial" w:cs="Arial"/>
          <w:i/>
          <w:sz w:val="20"/>
          <w:szCs w:val="20"/>
          <w:highlight w:val="lightGray"/>
        </w:rPr>
        <w:t>Bank oder Wertpapierfirma</w:t>
      </w:r>
      <w:r w:rsidR="000C756C">
        <w:rPr>
          <w:rFonts w:ascii="Arial" w:hAnsi="Arial" w:cs="Arial"/>
          <w:i/>
          <w:sz w:val="20"/>
          <w:szCs w:val="20"/>
          <w:highlight w:val="lightGray"/>
        </w:rPr>
        <w:t xml:space="preserve"> sowie bei Gruppengesellschaften, welche Teil des Konsolidierungskreises sind, auf. Diesbezüglich sind die Art und der Umfang der Mandate zu beschreiben. </w:t>
      </w:r>
    </w:p>
    <w:p w14:paraId="46A2693C" w14:textId="77777777" w:rsidR="00885CE4" w:rsidRDefault="00885CE4" w:rsidP="00CB3EE6">
      <w:pPr>
        <w:pStyle w:val="Listenabsatz"/>
        <w:ind w:left="360"/>
        <w:jc w:val="both"/>
      </w:pPr>
    </w:p>
    <w:p w14:paraId="5FABEE8C" w14:textId="77777777" w:rsidR="00193A84" w:rsidRDefault="00193A84" w:rsidP="006F7AB5">
      <w:pPr>
        <w:pStyle w:val="FINMAGliederungEbene1"/>
      </w:pPr>
      <w:bookmarkStart w:id="3" w:name="_Toc147849858"/>
      <w:r>
        <w:t>Zusammenfassung der Prüfresultate</w:t>
      </w:r>
      <w:r w:rsidR="00433F12">
        <w:t xml:space="preserve"> aus der Aufsichtsprüfung</w:t>
      </w:r>
      <w:bookmarkEnd w:id="3"/>
    </w:p>
    <w:p w14:paraId="61EB6333" w14:textId="77777777" w:rsidR="00193A84" w:rsidRPr="00193A84" w:rsidRDefault="00193A84" w:rsidP="00193A84">
      <w:pPr>
        <w:jc w:val="both"/>
        <w:rPr>
          <w:rFonts w:cs="Arial"/>
          <w:szCs w:val="20"/>
        </w:rPr>
      </w:pPr>
    </w:p>
    <w:p w14:paraId="1E497C69" w14:textId="77777777" w:rsidR="00885CE4" w:rsidRDefault="00193A84" w:rsidP="004B7B6C">
      <w:pPr>
        <w:jc w:val="both"/>
        <w:rPr>
          <w:rFonts w:ascii="Arial" w:hAnsi="Arial" w:cs="Arial"/>
          <w:i/>
          <w:sz w:val="20"/>
          <w:szCs w:val="20"/>
          <w:highlight w:val="lightGray"/>
        </w:rPr>
      </w:pPr>
      <w:r w:rsidRPr="001469E9">
        <w:rPr>
          <w:rFonts w:ascii="Arial" w:hAnsi="Arial" w:cs="Arial"/>
          <w:i/>
          <w:sz w:val="20"/>
          <w:szCs w:val="20"/>
          <w:highlight w:val="lightGray"/>
        </w:rPr>
        <w:t>Die Revisionsstelle vermerkt alle Beanstandungen und Empfehlungen des Berichtsjahres sowie der vorangegangenen Prüfperiode (jeweils mit Fristansetzung und zu treffenden bzw. getroffenen Massnahmen sowie der Stand der Umsetzung). Der Zusammenzug aller Beanstandungen und Empfehlungen ist in tabellarischer Form vorzunehmen</w:t>
      </w:r>
      <w:r w:rsidR="00D36D11" w:rsidRPr="001469E9">
        <w:rPr>
          <w:rFonts w:ascii="Arial" w:hAnsi="Arial" w:cs="Arial"/>
          <w:i/>
          <w:sz w:val="20"/>
          <w:szCs w:val="20"/>
          <w:highlight w:val="lightGray"/>
        </w:rPr>
        <w:t xml:space="preserve"> (für Beanstandungen oder Empfehlungen des Berichtsjahres mit Verweis auf die Seitenzahlen des Berichts für die entsprechende Detailausführung</w:t>
      </w:r>
      <w:r w:rsidR="001469E9">
        <w:rPr>
          <w:rFonts w:ascii="Arial" w:hAnsi="Arial" w:cs="Arial"/>
          <w:i/>
          <w:sz w:val="20"/>
          <w:szCs w:val="20"/>
          <w:highlight w:val="lightGray"/>
        </w:rPr>
        <w:t>)</w:t>
      </w:r>
      <w:r w:rsidR="00D36D11" w:rsidRPr="001469E9">
        <w:rPr>
          <w:rFonts w:ascii="Arial" w:hAnsi="Arial" w:cs="Arial"/>
          <w:i/>
          <w:sz w:val="20"/>
          <w:szCs w:val="20"/>
          <w:highlight w:val="lightGray"/>
        </w:rPr>
        <w:t xml:space="preserve">. Hat die </w:t>
      </w:r>
      <w:r w:rsidR="00072BE1">
        <w:rPr>
          <w:rFonts w:ascii="Arial" w:hAnsi="Arial" w:cs="Arial"/>
          <w:i/>
          <w:sz w:val="20"/>
          <w:szCs w:val="20"/>
          <w:highlight w:val="lightGray"/>
        </w:rPr>
        <w:t>Revisionsstelle</w:t>
      </w:r>
      <w:r w:rsidR="00072BE1" w:rsidRPr="001469E9">
        <w:rPr>
          <w:rFonts w:ascii="Arial" w:hAnsi="Arial" w:cs="Arial"/>
          <w:i/>
          <w:sz w:val="20"/>
          <w:szCs w:val="20"/>
          <w:highlight w:val="lightGray"/>
        </w:rPr>
        <w:t xml:space="preserve"> </w:t>
      </w:r>
      <w:r w:rsidR="00D36D11" w:rsidRPr="001469E9">
        <w:rPr>
          <w:rFonts w:ascii="Arial" w:hAnsi="Arial" w:cs="Arial"/>
          <w:i/>
          <w:sz w:val="20"/>
          <w:szCs w:val="20"/>
          <w:highlight w:val="lightGray"/>
        </w:rPr>
        <w:t>keine Beanstandungen oder Empfehlungen zum Berichts- oder Vorjahr anzubringen bzw. angebrac</w:t>
      </w:r>
      <w:r w:rsidR="001469E9" w:rsidRPr="001469E9">
        <w:rPr>
          <w:rFonts w:ascii="Arial" w:hAnsi="Arial" w:cs="Arial"/>
          <w:i/>
          <w:sz w:val="20"/>
          <w:szCs w:val="20"/>
          <w:highlight w:val="lightGray"/>
        </w:rPr>
        <w:t>h</w:t>
      </w:r>
      <w:r w:rsidR="00D36D11" w:rsidRPr="001469E9">
        <w:rPr>
          <w:rFonts w:ascii="Arial" w:hAnsi="Arial" w:cs="Arial"/>
          <w:i/>
          <w:sz w:val="20"/>
          <w:szCs w:val="20"/>
          <w:highlight w:val="lightGray"/>
        </w:rPr>
        <w:t>t, so hält sie dies fest.</w:t>
      </w:r>
      <w:r w:rsidR="001469E9" w:rsidRPr="001469E9">
        <w:rPr>
          <w:rFonts w:ascii="Arial" w:hAnsi="Arial" w:cs="Arial"/>
          <w:i/>
          <w:sz w:val="20"/>
          <w:szCs w:val="20"/>
          <w:highlight w:val="lightGray"/>
        </w:rPr>
        <w:t xml:space="preserve"> Beanstandungen, die wiederholt auftreten, sind speziell zu kennzeichnen. Werden Beanstandungen oder Empfehlungen identifiziert, deren Bereinigung bereits erledigt ist, sind diese dennoch im Bericht aufzuführen. Dabei soll ersichtlich dargestellt werden, weshalb sich ein Handlungsbedarf erübrigt.</w:t>
      </w:r>
      <w:r w:rsidR="001469E9" w:rsidRPr="00CB3EE6">
        <w:rPr>
          <w:rFonts w:ascii="Arial" w:hAnsi="Arial" w:cs="Arial"/>
          <w:i/>
          <w:sz w:val="20"/>
          <w:szCs w:val="20"/>
          <w:highlight w:val="lightGray"/>
        </w:rPr>
        <w:t xml:space="preserve"> </w:t>
      </w:r>
    </w:p>
    <w:p w14:paraId="04369CAB" w14:textId="77777777" w:rsidR="00885CE4" w:rsidRPr="00CB3EE6" w:rsidRDefault="00885CE4" w:rsidP="004B7B6C">
      <w:pPr>
        <w:jc w:val="both"/>
        <w:rPr>
          <w:rFonts w:ascii="Arial" w:hAnsi="Arial" w:cs="Arial"/>
          <w:i/>
          <w:sz w:val="20"/>
          <w:szCs w:val="20"/>
          <w:highlight w:val="lightGray"/>
        </w:rPr>
      </w:pPr>
    </w:p>
    <w:p w14:paraId="3E24FB67" w14:textId="3CFA1770" w:rsidR="00A5682B" w:rsidRPr="00CB3EE6" w:rsidRDefault="00D36D11" w:rsidP="00CB3EE6">
      <w:pPr>
        <w:jc w:val="both"/>
        <w:rPr>
          <w:rFonts w:cs="Arial"/>
          <w:i/>
          <w:szCs w:val="20"/>
          <w:highlight w:val="lightGray"/>
        </w:rPr>
      </w:pPr>
      <w:r w:rsidRPr="00CB3EE6">
        <w:rPr>
          <w:rFonts w:ascii="Arial" w:hAnsi="Arial" w:cs="Arial"/>
          <w:i/>
          <w:sz w:val="20"/>
          <w:szCs w:val="20"/>
          <w:highlight w:val="lightGray"/>
        </w:rPr>
        <w:t>Die Beanstandungen und Empfehlungen sind</w:t>
      </w:r>
      <w:r w:rsidR="007E12DD" w:rsidRPr="00CB3EE6">
        <w:rPr>
          <w:rFonts w:ascii="Arial" w:hAnsi="Arial" w:cs="Arial"/>
          <w:i/>
          <w:sz w:val="20"/>
          <w:szCs w:val="20"/>
          <w:highlight w:val="lightGray"/>
        </w:rPr>
        <w:t xml:space="preserve"> gemäss der in der</w:t>
      </w:r>
      <w:r w:rsidR="004F737B" w:rsidRPr="00CB3EE6">
        <w:rPr>
          <w:rFonts w:ascii="Arial" w:hAnsi="Arial" w:cs="Arial"/>
          <w:i/>
          <w:sz w:val="20"/>
          <w:szCs w:val="20"/>
          <w:highlight w:val="lightGray"/>
        </w:rPr>
        <w:t xml:space="preserve"> Revisionsprüfungsrichtlinie festgelegten Klassifizierung </w:t>
      </w:r>
      <w:r w:rsidR="007E12DD" w:rsidRPr="00CB3EE6">
        <w:rPr>
          <w:rFonts w:ascii="Arial" w:hAnsi="Arial" w:cs="Arial"/>
          <w:i/>
          <w:sz w:val="20"/>
          <w:szCs w:val="20"/>
          <w:highlight w:val="lightGray"/>
        </w:rPr>
        <w:t>auszuweisen</w:t>
      </w:r>
      <w:r w:rsidR="004F737B" w:rsidRPr="00CB3EE6">
        <w:rPr>
          <w:rFonts w:ascii="Arial" w:hAnsi="Arial" w:cs="Arial"/>
          <w:i/>
          <w:sz w:val="20"/>
          <w:szCs w:val="20"/>
          <w:highlight w:val="lightGray"/>
        </w:rPr>
        <w:t xml:space="preserve">. </w:t>
      </w:r>
      <w:r w:rsidR="00E55E3C">
        <w:rPr>
          <w:rFonts w:ascii="Arial" w:hAnsi="Arial" w:cs="Arial"/>
          <w:i/>
          <w:sz w:val="20"/>
          <w:szCs w:val="20"/>
          <w:highlight w:val="lightGray"/>
        </w:rPr>
        <w:t xml:space="preserve">Zudem sind die Beanstandungen und Empfehlungen </w:t>
      </w:r>
      <w:r w:rsidR="004C2743">
        <w:rPr>
          <w:rFonts w:ascii="Arial" w:hAnsi="Arial" w:cs="Arial"/>
          <w:i/>
          <w:sz w:val="20"/>
          <w:szCs w:val="20"/>
          <w:highlight w:val="lightGray"/>
        </w:rPr>
        <w:t xml:space="preserve">so kenntlich zu machen, dass nachvollzogen werden kann, ob diese den Bewilligungsträger auf Einzelbasis (Bank, Wertpapierfirma oder das Unternehmen innerhalb einer Gruppe, das nach Art. 11 CRR bzw. Art. 3a Abs. 1a BankG zur Sicherstellung der Erfüllung der aufsichtsrechtlichen Anforderungen auf konsolidierter Basis verpflichtet ist) oder eine Gruppenentität betreffen. </w:t>
      </w:r>
    </w:p>
    <w:p w14:paraId="2BCD697F" w14:textId="77777777" w:rsidR="007E12DD" w:rsidRDefault="007E12DD" w:rsidP="00A5682B">
      <w:pPr>
        <w:pStyle w:val="Listenabsatz"/>
        <w:jc w:val="both"/>
      </w:pPr>
    </w:p>
    <w:p w14:paraId="02550721" w14:textId="77777777" w:rsidR="004A6299" w:rsidRPr="00A5682B" w:rsidRDefault="00A5682B" w:rsidP="006F7AB5">
      <w:pPr>
        <w:pStyle w:val="FINMAGliederungEbene2"/>
      </w:pPr>
      <w:bookmarkStart w:id="4" w:name="_Toc147849859"/>
      <w:r w:rsidRPr="00A5682B">
        <w:lastRenderedPageBreak/>
        <w:t>Beanstandungen</w:t>
      </w:r>
      <w:bookmarkEnd w:id="4"/>
    </w:p>
    <w:p w14:paraId="12FF363D" w14:textId="77777777" w:rsidR="00A5682B" w:rsidRDefault="00A5682B" w:rsidP="00624857">
      <w:pPr>
        <w:jc w:val="both"/>
        <w:rPr>
          <w:rFonts w:ascii="Arial" w:hAnsi="Arial" w:cs="Arial"/>
          <w:sz w:val="20"/>
          <w:szCs w:val="20"/>
        </w:rPr>
      </w:pPr>
    </w:p>
    <w:p w14:paraId="63D06CF2" w14:textId="77777777" w:rsidR="007E12DD" w:rsidRPr="00A5682B" w:rsidRDefault="00A5682B" w:rsidP="00624857">
      <w:pPr>
        <w:jc w:val="both"/>
        <w:rPr>
          <w:rFonts w:ascii="Arial" w:hAnsi="Arial" w:cs="Arial"/>
          <w:i/>
          <w:sz w:val="20"/>
          <w:szCs w:val="20"/>
        </w:rPr>
      </w:pPr>
      <w:r w:rsidRPr="00897AEF">
        <w:rPr>
          <w:rFonts w:ascii="Arial" w:hAnsi="Arial" w:cs="Arial"/>
          <w:i/>
          <w:sz w:val="20"/>
          <w:szCs w:val="20"/>
          <w:highlight w:val="yellow"/>
        </w:rPr>
        <w:t>Tabelle / Text</w:t>
      </w:r>
    </w:p>
    <w:p w14:paraId="4DF065E4" w14:textId="77777777" w:rsidR="00A5682B" w:rsidRDefault="00A5682B" w:rsidP="00A5682B">
      <w:pPr>
        <w:jc w:val="both"/>
      </w:pPr>
    </w:p>
    <w:p w14:paraId="1A81BDD6" w14:textId="77777777" w:rsidR="00A5682B" w:rsidRDefault="00A5682B" w:rsidP="006F7AB5">
      <w:pPr>
        <w:pStyle w:val="FINMAGliederungEbene2"/>
      </w:pPr>
      <w:bookmarkStart w:id="5" w:name="_Toc147849860"/>
      <w:r w:rsidRPr="00A5682B">
        <w:t>Empfehlungen</w:t>
      </w:r>
      <w:bookmarkEnd w:id="5"/>
      <w:r w:rsidRPr="00A5682B">
        <w:t xml:space="preserve"> </w:t>
      </w:r>
    </w:p>
    <w:p w14:paraId="7E5C84B1" w14:textId="77777777" w:rsidR="00A5682B" w:rsidRDefault="00A5682B" w:rsidP="00A5682B">
      <w:pPr>
        <w:jc w:val="both"/>
      </w:pPr>
    </w:p>
    <w:p w14:paraId="3E5B8538"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58128631" w14:textId="77777777" w:rsidR="00A5682B" w:rsidRDefault="00A5682B" w:rsidP="00A5682B">
      <w:pPr>
        <w:jc w:val="both"/>
      </w:pPr>
    </w:p>
    <w:p w14:paraId="59B2DF44" w14:textId="77777777" w:rsidR="00A5682B" w:rsidRDefault="00A5682B" w:rsidP="006F7AB5">
      <w:pPr>
        <w:pStyle w:val="FINMAGliederungEbene2"/>
      </w:pPr>
      <w:bookmarkStart w:id="6" w:name="_Toc147849861"/>
      <w:r w:rsidRPr="00A5682B">
        <w:t>Beanstandungen</w:t>
      </w:r>
      <w:r>
        <w:t xml:space="preserve"> des Vorjahres</w:t>
      </w:r>
      <w:bookmarkEnd w:id="6"/>
    </w:p>
    <w:p w14:paraId="3E2C08E6" w14:textId="77777777" w:rsidR="00A5682B" w:rsidRDefault="00A5682B" w:rsidP="00A5682B">
      <w:pPr>
        <w:jc w:val="both"/>
      </w:pPr>
    </w:p>
    <w:p w14:paraId="3A5E2730" w14:textId="77777777" w:rsidR="00A5682B" w:rsidRDefault="00A5682B" w:rsidP="00A5682B">
      <w:pPr>
        <w:jc w:val="both"/>
      </w:pPr>
      <w:r w:rsidRPr="00897AEF">
        <w:rPr>
          <w:rFonts w:ascii="Arial" w:hAnsi="Arial" w:cs="Arial"/>
          <w:i/>
          <w:sz w:val="20"/>
          <w:szCs w:val="20"/>
          <w:highlight w:val="yellow"/>
        </w:rPr>
        <w:t>Tabelle / Text</w:t>
      </w:r>
    </w:p>
    <w:p w14:paraId="491228CA" w14:textId="77777777" w:rsidR="00885CE4" w:rsidRPr="00A5682B" w:rsidRDefault="00885CE4" w:rsidP="00A5682B">
      <w:pPr>
        <w:jc w:val="both"/>
      </w:pPr>
    </w:p>
    <w:p w14:paraId="58B3AABE" w14:textId="77777777" w:rsidR="00A5682B" w:rsidRDefault="00A5682B" w:rsidP="006F7AB5">
      <w:pPr>
        <w:pStyle w:val="FINMAGliederungEbene2"/>
      </w:pPr>
      <w:bookmarkStart w:id="7" w:name="_Toc147849862"/>
      <w:r>
        <w:t>Empfehlungen des Vorjahres</w:t>
      </w:r>
      <w:bookmarkEnd w:id="7"/>
    </w:p>
    <w:p w14:paraId="7FAA214C" w14:textId="77777777" w:rsidR="00A5682B" w:rsidRDefault="00A5682B" w:rsidP="00A5682B">
      <w:pPr>
        <w:jc w:val="both"/>
      </w:pPr>
    </w:p>
    <w:p w14:paraId="3CCC5E7D" w14:textId="77777777" w:rsidR="00A5682B" w:rsidRPr="00A5682B" w:rsidRDefault="00A5682B" w:rsidP="00A5682B">
      <w:pPr>
        <w:jc w:val="both"/>
        <w:rPr>
          <w:rFonts w:ascii="Arial" w:hAnsi="Arial" w:cs="Arial"/>
          <w:i/>
          <w:sz w:val="20"/>
          <w:szCs w:val="20"/>
        </w:rPr>
      </w:pPr>
      <w:r w:rsidRPr="00897AEF">
        <w:rPr>
          <w:rFonts w:ascii="Arial" w:hAnsi="Arial" w:cs="Arial"/>
          <w:i/>
          <w:sz w:val="20"/>
          <w:szCs w:val="20"/>
          <w:highlight w:val="yellow"/>
        </w:rPr>
        <w:t>Tabelle / Text</w:t>
      </w:r>
    </w:p>
    <w:p w14:paraId="0751C13F" w14:textId="77777777" w:rsidR="00A5682B" w:rsidRDefault="00A5682B" w:rsidP="00A5682B">
      <w:pPr>
        <w:jc w:val="both"/>
      </w:pPr>
    </w:p>
    <w:p w14:paraId="666F4D93" w14:textId="77777777" w:rsidR="00885CE4" w:rsidRPr="00C44852" w:rsidRDefault="00A30784" w:rsidP="006F7AB5">
      <w:pPr>
        <w:pStyle w:val="FINMAGliederungEbene2"/>
      </w:pPr>
      <w:bookmarkStart w:id="8" w:name="_Toc147849863"/>
      <w:r w:rsidRPr="00C44852">
        <w:t xml:space="preserve">Bestätigung zu </w:t>
      </w:r>
      <w:r w:rsidR="00885CE4" w:rsidRPr="00C44852">
        <w:t>aufsicht</w:t>
      </w:r>
      <w:r w:rsidR="00907A61" w:rsidRPr="00CB3EE6">
        <w:t xml:space="preserve">srechtlichen </w:t>
      </w:r>
      <w:r w:rsidR="00885CE4" w:rsidRPr="00C44852">
        <w:t>Vorgaben der FMA</w:t>
      </w:r>
      <w:bookmarkEnd w:id="8"/>
    </w:p>
    <w:p w14:paraId="56FFE960" w14:textId="77777777" w:rsidR="00885CE4" w:rsidRPr="00C44852" w:rsidRDefault="00885CE4" w:rsidP="00CB3EE6">
      <w:pPr>
        <w:jc w:val="both"/>
      </w:pPr>
    </w:p>
    <w:p w14:paraId="32A8F413" w14:textId="5B26B97A" w:rsidR="00885CE4" w:rsidRPr="00CB3EE6" w:rsidRDefault="004B7B6C" w:rsidP="00CB3EE6">
      <w:pPr>
        <w:jc w:val="both"/>
        <w:rPr>
          <w:rFonts w:cs="Arial"/>
          <w:i/>
          <w:szCs w:val="20"/>
        </w:rPr>
      </w:pPr>
      <w:r w:rsidRPr="00CB3EE6">
        <w:rPr>
          <w:rFonts w:ascii="Arial" w:hAnsi="Arial" w:cs="Arial"/>
          <w:i/>
          <w:sz w:val="20"/>
          <w:szCs w:val="20"/>
          <w:highlight w:val="lightGray"/>
        </w:rPr>
        <w:t xml:space="preserve">Die Revisionsstelle </w:t>
      </w:r>
      <w:r w:rsidR="00633761" w:rsidRPr="00CB3EE6">
        <w:rPr>
          <w:rFonts w:ascii="Arial" w:hAnsi="Arial" w:cs="Arial"/>
          <w:i/>
          <w:sz w:val="20"/>
          <w:szCs w:val="20"/>
          <w:highlight w:val="lightGray"/>
        </w:rPr>
        <w:t>bestätigt</w:t>
      </w:r>
      <w:r w:rsidRPr="00CB3EE6">
        <w:rPr>
          <w:rFonts w:ascii="Arial" w:hAnsi="Arial" w:cs="Arial"/>
          <w:i/>
          <w:sz w:val="20"/>
          <w:szCs w:val="20"/>
          <w:highlight w:val="lightGray"/>
        </w:rPr>
        <w:t xml:space="preserve"> </w:t>
      </w:r>
      <w:r w:rsidR="00633761" w:rsidRPr="00CB3EE6">
        <w:rPr>
          <w:rFonts w:ascii="Arial" w:hAnsi="Arial" w:cs="Arial"/>
          <w:i/>
          <w:sz w:val="20"/>
          <w:szCs w:val="20"/>
          <w:highlight w:val="lightGray"/>
        </w:rPr>
        <w:t xml:space="preserve">an dieser Stelle </w:t>
      </w:r>
      <w:r w:rsidRPr="00CB3EE6">
        <w:rPr>
          <w:rFonts w:ascii="Arial" w:hAnsi="Arial" w:cs="Arial"/>
          <w:i/>
          <w:sz w:val="20"/>
          <w:szCs w:val="20"/>
          <w:highlight w:val="lightGray"/>
        </w:rPr>
        <w:t xml:space="preserve">die Einhaltung der im Berichtszeitraum </w:t>
      </w:r>
      <w:r w:rsidR="00167878" w:rsidRPr="00CB3EE6">
        <w:rPr>
          <w:rFonts w:ascii="Arial" w:hAnsi="Arial" w:cs="Arial"/>
          <w:i/>
          <w:sz w:val="20"/>
          <w:szCs w:val="20"/>
          <w:highlight w:val="lightGray"/>
        </w:rPr>
        <w:t>anwendbaren</w:t>
      </w:r>
      <w:r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aufsichtlichen Verwaltungsakte </w:t>
      </w:r>
      <w:r w:rsidR="00A4767C" w:rsidRPr="00CB3EE6">
        <w:rPr>
          <w:rFonts w:ascii="Arial" w:hAnsi="Arial" w:cs="Arial"/>
          <w:i/>
          <w:sz w:val="20"/>
          <w:szCs w:val="20"/>
          <w:highlight w:val="lightGray"/>
        </w:rPr>
        <w:t>der FMA</w:t>
      </w:r>
      <w:r w:rsidRPr="00C44852">
        <w:rPr>
          <w:rFonts w:ascii="Arial" w:hAnsi="Arial" w:cs="Arial"/>
          <w:i/>
          <w:sz w:val="20"/>
          <w:szCs w:val="20"/>
          <w:highlight w:val="lightGray"/>
        </w:rPr>
        <w:t>,</w:t>
      </w:r>
      <w:r w:rsidRPr="00CB3EE6">
        <w:rPr>
          <w:rFonts w:ascii="Arial" w:hAnsi="Arial" w:cs="Arial"/>
          <w:i/>
          <w:sz w:val="20"/>
          <w:szCs w:val="20"/>
          <w:highlight w:val="lightGray"/>
        </w:rPr>
        <w:t xml:space="preserve"> </w:t>
      </w:r>
      <w:r w:rsidR="0030307F" w:rsidRPr="00CB3EE6">
        <w:rPr>
          <w:rFonts w:ascii="Arial" w:hAnsi="Arial" w:cs="Arial"/>
          <w:i/>
          <w:sz w:val="20"/>
          <w:szCs w:val="20"/>
          <w:highlight w:val="lightGray"/>
        </w:rPr>
        <w:t>die</w:t>
      </w:r>
      <w:r w:rsidRPr="00C44852">
        <w:rPr>
          <w:rFonts w:ascii="Arial" w:hAnsi="Arial" w:cs="Arial"/>
          <w:i/>
          <w:sz w:val="20"/>
          <w:szCs w:val="20"/>
          <w:highlight w:val="lightGray"/>
        </w:rPr>
        <w:t xml:space="preserve"> explizit </w:t>
      </w:r>
      <w:r w:rsidR="00A4767C" w:rsidRPr="00CB3EE6">
        <w:rPr>
          <w:rFonts w:ascii="Arial" w:hAnsi="Arial" w:cs="Arial"/>
          <w:i/>
          <w:sz w:val="20"/>
          <w:szCs w:val="20"/>
          <w:highlight w:val="lightGray"/>
        </w:rPr>
        <w:t xml:space="preserve">und individuell für die zu </w:t>
      </w:r>
      <w:r w:rsidRPr="00C44852">
        <w:rPr>
          <w:rFonts w:ascii="Arial" w:hAnsi="Arial" w:cs="Arial"/>
          <w:i/>
          <w:sz w:val="20"/>
          <w:szCs w:val="20"/>
          <w:highlight w:val="lightGray"/>
        </w:rPr>
        <w:t>prüfende Bank</w:t>
      </w:r>
      <w:r w:rsidR="00F83287">
        <w:rPr>
          <w:rFonts w:ascii="Arial" w:hAnsi="Arial" w:cs="Arial"/>
          <w:i/>
          <w:sz w:val="20"/>
          <w:szCs w:val="20"/>
          <w:highlight w:val="lightGray"/>
        </w:rPr>
        <w:t>, Wertpapierfirma</w:t>
      </w:r>
      <w:r w:rsidR="004C2743">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377A0B">
        <w:rPr>
          <w:rFonts w:ascii="Arial" w:hAnsi="Arial" w:cs="Arial"/>
          <w:i/>
          <w:sz w:val="20"/>
          <w:szCs w:val="20"/>
          <w:highlight w:val="lightGray"/>
        </w:rPr>
        <w:t>bzw. Gruppe</w:t>
      </w:r>
      <w:r w:rsidRPr="00C44852">
        <w:rPr>
          <w:rFonts w:ascii="Arial" w:hAnsi="Arial" w:cs="Arial"/>
          <w:i/>
          <w:sz w:val="20"/>
          <w:szCs w:val="20"/>
          <w:highlight w:val="lightGray"/>
        </w:rPr>
        <w:t xml:space="preserve"> </w:t>
      </w:r>
      <w:r w:rsidR="00A4767C" w:rsidRPr="00CB3EE6">
        <w:rPr>
          <w:rFonts w:ascii="Arial" w:hAnsi="Arial" w:cs="Arial"/>
          <w:i/>
          <w:sz w:val="20"/>
          <w:szCs w:val="20"/>
          <w:highlight w:val="lightGray"/>
        </w:rPr>
        <w:t>gelten</w:t>
      </w:r>
      <w:r w:rsidRPr="00C44852">
        <w:rPr>
          <w:rFonts w:ascii="Arial" w:hAnsi="Arial" w:cs="Arial"/>
          <w:i/>
          <w:sz w:val="20"/>
          <w:szCs w:val="20"/>
          <w:highlight w:val="lightGray"/>
        </w:rPr>
        <w:t>.</w:t>
      </w:r>
      <w:r w:rsidR="0030307F" w:rsidRPr="00CB3EE6">
        <w:rPr>
          <w:rFonts w:ascii="Arial" w:hAnsi="Arial" w:cs="Arial"/>
          <w:i/>
          <w:sz w:val="20"/>
          <w:szCs w:val="20"/>
          <w:highlight w:val="lightGray"/>
        </w:rPr>
        <w:t xml:space="preserve"> </w:t>
      </w:r>
      <w:r w:rsidR="00167878" w:rsidRPr="00CB3EE6">
        <w:rPr>
          <w:rFonts w:ascii="Arial" w:hAnsi="Arial" w:cs="Arial"/>
          <w:i/>
          <w:sz w:val="20"/>
          <w:szCs w:val="20"/>
          <w:highlight w:val="lightGray"/>
        </w:rPr>
        <w:t xml:space="preserve">Zu berücksichtigen </w:t>
      </w:r>
      <w:r w:rsidR="0030307F" w:rsidRPr="00CB3EE6">
        <w:rPr>
          <w:rFonts w:ascii="Arial" w:hAnsi="Arial" w:cs="Arial"/>
          <w:i/>
          <w:sz w:val="20"/>
          <w:szCs w:val="20"/>
          <w:highlight w:val="lightGray"/>
        </w:rPr>
        <w:t xml:space="preserve">sind </w:t>
      </w:r>
      <w:r w:rsidR="00167878" w:rsidRPr="00CB3EE6">
        <w:rPr>
          <w:rFonts w:ascii="Arial" w:hAnsi="Arial" w:cs="Arial"/>
          <w:i/>
          <w:sz w:val="20"/>
          <w:szCs w:val="20"/>
          <w:highlight w:val="lightGray"/>
        </w:rPr>
        <w:t xml:space="preserve">gegebenenfalls </w:t>
      </w:r>
      <w:r w:rsidR="0030307F" w:rsidRPr="00CB3EE6">
        <w:rPr>
          <w:rFonts w:ascii="Arial" w:hAnsi="Arial" w:cs="Arial"/>
          <w:i/>
          <w:sz w:val="20"/>
          <w:szCs w:val="20"/>
          <w:highlight w:val="lightGray"/>
        </w:rPr>
        <w:t>auch nicht-normative Akte (z</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B</w:t>
      </w:r>
      <w:r w:rsidR="007758D5" w:rsidRPr="00CB3EE6">
        <w:rPr>
          <w:rFonts w:ascii="Arial" w:hAnsi="Arial" w:cs="Arial"/>
          <w:i/>
          <w:sz w:val="20"/>
          <w:szCs w:val="20"/>
          <w:highlight w:val="lightGray"/>
        </w:rPr>
        <w:t>.</w:t>
      </w:r>
      <w:r w:rsidR="0030307F" w:rsidRPr="00CB3EE6">
        <w:rPr>
          <w:rFonts w:ascii="Arial" w:hAnsi="Arial" w:cs="Arial"/>
          <w:i/>
          <w:sz w:val="20"/>
          <w:szCs w:val="20"/>
          <w:highlight w:val="lightGray"/>
        </w:rPr>
        <w:t xml:space="preserve"> Empfehlungen), sofern diese die gegenständlichen </w:t>
      </w:r>
      <w:r w:rsidR="00167878" w:rsidRPr="00CB3EE6">
        <w:rPr>
          <w:rFonts w:ascii="Arial" w:hAnsi="Arial" w:cs="Arial"/>
          <w:i/>
          <w:sz w:val="20"/>
          <w:szCs w:val="20"/>
          <w:highlight w:val="lightGray"/>
        </w:rPr>
        <w:t>aufsichtlichen Verwaltungsakte</w:t>
      </w:r>
      <w:r w:rsidR="0030307F" w:rsidRPr="00CB3EE6">
        <w:rPr>
          <w:rFonts w:ascii="Arial" w:hAnsi="Arial" w:cs="Arial"/>
          <w:i/>
          <w:sz w:val="20"/>
          <w:szCs w:val="20"/>
          <w:highlight w:val="lightGray"/>
        </w:rPr>
        <w:t xml:space="preserve"> definieren oder näher umschreiben.</w:t>
      </w:r>
    </w:p>
    <w:p w14:paraId="16A83B78" w14:textId="77777777" w:rsidR="004B7B6C" w:rsidRDefault="004B7B6C" w:rsidP="00CB3EE6">
      <w:pPr>
        <w:jc w:val="both"/>
      </w:pPr>
    </w:p>
    <w:p w14:paraId="4EFE37C5" w14:textId="77777777" w:rsidR="00004C8E" w:rsidRDefault="00004C8E" w:rsidP="006F7AB5">
      <w:pPr>
        <w:pStyle w:val="FINMAGliederungEbene2"/>
      </w:pPr>
      <w:bookmarkStart w:id="9" w:name="_Toc147849864"/>
      <w:r>
        <w:t xml:space="preserve">Wesentliche Feststellungen </w:t>
      </w:r>
      <w:r w:rsidR="00892678">
        <w:t>der</w:t>
      </w:r>
      <w:r>
        <w:t xml:space="preserve"> Interne Revision</w:t>
      </w:r>
      <w:bookmarkEnd w:id="9"/>
    </w:p>
    <w:p w14:paraId="09AE5DDB" w14:textId="77777777" w:rsidR="00004C8E" w:rsidRDefault="00004C8E" w:rsidP="00CB3EE6">
      <w:pPr>
        <w:pStyle w:val="Listenabsatz"/>
        <w:ind w:left="0"/>
        <w:jc w:val="both"/>
        <w:rPr>
          <w:rFonts w:cs="Arial"/>
          <w:i/>
          <w:szCs w:val="20"/>
          <w:highlight w:val="lightGray"/>
        </w:rPr>
      </w:pPr>
    </w:p>
    <w:p w14:paraId="01535382" w14:textId="003DF4D0" w:rsidR="00004C8E" w:rsidRPr="00004C8E" w:rsidRDefault="00004C8E" w:rsidP="00CB3EE6">
      <w:pPr>
        <w:pStyle w:val="Listenabsatz"/>
        <w:ind w:left="0"/>
        <w:jc w:val="both"/>
        <w:rPr>
          <w:rFonts w:cs="Arial"/>
          <w:i/>
          <w:szCs w:val="20"/>
          <w:highlight w:val="lightGray"/>
        </w:rPr>
      </w:pPr>
      <w:r w:rsidRPr="00004C8E">
        <w:rPr>
          <w:rFonts w:cs="Arial"/>
          <w:i/>
          <w:szCs w:val="20"/>
          <w:highlight w:val="lightGray"/>
        </w:rPr>
        <w:t>Die Revisionsstelle beschreibt an dieser Stelle allfällige wesentliche Feststellungen</w:t>
      </w:r>
      <w:r w:rsidR="00776C82">
        <w:rPr>
          <w:rFonts w:cs="Arial"/>
          <w:i/>
          <w:szCs w:val="20"/>
          <w:highlight w:val="lightGray"/>
        </w:rPr>
        <w:t xml:space="preserve"> (v.a. Feststellungen mit hoher Gewichtung)</w:t>
      </w:r>
      <w:r w:rsidR="00776C82" w:rsidRPr="00004C8E">
        <w:rPr>
          <w:rFonts w:cs="Arial"/>
          <w:i/>
          <w:szCs w:val="20"/>
          <w:highlight w:val="lightGray"/>
        </w:rPr>
        <w:t>,</w:t>
      </w:r>
      <w:r w:rsidR="00776C82">
        <w:rPr>
          <w:rFonts w:cs="Arial"/>
          <w:i/>
          <w:szCs w:val="20"/>
          <w:highlight w:val="lightGray"/>
        </w:rPr>
        <w:t xml:space="preserve"> </w:t>
      </w:r>
      <w:r w:rsidRPr="00004C8E">
        <w:rPr>
          <w:rFonts w:cs="Arial"/>
          <w:i/>
          <w:szCs w:val="20"/>
          <w:highlight w:val="lightGray"/>
        </w:rPr>
        <w:t xml:space="preserve">durch </w:t>
      </w:r>
      <w:r>
        <w:rPr>
          <w:rFonts w:cs="Arial"/>
          <w:i/>
          <w:szCs w:val="20"/>
          <w:highlight w:val="lightGray"/>
        </w:rPr>
        <w:t xml:space="preserve">die </w:t>
      </w:r>
      <w:r w:rsidR="0005430B">
        <w:rPr>
          <w:rFonts w:cs="Arial"/>
          <w:i/>
          <w:szCs w:val="20"/>
          <w:highlight w:val="lightGray"/>
        </w:rPr>
        <w:t>I</w:t>
      </w:r>
      <w:r>
        <w:rPr>
          <w:rFonts w:cs="Arial"/>
          <w:i/>
          <w:szCs w:val="20"/>
          <w:highlight w:val="lightGray"/>
        </w:rPr>
        <w:t>nterne Revision</w:t>
      </w:r>
      <w:r w:rsidR="00365BF1">
        <w:rPr>
          <w:rFonts w:cs="Arial"/>
          <w:i/>
          <w:szCs w:val="20"/>
          <w:highlight w:val="lightGray"/>
        </w:rPr>
        <w:t xml:space="preserve"> (Gruppeninnenrevision)</w:t>
      </w:r>
      <w:r>
        <w:rPr>
          <w:rFonts w:cs="Arial"/>
          <w:i/>
          <w:szCs w:val="20"/>
          <w:highlight w:val="lightGray"/>
        </w:rPr>
        <w:t>.</w:t>
      </w:r>
      <w:r w:rsidRPr="00004C8E">
        <w:rPr>
          <w:rFonts w:cs="Arial"/>
          <w:i/>
          <w:szCs w:val="20"/>
          <w:highlight w:val="lightGray"/>
        </w:rPr>
        <w:t xml:space="preserve"> Die Revisionsstelle hat die Feststellungen</w:t>
      </w:r>
      <w:r w:rsidR="00CD5C34">
        <w:rPr>
          <w:rFonts w:cs="Arial"/>
          <w:i/>
          <w:szCs w:val="20"/>
          <w:highlight w:val="lightGray"/>
        </w:rPr>
        <w:t xml:space="preserve"> </w:t>
      </w:r>
      <w:r w:rsidRPr="00004C8E">
        <w:rPr>
          <w:rFonts w:cs="Arial"/>
          <w:i/>
          <w:szCs w:val="20"/>
          <w:highlight w:val="lightGray"/>
        </w:rPr>
        <w:t xml:space="preserve">sowie deren Auswirkungen auf das Risikoprofil der </w:t>
      </w:r>
      <w:r w:rsidR="00F83287">
        <w:rPr>
          <w:rFonts w:cs="Arial"/>
          <w:i/>
          <w:szCs w:val="20"/>
          <w:highlight w:val="lightGray"/>
        </w:rPr>
        <w:t xml:space="preserve">Bank, Wertpapierfirma oder </w:t>
      </w:r>
      <w:r w:rsidR="00377A0B">
        <w:rPr>
          <w:rFonts w:cs="Arial"/>
          <w:i/>
          <w:szCs w:val="20"/>
          <w:highlight w:val="lightGray"/>
        </w:rPr>
        <w:t xml:space="preserve">bzw. Gruppe </w:t>
      </w:r>
      <w:r w:rsidRPr="00004C8E">
        <w:rPr>
          <w:rFonts w:cs="Arial"/>
          <w:i/>
          <w:szCs w:val="20"/>
          <w:highlight w:val="lightGray"/>
        </w:rPr>
        <w:t xml:space="preserve">angemessen zu würdigen. </w:t>
      </w:r>
      <w:r w:rsidR="00916455" w:rsidRPr="00004C8E">
        <w:rPr>
          <w:rFonts w:cs="Arial"/>
          <w:i/>
          <w:szCs w:val="20"/>
          <w:highlight w:val="lightGray"/>
        </w:rPr>
        <w:t>Die Revisionsstelle</w:t>
      </w:r>
      <w:r w:rsidR="00916455">
        <w:rPr>
          <w:rFonts w:cs="Arial"/>
          <w:i/>
          <w:szCs w:val="20"/>
          <w:highlight w:val="lightGray"/>
        </w:rPr>
        <w:t xml:space="preserve"> hat an dieser Stelle auch eine Auflistung sämtlicher Prüfthemen der Internen Revision im Berichtszeitraum darzustellen. </w:t>
      </w:r>
      <w:r w:rsidRPr="00004C8E">
        <w:rPr>
          <w:rFonts w:cs="Arial"/>
          <w:i/>
          <w:szCs w:val="20"/>
          <w:highlight w:val="lightGray"/>
        </w:rPr>
        <w:t>Sofern die Feststellungen an anderer Stelle im Bericht dargestellt werden, ist eine entsprechende Referenz ausreichend.</w:t>
      </w:r>
    </w:p>
    <w:p w14:paraId="74B7577F" w14:textId="77777777" w:rsidR="00004C8E" w:rsidRDefault="00004C8E" w:rsidP="00CB3EE6">
      <w:pPr>
        <w:pStyle w:val="Listenabsatz"/>
        <w:ind w:left="0"/>
        <w:jc w:val="both"/>
      </w:pPr>
    </w:p>
    <w:p w14:paraId="38A4A8F6" w14:textId="77777777" w:rsidR="004B7B6C" w:rsidRPr="00CB3EE6" w:rsidRDefault="00AB7758" w:rsidP="006F7AB5">
      <w:pPr>
        <w:pStyle w:val="FINMAGliederungEbene2"/>
      </w:pPr>
      <w:bookmarkStart w:id="10" w:name="_Toc147849865"/>
      <w:r>
        <w:t xml:space="preserve">Wesentliche </w:t>
      </w:r>
      <w:r w:rsidR="00F1444D" w:rsidRPr="00F1444D">
        <w:t xml:space="preserve">Feststellungen </w:t>
      </w:r>
      <w:r w:rsidR="00F1444D">
        <w:t xml:space="preserve">durch </w:t>
      </w:r>
      <w:r w:rsidR="00F1444D" w:rsidRPr="00F1444D">
        <w:t>Dritte</w:t>
      </w:r>
      <w:bookmarkEnd w:id="10"/>
    </w:p>
    <w:p w14:paraId="1FF2B41E" w14:textId="77777777" w:rsidR="004B7B6C" w:rsidRDefault="004B7B6C" w:rsidP="00CB3EE6">
      <w:pPr>
        <w:jc w:val="both"/>
      </w:pPr>
    </w:p>
    <w:p w14:paraId="3CF4B911" w14:textId="54EB4E76" w:rsidR="0026683E" w:rsidRDefault="00EA0D88" w:rsidP="00EA0D88">
      <w:pPr>
        <w:jc w:val="both"/>
        <w:rPr>
          <w:rFonts w:ascii="Arial" w:hAnsi="Arial" w:cs="Arial"/>
          <w:i/>
          <w:sz w:val="20"/>
          <w:szCs w:val="20"/>
          <w:highlight w:val="lightGray"/>
        </w:rPr>
      </w:pPr>
      <w:r w:rsidRPr="00897AEF">
        <w:rPr>
          <w:rFonts w:ascii="Arial" w:hAnsi="Arial" w:cs="Arial"/>
          <w:i/>
          <w:sz w:val="20"/>
          <w:szCs w:val="20"/>
          <w:highlight w:val="lightGray"/>
        </w:rPr>
        <w:t xml:space="preserve">Die Revisionsstelle </w:t>
      </w:r>
      <w:r w:rsidR="00633761">
        <w:rPr>
          <w:rFonts w:ascii="Arial" w:hAnsi="Arial" w:cs="Arial"/>
          <w:i/>
          <w:sz w:val="20"/>
          <w:szCs w:val="20"/>
          <w:highlight w:val="lightGray"/>
        </w:rPr>
        <w:t xml:space="preserve">beschreibt an dieser Stelle allfällige </w:t>
      </w:r>
      <w:r w:rsidR="00AB7758">
        <w:rPr>
          <w:rFonts w:ascii="Arial" w:hAnsi="Arial" w:cs="Arial"/>
          <w:i/>
          <w:sz w:val="20"/>
          <w:szCs w:val="20"/>
          <w:highlight w:val="lightGray"/>
        </w:rPr>
        <w:t>wesentliche</w:t>
      </w:r>
      <w:r w:rsidR="00912129">
        <w:rPr>
          <w:rFonts w:ascii="Arial" w:hAnsi="Arial" w:cs="Arial"/>
          <w:i/>
          <w:sz w:val="20"/>
          <w:szCs w:val="20"/>
          <w:highlight w:val="lightGray"/>
        </w:rPr>
        <w:t>, aufsichtsrechtlich relevante</w:t>
      </w:r>
      <w:r w:rsidR="00AB7758">
        <w:rPr>
          <w:rFonts w:ascii="Arial" w:hAnsi="Arial" w:cs="Arial"/>
          <w:i/>
          <w:sz w:val="20"/>
          <w:szCs w:val="20"/>
          <w:highlight w:val="lightGray"/>
        </w:rPr>
        <w:t xml:space="preserve"> </w:t>
      </w:r>
      <w:r w:rsidR="00633761">
        <w:rPr>
          <w:rFonts w:ascii="Arial" w:hAnsi="Arial" w:cs="Arial"/>
          <w:i/>
          <w:sz w:val="20"/>
          <w:szCs w:val="20"/>
          <w:highlight w:val="lightGray"/>
        </w:rPr>
        <w:t xml:space="preserve">Feststellungen </w:t>
      </w:r>
      <w:r w:rsidR="00F1444D">
        <w:rPr>
          <w:rFonts w:ascii="Arial" w:hAnsi="Arial" w:cs="Arial"/>
          <w:i/>
          <w:sz w:val="20"/>
          <w:szCs w:val="20"/>
          <w:highlight w:val="lightGray"/>
        </w:rPr>
        <w:t>durch</w:t>
      </w:r>
      <w:r w:rsidR="00633761">
        <w:rPr>
          <w:rFonts w:ascii="Arial" w:hAnsi="Arial" w:cs="Arial"/>
          <w:i/>
          <w:sz w:val="20"/>
          <w:szCs w:val="20"/>
          <w:highlight w:val="lightGray"/>
        </w:rPr>
        <w:t xml:space="preserve"> Dritte (</w:t>
      </w:r>
      <w:r>
        <w:rPr>
          <w:rFonts w:ascii="Arial" w:hAnsi="Arial" w:cs="Arial"/>
          <w:i/>
          <w:sz w:val="20"/>
          <w:szCs w:val="20"/>
          <w:highlight w:val="lightGray"/>
        </w:rPr>
        <w:t>z</w:t>
      </w:r>
      <w:r w:rsidR="00776C82">
        <w:rPr>
          <w:rFonts w:ascii="Arial" w:hAnsi="Arial" w:cs="Arial"/>
          <w:i/>
          <w:sz w:val="20"/>
          <w:szCs w:val="20"/>
          <w:highlight w:val="lightGray"/>
        </w:rPr>
        <w:t>.</w:t>
      </w:r>
      <w:r>
        <w:rPr>
          <w:rFonts w:ascii="Arial" w:hAnsi="Arial" w:cs="Arial"/>
          <w:i/>
          <w:sz w:val="20"/>
          <w:szCs w:val="20"/>
          <w:highlight w:val="lightGray"/>
        </w:rPr>
        <w:t>B</w:t>
      </w:r>
      <w:r w:rsidR="00776C82">
        <w:rPr>
          <w:rFonts w:ascii="Arial" w:hAnsi="Arial" w:cs="Arial"/>
          <w:i/>
          <w:sz w:val="20"/>
          <w:szCs w:val="20"/>
          <w:highlight w:val="lightGray"/>
        </w:rPr>
        <w:t>.</w:t>
      </w:r>
      <w:r>
        <w:rPr>
          <w:rFonts w:ascii="Arial" w:hAnsi="Arial" w:cs="Arial"/>
          <w:i/>
          <w:sz w:val="20"/>
          <w:szCs w:val="20"/>
          <w:highlight w:val="lightGray"/>
        </w:rPr>
        <w:t xml:space="preserve"> </w:t>
      </w:r>
      <w:r w:rsidR="004D604F">
        <w:rPr>
          <w:rFonts w:ascii="Arial" w:hAnsi="Arial" w:cs="Arial"/>
          <w:i/>
          <w:sz w:val="20"/>
          <w:szCs w:val="20"/>
          <w:highlight w:val="lightGray"/>
        </w:rPr>
        <w:t xml:space="preserve">die für die konsolidierte Aufsicht zuständige ausländische </w:t>
      </w:r>
      <w:r w:rsidR="00633761">
        <w:rPr>
          <w:rFonts w:ascii="Arial" w:hAnsi="Arial" w:cs="Arial"/>
          <w:i/>
          <w:sz w:val="20"/>
          <w:szCs w:val="20"/>
          <w:highlight w:val="lightGray"/>
        </w:rPr>
        <w:t>B</w:t>
      </w:r>
      <w:r>
        <w:rPr>
          <w:rFonts w:ascii="Arial" w:hAnsi="Arial" w:cs="Arial"/>
          <w:i/>
          <w:sz w:val="20"/>
          <w:szCs w:val="20"/>
          <w:highlight w:val="lightGray"/>
        </w:rPr>
        <w:t xml:space="preserve">ehörde; Ratingagenturen; </w:t>
      </w:r>
      <w:r w:rsidR="00633761">
        <w:rPr>
          <w:rFonts w:ascii="Arial" w:hAnsi="Arial" w:cs="Arial"/>
          <w:i/>
          <w:sz w:val="20"/>
          <w:szCs w:val="20"/>
          <w:highlight w:val="lightGray"/>
        </w:rPr>
        <w:t>a</w:t>
      </w:r>
      <w:r>
        <w:rPr>
          <w:rFonts w:ascii="Arial" w:hAnsi="Arial" w:cs="Arial"/>
          <w:i/>
          <w:sz w:val="20"/>
          <w:szCs w:val="20"/>
          <w:highlight w:val="lightGray"/>
        </w:rPr>
        <w:t>ndere Revisionsstellen)</w:t>
      </w:r>
      <w:r w:rsidR="00AB7758">
        <w:rPr>
          <w:rFonts w:ascii="Arial" w:hAnsi="Arial" w:cs="Arial"/>
          <w:i/>
          <w:sz w:val="20"/>
          <w:szCs w:val="20"/>
          <w:highlight w:val="lightGray"/>
        </w:rPr>
        <w:t>,</w:t>
      </w:r>
      <w:r w:rsidR="001A1A8F">
        <w:rPr>
          <w:rFonts w:ascii="Arial" w:hAnsi="Arial" w:cs="Arial"/>
          <w:i/>
          <w:sz w:val="20"/>
          <w:szCs w:val="20"/>
          <w:highlight w:val="lightGray"/>
        </w:rPr>
        <w:t xml:space="preserve"> zu denen sie innerhalb oder ausserhalb der Prüfungstätigkeit Kenntnis erlangt hat. Die Revisionsstelle hat die Feststellungen, sowie deren Auswirkungen auf das Risikoprofil </w:t>
      </w:r>
      <w:r w:rsidR="00377A0B">
        <w:rPr>
          <w:rFonts w:ascii="Arial" w:hAnsi="Arial" w:cs="Arial"/>
          <w:i/>
          <w:sz w:val="20"/>
          <w:szCs w:val="20"/>
          <w:highlight w:val="lightGray"/>
        </w:rPr>
        <w:t xml:space="preserve">der </w:t>
      </w:r>
      <w:r w:rsidR="00377A0B" w:rsidRPr="00C44852">
        <w:rPr>
          <w:rFonts w:ascii="Arial" w:hAnsi="Arial" w:cs="Arial"/>
          <w:i/>
          <w:sz w:val="20"/>
          <w:szCs w:val="20"/>
          <w:highlight w:val="lightGray"/>
        </w:rPr>
        <w:t>prüfenden Bank</w:t>
      </w:r>
      <w:r w:rsidR="00F83287">
        <w:rPr>
          <w:rFonts w:ascii="Arial" w:hAnsi="Arial" w:cs="Arial"/>
          <w:i/>
          <w:sz w:val="20"/>
          <w:szCs w:val="20"/>
          <w:highlight w:val="lightGray"/>
        </w:rPr>
        <w:t xml:space="preserve">, Wertpapierfirma </w:t>
      </w:r>
      <w:r w:rsidR="00377A0B">
        <w:rPr>
          <w:rFonts w:ascii="Arial" w:hAnsi="Arial" w:cs="Arial"/>
          <w:i/>
          <w:sz w:val="20"/>
          <w:szCs w:val="20"/>
          <w:highlight w:val="lightGray"/>
        </w:rPr>
        <w:t>bzw. Gruppe</w:t>
      </w:r>
      <w:r w:rsidR="00F83287" w:rsidDel="00F83287">
        <w:rPr>
          <w:rFonts w:ascii="Arial" w:hAnsi="Arial" w:cs="Arial"/>
          <w:i/>
          <w:sz w:val="20"/>
          <w:szCs w:val="20"/>
          <w:highlight w:val="lightGray"/>
        </w:rPr>
        <w:t xml:space="preserve"> </w:t>
      </w:r>
      <w:r w:rsidR="001A1A8F">
        <w:rPr>
          <w:rFonts w:ascii="Arial" w:hAnsi="Arial" w:cs="Arial"/>
          <w:i/>
          <w:sz w:val="20"/>
          <w:szCs w:val="20"/>
          <w:highlight w:val="lightGray"/>
        </w:rPr>
        <w:t xml:space="preserve">angemessen zu würdigen. </w:t>
      </w:r>
      <w:r w:rsidR="00AB7758">
        <w:rPr>
          <w:rFonts w:ascii="Arial" w:hAnsi="Arial" w:cs="Arial"/>
          <w:i/>
          <w:sz w:val="20"/>
          <w:szCs w:val="20"/>
          <w:highlight w:val="lightGray"/>
        </w:rPr>
        <w:t>Sofern die Feststellungen an anderer Stelle im Bericht dargestellt w</w:t>
      </w:r>
      <w:r w:rsidR="00721507">
        <w:rPr>
          <w:rFonts w:ascii="Arial" w:hAnsi="Arial" w:cs="Arial"/>
          <w:i/>
          <w:sz w:val="20"/>
          <w:szCs w:val="20"/>
          <w:highlight w:val="lightGray"/>
        </w:rPr>
        <w:t>erden,</w:t>
      </w:r>
      <w:r w:rsidR="00AB7758">
        <w:rPr>
          <w:rFonts w:ascii="Arial" w:hAnsi="Arial" w:cs="Arial"/>
          <w:i/>
          <w:sz w:val="20"/>
          <w:szCs w:val="20"/>
          <w:highlight w:val="lightGray"/>
        </w:rPr>
        <w:t xml:space="preserve"> ist eine entsprechende Referenz ausreichend</w:t>
      </w:r>
      <w:r w:rsidR="00232727">
        <w:rPr>
          <w:rFonts w:ascii="Arial" w:hAnsi="Arial" w:cs="Arial"/>
          <w:i/>
          <w:sz w:val="20"/>
          <w:szCs w:val="20"/>
          <w:highlight w:val="lightGray"/>
        </w:rPr>
        <w:t>.</w:t>
      </w:r>
      <w:r w:rsidR="00494350">
        <w:rPr>
          <w:rFonts w:ascii="Arial" w:hAnsi="Arial" w:cs="Arial"/>
          <w:i/>
          <w:sz w:val="20"/>
          <w:szCs w:val="20"/>
          <w:highlight w:val="lightGray"/>
        </w:rPr>
        <w:t xml:space="preserve"> </w:t>
      </w:r>
    </w:p>
    <w:p w14:paraId="136C96AC" w14:textId="77777777" w:rsidR="004B7B6C" w:rsidRDefault="004B7B6C" w:rsidP="00CB3EE6">
      <w:pPr>
        <w:jc w:val="both"/>
      </w:pPr>
    </w:p>
    <w:p w14:paraId="47DD01A0" w14:textId="77777777" w:rsidR="0041731C" w:rsidRDefault="002E3094" w:rsidP="006F7AB5">
      <w:pPr>
        <w:pStyle w:val="FINMAGliederungEbene2"/>
      </w:pPr>
      <w:bookmarkStart w:id="11" w:name="_Toc147849866"/>
      <w:r>
        <w:t>Zusammenfassung zu weiteren Prüferkenntnissen sowie Gesamteinschätzung</w:t>
      </w:r>
      <w:bookmarkEnd w:id="11"/>
    </w:p>
    <w:p w14:paraId="0494395C" w14:textId="77777777" w:rsidR="002E3094" w:rsidRDefault="002E3094" w:rsidP="00CB3EE6">
      <w:pPr>
        <w:jc w:val="both"/>
      </w:pPr>
    </w:p>
    <w:p w14:paraId="456936EB" w14:textId="50774665" w:rsidR="002E3094" w:rsidRPr="00515AB5"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t>Die Revisionsstelle nimmt basierend auf den Erkenntnissen aus ihren Prüfungshandlungen Stellung zur Gewähr für eine einwandfreie Geschäftsführung durch die Organe</w:t>
      </w:r>
      <w:r w:rsidR="00365BF1">
        <w:rPr>
          <w:rFonts w:ascii="Arial" w:hAnsi="Arial" w:cs="Arial"/>
          <w:i/>
          <w:sz w:val="20"/>
          <w:szCs w:val="20"/>
          <w:highlight w:val="lightGray"/>
        </w:rPr>
        <w:t xml:space="preserve"> (bei Bank/Wertpapierfirma/bewilligte (gemischte) Finanzholdinggesellschaft)</w:t>
      </w:r>
      <w:r w:rsidRPr="00515AB5">
        <w:rPr>
          <w:rFonts w:ascii="Arial" w:hAnsi="Arial" w:cs="Arial"/>
          <w:i/>
          <w:sz w:val="20"/>
          <w:szCs w:val="20"/>
          <w:highlight w:val="lightGray"/>
        </w:rPr>
        <w:t xml:space="preserve"> und qualifiziert Beteiligten</w:t>
      </w:r>
      <w:r w:rsidR="00365BF1">
        <w:rPr>
          <w:rFonts w:ascii="Arial" w:hAnsi="Arial" w:cs="Arial"/>
          <w:i/>
          <w:sz w:val="20"/>
          <w:szCs w:val="20"/>
          <w:highlight w:val="lightGray"/>
        </w:rPr>
        <w:t xml:space="preserve"> (bei Bank/Wertpapierfirma)</w:t>
      </w:r>
      <w:r w:rsidRPr="00515AB5">
        <w:rPr>
          <w:rFonts w:ascii="Arial" w:hAnsi="Arial" w:cs="Arial"/>
          <w:i/>
          <w:sz w:val="20"/>
          <w:szCs w:val="20"/>
          <w:highlight w:val="lightGray"/>
        </w:rPr>
        <w:t xml:space="preserve">. </w:t>
      </w:r>
    </w:p>
    <w:p w14:paraId="706CAD8F" w14:textId="77777777" w:rsidR="002E3094" w:rsidRPr="00515AB5" w:rsidRDefault="002E3094" w:rsidP="002E3094">
      <w:pPr>
        <w:jc w:val="both"/>
        <w:rPr>
          <w:rFonts w:ascii="Arial" w:hAnsi="Arial" w:cs="Arial"/>
          <w:i/>
          <w:sz w:val="20"/>
          <w:szCs w:val="20"/>
          <w:highlight w:val="lightGray"/>
        </w:rPr>
      </w:pPr>
    </w:p>
    <w:p w14:paraId="144B3F23" w14:textId="388AA206" w:rsidR="002E3094" w:rsidRDefault="002E3094" w:rsidP="002E3094">
      <w:pPr>
        <w:jc w:val="both"/>
        <w:rPr>
          <w:rFonts w:ascii="Arial" w:hAnsi="Arial" w:cs="Arial"/>
          <w:i/>
          <w:sz w:val="20"/>
          <w:szCs w:val="20"/>
          <w:highlight w:val="lightGray"/>
        </w:rPr>
      </w:pPr>
      <w:r w:rsidRPr="00515AB5">
        <w:rPr>
          <w:rFonts w:ascii="Arial" w:hAnsi="Arial" w:cs="Arial"/>
          <w:i/>
          <w:sz w:val="20"/>
          <w:szCs w:val="20"/>
          <w:highlight w:val="lightGray"/>
        </w:rPr>
        <w:lastRenderedPageBreak/>
        <w:t xml:space="preserve">Des Weiteren hält die Revisionsstelle – basierend auf den Ergebnissen der durchgeführten Prüfungshandlungen – ein Prüfurteil fest, ob die internen Verfahren sicherstellen, dass die Bewilligungsvoraussetzungen (Art. 15 bis </w:t>
      </w:r>
      <w:r w:rsidR="00A14FB3" w:rsidRPr="00515AB5">
        <w:rPr>
          <w:rFonts w:ascii="Arial" w:hAnsi="Arial" w:cs="Arial"/>
          <w:i/>
          <w:sz w:val="20"/>
          <w:szCs w:val="20"/>
          <w:highlight w:val="lightGray"/>
        </w:rPr>
        <w:t>26</w:t>
      </w:r>
      <w:r w:rsidR="00A14FB3">
        <w:rPr>
          <w:rFonts w:ascii="Arial" w:hAnsi="Arial" w:cs="Arial"/>
          <w:i/>
          <w:sz w:val="20"/>
          <w:szCs w:val="20"/>
          <w:highlight w:val="lightGray"/>
        </w:rPr>
        <w:t>d</w:t>
      </w:r>
      <w:r w:rsidR="00A14FB3" w:rsidRPr="00515AB5">
        <w:rPr>
          <w:rFonts w:ascii="Arial" w:hAnsi="Arial" w:cs="Arial"/>
          <w:i/>
          <w:sz w:val="20"/>
          <w:szCs w:val="20"/>
          <w:highlight w:val="lightGray"/>
        </w:rPr>
        <w:t xml:space="preserve"> </w:t>
      </w:r>
      <w:r w:rsidRPr="00515AB5">
        <w:rPr>
          <w:rFonts w:ascii="Arial" w:hAnsi="Arial" w:cs="Arial"/>
          <w:i/>
          <w:sz w:val="20"/>
          <w:szCs w:val="20"/>
          <w:highlight w:val="lightGray"/>
        </w:rPr>
        <w:t>BankG</w:t>
      </w:r>
      <w:r w:rsidR="00365BF1">
        <w:rPr>
          <w:rFonts w:ascii="Arial" w:hAnsi="Arial" w:cs="Arial"/>
          <w:i/>
          <w:sz w:val="20"/>
          <w:szCs w:val="20"/>
          <w:highlight w:val="lightGray"/>
        </w:rPr>
        <w:t xml:space="preserve"> bzw. Art. 30a</w:t>
      </w:r>
      <w:r w:rsidR="00365BF1" w:rsidRPr="00BF6946">
        <w:rPr>
          <w:rFonts w:ascii="Arial" w:hAnsi="Arial" w:cs="Arial"/>
          <w:i/>
          <w:sz w:val="20"/>
          <w:szCs w:val="20"/>
          <w:highlight w:val="lightGray"/>
          <w:vertAlign w:val="superscript"/>
        </w:rPr>
        <w:t>quater</w:t>
      </w:r>
      <w:r w:rsidR="00365BF1">
        <w:rPr>
          <w:rFonts w:ascii="Arial" w:hAnsi="Arial" w:cs="Arial"/>
          <w:i/>
          <w:sz w:val="20"/>
          <w:szCs w:val="20"/>
          <w:highlight w:val="lightGray"/>
        </w:rPr>
        <w:t xml:space="preserve"> Abs. 6 BankG</w:t>
      </w:r>
      <w:r w:rsidRPr="00515AB5">
        <w:rPr>
          <w:rFonts w:ascii="Arial" w:hAnsi="Arial" w:cs="Arial"/>
          <w:i/>
          <w:sz w:val="20"/>
          <w:szCs w:val="20"/>
          <w:highlight w:val="lightGray"/>
        </w:rPr>
        <w:t xml:space="preserve">) eingehalten werden. </w:t>
      </w:r>
      <w:r>
        <w:rPr>
          <w:rFonts w:ascii="Arial" w:hAnsi="Arial" w:cs="Arial"/>
          <w:i/>
          <w:sz w:val="20"/>
          <w:szCs w:val="20"/>
          <w:highlight w:val="lightGray"/>
        </w:rPr>
        <w:t xml:space="preserve">Diesbezüglich erläutert die Revisionsstelle allfällige Vorkommnisse, welche die Einhaltung der Bewilligungsvoraussetzungen tangieren können. Die Revisionsstelle schlägt, falls notwendig, Massnahmen zur Wiederherstellung des ordnungsgemässen Zustands vor. Die Revisionsstelle beurteilt, inwiefern die Beanstandungen mit Fristansetzung im Berichtsjahr die Einhaltung der Bewilligungsvoraussetzungen in Frage stellen und hält fest, ob gemäss ihrer Einschätzung Massnahmen seitens der FMA notwendig sind oder nicht. </w:t>
      </w:r>
    </w:p>
    <w:p w14:paraId="25C1E2AE" w14:textId="77777777" w:rsidR="002E3094" w:rsidRDefault="002E3094" w:rsidP="002E3094">
      <w:pPr>
        <w:jc w:val="both"/>
        <w:rPr>
          <w:rFonts w:ascii="Arial" w:hAnsi="Arial" w:cs="Arial"/>
          <w:i/>
          <w:sz w:val="20"/>
          <w:szCs w:val="20"/>
          <w:highlight w:val="lightGray"/>
        </w:rPr>
      </w:pPr>
    </w:p>
    <w:p w14:paraId="1A21F332" w14:textId="2FD65A85" w:rsidR="002E3094" w:rsidRDefault="002E3094" w:rsidP="00CB3EE6">
      <w:pPr>
        <w:jc w:val="both"/>
        <w:rPr>
          <w:rFonts w:cs="Arial"/>
          <w:i/>
          <w:szCs w:val="20"/>
          <w:highlight w:val="lightGray"/>
        </w:rPr>
      </w:pPr>
      <w:r>
        <w:rPr>
          <w:rFonts w:ascii="Arial" w:hAnsi="Arial" w:cs="Arial"/>
          <w:i/>
          <w:sz w:val="20"/>
          <w:szCs w:val="20"/>
          <w:highlight w:val="lightGray"/>
        </w:rPr>
        <w:t xml:space="preserve">Die Revisionsstelle legt ein Prüfurteil - </w:t>
      </w:r>
      <w:r w:rsidRPr="00515AB5">
        <w:rPr>
          <w:rFonts w:ascii="Arial" w:hAnsi="Arial" w:cs="Arial"/>
          <w:i/>
          <w:sz w:val="20"/>
          <w:szCs w:val="20"/>
          <w:highlight w:val="lightGray"/>
        </w:rPr>
        <w:t>basierend auf den Ergebnissen der durchgeführten Prüfungshandlungen</w:t>
      </w:r>
      <w:r>
        <w:rPr>
          <w:rFonts w:ascii="Arial" w:hAnsi="Arial" w:cs="Arial"/>
          <w:i/>
          <w:sz w:val="20"/>
          <w:szCs w:val="20"/>
          <w:highlight w:val="lightGray"/>
        </w:rPr>
        <w:t xml:space="preserve"> dar - ob die internen Verfahren </w:t>
      </w:r>
      <w:r w:rsidR="00365BF1">
        <w:rPr>
          <w:rFonts w:ascii="Arial" w:hAnsi="Arial" w:cs="Arial"/>
          <w:i/>
          <w:sz w:val="20"/>
          <w:szCs w:val="20"/>
          <w:highlight w:val="lightGray"/>
        </w:rPr>
        <w:t xml:space="preserve">einer Bank bzw. Wertpapierfirma </w:t>
      </w:r>
      <w:r>
        <w:rPr>
          <w:rFonts w:ascii="Arial" w:hAnsi="Arial" w:cs="Arial"/>
          <w:i/>
          <w:sz w:val="20"/>
          <w:szCs w:val="20"/>
          <w:highlight w:val="lightGray"/>
        </w:rPr>
        <w:t>sicherstellen, dass die Vorschriften über die Geschäftstätigkeit (Art. 4 bis 14</w:t>
      </w:r>
      <w:r w:rsidR="004E14E7">
        <w:rPr>
          <w:rFonts w:ascii="Arial" w:hAnsi="Arial" w:cs="Arial"/>
          <w:i/>
          <w:sz w:val="20"/>
          <w:szCs w:val="20"/>
          <w:highlight w:val="lightGray"/>
        </w:rPr>
        <w:t>c</w:t>
      </w:r>
      <w:r>
        <w:rPr>
          <w:rFonts w:ascii="Arial" w:hAnsi="Arial" w:cs="Arial"/>
          <w:i/>
          <w:sz w:val="20"/>
          <w:szCs w:val="20"/>
          <w:highlight w:val="lightGray"/>
        </w:rPr>
        <w:t xml:space="preserve"> BankG) eingehalten werden. </w:t>
      </w:r>
    </w:p>
    <w:p w14:paraId="237B91AB" w14:textId="77777777" w:rsidR="002E3094" w:rsidRDefault="002E3094" w:rsidP="00CB3EE6">
      <w:pPr>
        <w:jc w:val="both"/>
        <w:rPr>
          <w:rFonts w:cs="Arial"/>
          <w:i/>
          <w:szCs w:val="20"/>
          <w:highlight w:val="lightGray"/>
        </w:rPr>
      </w:pPr>
    </w:p>
    <w:p w14:paraId="5690120E" w14:textId="77777777" w:rsidR="002E3094" w:rsidRDefault="002E3094" w:rsidP="00CB3EE6">
      <w:pPr>
        <w:jc w:val="both"/>
        <w:rPr>
          <w:rFonts w:cs="Arial"/>
          <w:i/>
          <w:szCs w:val="20"/>
          <w:highlight w:val="lightGray"/>
        </w:rPr>
      </w:pPr>
      <w:r>
        <w:rPr>
          <w:rFonts w:ascii="Arial" w:hAnsi="Arial" w:cs="Arial"/>
          <w:i/>
          <w:sz w:val="20"/>
          <w:szCs w:val="20"/>
          <w:highlight w:val="lightGray"/>
        </w:rPr>
        <w:t xml:space="preserve">Zudem legt die Revisionsstelle ein Prüfurteil – basierend auf den Ergebnissen der durchgeführten Prüfungshandlungen im Rahmen der Abschlussprüfung dar - ob die internen Verfahren sicherstellen, dass der Geschäftsbericht und der konsolidierte Geschäftsbericht nach Form und Inhalt den gesetzlichen, statutarischen und reglementarischen Erfordernissen entsprechen. </w:t>
      </w:r>
    </w:p>
    <w:p w14:paraId="7011811E" w14:textId="77777777" w:rsidR="002E3094" w:rsidRDefault="002E3094" w:rsidP="00CB3EE6">
      <w:pPr>
        <w:jc w:val="both"/>
        <w:rPr>
          <w:rFonts w:cs="Arial"/>
          <w:i/>
          <w:szCs w:val="20"/>
          <w:highlight w:val="lightGray"/>
        </w:rPr>
      </w:pPr>
    </w:p>
    <w:p w14:paraId="6A935A86" w14:textId="50E0A6F8" w:rsidR="0041731C" w:rsidRPr="00CB3EE6" w:rsidRDefault="002E3094" w:rsidP="00CB3EE6">
      <w:pPr>
        <w:jc w:val="both"/>
        <w:rPr>
          <w:rFonts w:cs="Arial"/>
          <w:i/>
          <w:szCs w:val="20"/>
          <w:highlight w:val="lightGray"/>
        </w:rPr>
      </w:pPr>
      <w:r w:rsidRPr="00CB3EE6">
        <w:rPr>
          <w:rFonts w:ascii="Arial" w:hAnsi="Arial" w:cs="Arial"/>
          <w:i/>
          <w:sz w:val="20"/>
          <w:szCs w:val="20"/>
          <w:highlight w:val="lightGray"/>
        </w:rPr>
        <w:t>Des Weiteren würdigt die Revisionsstelle unter diesem Titel summarisch die Gesamtsituation de</w:t>
      </w:r>
      <w:r w:rsidR="0050402B">
        <w:rPr>
          <w:rFonts w:ascii="Arial" w:hAnsi="Arial" w:cs="Arial"/>
          <w:i/>
          <w:sz w:val="20"/>
          <w:szCs w:val="20"/>
          <w:highlight w:val="lightGray"/>
        </w:rPr>
        <w:t xml:space="preserve">r </w:t>
      </w:r>
      <w:r w:rsidR="00F83287" w:rsidRPr="00C44852">
        <w:rPr>
          <w:rFonts w:ascii="Arial" w:hAnsi="Arial" w:cs="Arial"/>
          <w:i/>
          <w:sz w:val="20"/>
          <w:szCs w:val="20"/>
          <w:highlight w:val="lightGray"/>
        </w:rPr>
        <w:t>prüfende Bank</w:t>
      </w:r>
      <w:r w:rsidR="00F83287">
        <w:rPr>
          <w:rFonts w:ascii="Arial" w:hAnsi="Arial" w:cs="Arial"/>
          <w:i/>
          <w:sz w:val="20"/>
          <w:szCs w:val="20"/>
          <w:highlight w:val="lightGray"/>
        </w:rPr>
        <w:t>, Wertpapierfirma</w:t>
      </w:r>
      <w:r w:rsidR="00365BF1">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365BF1">
        <w:rPr>
          <w:rFonts w:ascii="Arial" w:hAnsi="Arial" w:cs="Arial"/>
          <w:i/>
          <w:sz w:val="20"/>
          <w:szCs w:val="20"/>
          <w:highlight w:val="lightGray"/>
        </w:rPr>
        <w:t>sowie</w:t>
      </w:r>
      <w:r w:rsidR="00F83287">
        <w:rPr>
          <w:rFonts w:ascii="Arial" w:hAnsi="Arial" w:cs="Arial"/>
          <w:i/>
          <w:sz w:val="20"/>
          <w:szCs w:val="20"/>
          <w:highlight w:val="lightGray"/>
        </w:rPr>
        <w:t xml:space="preserve"> der Gruppe</w:t>
      </w:r>
      <w:r w:rsidR="000846E4">
        <w:rPr>
          <w:rFonts w:ascii="Arial" w:hAnsi="Arial" w:cs="Arial"/>
          <w:i/>
          <w:sz w:val="20"/>
          <w:szCs w:val="20"/>
          <w:highlight w:val="lightGray"/>
        </w:rPr>
        <w:t xml:space="preserve"> </w:t>
      </w:r>
      <w:r w:rsidRPr="00CB3EE6">
        <w:rPr>
          <w:rFonts w:ascii="Arial" w:hAnsi="Arial" w:cs="Arial"/>
          <w:i/>
          <w:sz w:val="20"/>
          <w:szCs w:val="20"/>
          <w:highlight w:val="lightGray"/>
        </w:rPr>
        <w:t xml:space="preserve">sowie aktuelle Entwicklungen und weist zukunftsgerichtet auf mögliche (u.a. regulatorische) Herausforderungen hin. </w:t>
      </w:r>
    </w:p>
    <w:p w14:paraId="3204C5FC" w14:textId="77777777" w:rsidR="00A30784" w:rsidRDefault="00A30784" w:rsidP="00CB3EE6">
      <w:pPr>
        <w:pStyle w:val="Listenabsatz"/>
        <w:ind w:left="360"/>
        <w:jc w:val="both"/>
      </w:pPr>
    </w:p>
    <w:p w14:paraId="7C2C1F52" w14:textId="77777777" w:rsidR="001469E9" w:rsidRDefault="00CD5C34" w:rsidP="006F7AB5">
      <w:pPr>
        <w:pStyle w:val="FINMAGliederungEbene1"/>
      </w:pPr>
      <w:bookmarkStart w:id="12" w:name="_Toc147849867"/>
      <w:r>
        <w:t xml:space="preserve">Wesentliche Feststellungen </w:t>
      </w:r>
      <w:r w:rsidR="001469E9">
        <w:t>ausserhalb der Aufsichtsprüfung</w:t>
      </w:r>
      <w:bookmarkEnd w:id="12"/>
    </w:p>
    <w:p w14:paraId="43BA97A2" w14:textId="77777777" w:rsidR="001469E9" w:rsidRDefault="001469E9" w:rsidP="001469E9">
      <w:pPr>
        <w:jc w:val="both"/>
      </w:pPr>
    </w:p>
    <w:p w14:paraId="56BDF699" w14:textId="4D5B7522" w:rsidR="00B41C8D" w:rsidRPr="00B41C8D" w:rsidRDefault="00B41C8D" w:rsidP="00B41C8D">
      <w:pPr>
        <w:jc w:val="both"/>
        <w:rPr>
          <w:rFonts w:ascii="Arial" w:hAnsi="Arial" w:cs="Arial"/>
          <w:i/>
          <w:sz w:val="20"/>
          <w:szCs w:val="20"/>
          <w:highlight w:val="lightGray"/>
        </w:rPr>
      </w:pPr>
      <w:r w:rsidRPr="00B41C8D">
        <w:rPr>
          <w:rFonts w:ascii="Arial" w:hAnsi="Arial" w:cs="Arial"/>
          <w:i/>
          <w:sz w:val="20"/>
          <w:szCs w:val="20"/>
          <w:highlight w:val="lightGray"/>
        </w:rPr>
        <w:t>Stellt die Revisionsstelle ausserhalb der Aufsichtsprüfung Auffälligkeiten fest, welche wesentliche Auswirkungen auf die Risikolage de</w:t>
      </w:r>
      <w:r w:rsidR="00365BF1">
        <w:rPr>
          <w:rFonts w:ascii="Arial" w:hAnsi="Arial" w:cs="Arial"/>
          <w:i/>
          <w:sz w:val="20"/>
          <w:szCs w:val="20"/>
          <w:highlight w:val="lightGray"/>
        </w:rPr>
        <w:t>r Bank, Wertpapierfirma, bewilligte (gemischte) Finanzholdinggesellschaft bzw. der Gruppe</w:t>
      </w:r>
      <w:r w:rsidRPr="00B41C8D">
        <w:rPr>
          <w:rFonts w:ascii="Arial" w:hAnsi="Arial" w:cs="Arial"/>
          <w:i/>
          <w:sz w:val="20"/>
          <w:szCs w:val="20"/>
          <w:highlight w:val="lightGray"/>
        </w:rPr>
        <w:t xml:space="preserve"> haben und die damit gemäss Art. </w:t>
      </w:r>
      <w:r w:rsidR="00032FE9">
        <w:rPr>
          <w:rFonts w:ascii="Arial" w:hAnsi="Arial" w:cs="Arial"/>
          <w:i/>
          <w:sz w:val="20"/>
          <w:szCs w:val="20"/>
          <w:highlight w:val="lightGray"/>
        </w:rPr>
        <w:t>37b</w:t>
      </w:r>
      <w:r w:rsidR="00606908">
        <w:rPr>
          <w:rFonts w:ascii="Arial" w:hAnsi="Arial" w:cs="Arial"/>
          <w:i/>
          <w:sz w:val="20"/>
          <w:szCs w:val="20"/>
          <w:highlight w:val="lightGray"/>
        </w:rPr>
        <w:t xml:space="preserve"> </w:t>
      </w:r>
      <w:r w:rsidRPr="00B41C8D">
        <w:rPr>
          <w:rFonts w:ascii="Arial" w:hAnsi="Arial" w:cs="Arial"/>
          <w:i/>
          <w:sz w:val="20"/>
          <w:szCs w:val="20"/>
          <w:highlight w:val="lightGray"/>
        </w:rPr>
        <w:t xml:space="preserve">Abs. </w:t>
      </w:r>
      <w:r w:rsidR="00606908">
        <w:rPr>
          <w:rFonts w:ascii="Arial" w:hAnsi="Arial" w:cs="Arial"/>
          <w:i/>
          <w:sz w:val="20"/>
          <w:szCs w:val="20"/>
          <w:highlight w:val="lightGray"/>
        </w:rPr>
        <w:t>9</w:t>
      </w:r>
      <w:r w:rsidRPr="00B41C8D">
        <w:rPr>
          <w:rFonts w:ascii="Arial" w:hAnsi="Arial" w:cs="Arial"/>
          <w:i/>
          <w:sz w:val="20"/>
          <w:szCs w:val="20"/>
          <w:highlight w:val="lightGray"/>
        </w:rPr>
        <w:t xml:space="preserve"> Bank</w:t>
      </w:r>
      <w:r w:rsidR="00606908">
        <w:rPr>
          <w:rFonts w:ascii="Arial" w:hAnsi="Arial" w:cs="Arial"/>
          <w:i/>
          <w:sz w:val="20"/>
          <w:szCs w:val="20"/>
          <w:highlight w:val="lightGray"/>
        </w:rPr>
        <w:t>G</w:t>
      </w:r>
      <w:r w:rsidRPr="00B41C8D">
        <w:rPr>
          <w:rFonts w:ascii="Arial" w:hAnsi="Arial" w:cs="Arial"/>
          <w:i/>
          <w:sz w:val="20"/>
          <w:szCs w:val="20"/>
          <w:highlight w:val="lightGray"/>
        </w:rPr>
        <w:t xml:space="preserve"> in der Risikoanalyse zu berücksichtigen sind, so sind diese im Rahmen der Berichterstattung aufzuführen (z.B. Empfehlungen im Rahmen des Management Letters bei der Abschlussprüfung; steuerrechtliche Verfahren etc.)</w:t>
      </w:r>
    </w:p>
    <w:p w14:paraId="0FF862A7" w14:textId="77777777" w:rsidR="00897AEF" w:rsidRDefault="00897AEF" w:rsidP="00A5682B">
      <w:pPr>
        <w:jc w:val="both"/>
        <w:rPr>
          <w:rFonts w:ascii="Arial" w:hAnsi="Arial" w:cs="Arial"/>
          <w:sz w:val="20"/>
          <w:szCs w:val="20"/>
        </w:rPr>
      </w:pPr>
    </w:p>
    <w:p w14:paraId="46ED533F" w14:textId="1DAFAC74" w:rsidR="00897AEF" w:rsidRDefault="00827C26" w:rsidP="006F7AB5">
      <w:pPr>
        <w:pStyle w:val="FINMAGliederungEbene1"/>
      </w:pPr>
      <w:bookmarkStart w:id="13" w:name="_Toc147849868"/>
      <w:r>
        <w:t xml:space="preserve">Wichtige Informationen zu der geprüften </w:t>
      </w:r>
      <w:r w:rsidR="00F83287" w:rsidRPr="00EA5362">
        <w:rPr>
          <w:i/>
          <w:szCs w:val="20"/>
        </w:rPr>
        <w:t>Bank, Wertpapierfirma</w:t>
      </w:r>
      <w:r w:rsidR="00365BF1">
        <w:rPr>
          <w:i/>
          <w:szCs w:val="20"/>
        </w:rPr>
        <w:t>, bewilligten (gemischten) Finanzholdinggesellschaft</w:t>
      </w:r>
      <w:r w:rsidR="00F83287" w:rsidRPr="00EA5362">
        <w:rPr>
          <w:i/>
          <w:szCs w:val="20"/>
        </w:rPr>
        <w:t xml:space="preserve"> </w:t>
      </w:r>
      <w:r w:rsidR="00365BF1" w:rsidRPr="00365BF1">
        <w:rPr>
          <w:i/>
        </w:rPr>
        <w:t>und</w:t>
      </w:r>
      <w:r w:rsidR="00F83287" w:rsidRPr="00365BF1">
        <w:rPr>
          <w:i/>
        </w:rPr>
        <w:t xml:space="preserve"> Gruppe</w:t>
      </w:r>
      <w:r>
        <w:t>/ Darstellung bedeutender Änderungen</w:t>
      </w:r>
      <w:bookmarkEnd w:id="13"/>
    </w:p>
    <w:p w14:paraId="199F62AB" w14:textId="77777777" w:rsidR="00827C26" w:rsidRDefault="00827C26" w:rsidP="00CB3EE6">
      <w:pPr>
        <w:pStyle w:val="Listenabsatz"/>
        <w:ind w:left="360"/>
        <w:jc w:val="both"/>
      </w:pPr>
    </w:p>
    <w:p w14:paraId="1298F83D" w14:textId="77777777" w:rsidR="00827C26" w:rsidRDefault="00827C26" w:rsidP="006F7AB5">
      <w:pPr>
        <w:pStyle w:val="FINMAGliederungEbene2"/>
      </w:pPr>
      <w:bookmarkStart w:id="14" w:name="_Toc147849869"/>
      <w:r>
        <w:t>Geschäftstätigkeit und Kundenstruktur</w:t>
      </w:r>
      <w:bookmarkEnd w:id="14"/>
    </w:p>
    <w:p w14:paraId="117805E5" w14:textId="77777777" w:rsidR="00827C26" w:rsidRDefault="00827C26" w:rsidP="00CB3EE6">
      <w:pPr>
        <w:jc w:val="both"/>
      </w:pPr>
    </w:p>
    <w:p w14:paraId="4486CB7A" w14:textId="40D1F572" w:rsidR="00827C26" w:rsidRPr="00CB3EE6" w:rsidRDefault="00827C26" w:rsidP="00CB3EE6">
      <w:pPr>
        <w:jc w:val="both"/>
        <w:rPr>
          <w:rFonts w:cs="Arial"/>
          <w:i/>
          <w:szCs w:val="20"/>
          <w:highlight w:val="lightGray"/>
        </w:rPr>
      </w:pPr>
      <w:r w:rsidRPr="00CB3EE6">
        <w:rPr>
          <w:rFonts w:ascii="Arial" w:hAnsi="Arial" w:cs="Arial"/>
          <w:i/>
          <w:sz w:val="20"/>
          <w:szCs w:val="20"/>
          <w:highlight w:val="lightGray"/>
        </w:rPr>
        <w:t xml:space="preserve">Die Revisionsstelle erläutert kurz das Geschäftsfeld bzw. die Geschäftsfelder der </w:t>
      </w:r>
      <w:r w:rsidR="00F83287" w:rsidRPr="00C44852">
        <w:rPr>
          <w:rFonts w:ascii="Arial" w:hAnsi="Arial" w:cs="Arial"/>
          <w:i/>
          <w:sz w:val="20"/>
          <w:szCs w:val="20"/>
          <w:highlight w:val="lightGray"/>
        </w:rPr>
        <w:t>Bank</w:t>
      </w:r>
      <w:r w:rsidR="00F83287">
        <w:rPr>
          <w:rFonts w:ascii="Arial" w:hAnsi="Arial" w:cs="Arial"/>
          <w:i/>
          <w:sz w:val="20"/>
          <w:szCs w:val="20"/>
          <w:highlight w:val="lightGray"/>
        </w:rPr>
        <w:t>, Wertpapierfirma</w:t>
      </w:r>
      <w:r w:rsidR="00365BF1">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F83287" w:rsidRPr="00EA5362">
        <w:rPr>
          <w:rFonts w:ascii="Arial" w:hAnsi="Arial" w:cs="Arial"/>
          <w:i/>
          <w:sz w:val="20"/>
          <w:szCs w:val="20"/>
          <w:highlight w:val="lightGray"/>
        </w:rPr>
        <w:t xml:space="preserve">bzw. Gruppe, </w:t>
      </w:r>
      <w:r w:rsidRPr="00CB3EE6">
        <w:rPr>
          <w:rFonts w:ascii="Arial" w:hAnsi="Arial" w:cs="Arial"/>
          <w:i/>
          <w:sz w:val="20"/>
          <w:szCs w:val="20"/>
          <w:highlight w:val="lightGray"/>
        </w:rPr>
        <w:t xml:space="preserve">die angesprochenen Kundensegmente und Märkte sowie diesbezügliche Veränderungen während dem Berichtsjahr. </w:t>
      </w:r>
    </w:p>
    <w:p w14:paraId="0238E463" w14:textId="77777777" w:rsidR="00827C26" w:rsidRDefault="00827C26" w:rsidP="00CB3EE6">
      <w:pPr>
        <w:jc w:val="both"/>
      </w:pPr>
    </w:p>
    <w:p w14:paraId="5B9E4E01" w14:textId="77777777" w:rsidR="00827C26" w:rsidRDefault="00827C26" w:rsidP="00CB3EE6">
      <w:pPr>
        <w:pStyle w:val="Listenabsatz"/>
        <w:ind w:left="792"/>
        <w:jc w:val="both"/>
      </w:pPr>
    </w:p>
    <w:p w14:paraId="6323645D" w14:textId="77777777" w:rsidR="00827C26" w:rsidRDefault="00827C26" w:rsidP="006F7AB5">
      <w:pPr>
        <w:pStyle w:val="FINMAGliederungEbene2"/>
      </w:pPr>
      <w:bookmarkStart w:id="15" w:name="_Toc147849870"/>
      <w:r>
        <w:t>Gruppenstruktur und Beteiligungsverhältnisse / Beziehungen zu anderen Unternehmen</w:t>
      </w:r>
      <w:bookmarkEnd w:id="15"/>
    </w:p>
    <w:p w14:paraId="5FCE391F" w14:textId="77777777" w:rsidR="00827C26" w:rsidRDefault="00827C26" w:rsidP="00CB3EE6">
      <w:pPr>
        <w:jc w:val="both"/>
      </w:pPr>
    </w:p>
    <w:p w14:paraId="05724557" w14:textId="77777777" w:rsidR="00827C26" w:rsidRPr="00571DD0" w:rsidRDefault="00827C26" w:rsidP="00827C26">
      <w:pPr>
        <w:jc w:val="both"/>
        <w:rPr>
          <w:rFonts w:ascii="Arial" w:hAnsi="Arial" w:cs="Arial"/>
          <w:i/>
          <w:sz w:val="20"/>
          <w:szCs w:val="20"/>
          <w:highlight w:val="lightGray"/>
        </w:rPr>
      </w:pPr>
      <w:r w:rsidRPr="00571DD0">
        <w:rPr>
          <w:rFonts w:ascii="Arial" w:hAnsi="Arial" w:cs="Arial"/>
          <w:i/>
          <w:sz w:val="20"/>
          <w:szCs w:val="20"/>
          <w:highlight w:val="lightGray"/>
        </w:rPr>
        <w:t xml:space="preserve">Die Revisionsstelle </w:t>
      </w:r>
      <w:r>
        <w:rPr>
          <w:rFonts w:ascii="Arial" w:hAnsi="Arial" w:cs="Arial"/>
          <w:i/>
          <w:sz w:val="20"/>
          <w:szCs w:val="20"/>
          <w:highlight w:val="lightGray"/>
        </w:rPr>
        <w:t xml:space="preserve">erläutert kurz die Struktur der Gruppe, die qualifiziert Beteiligten sowie wesentliche Beziehungen und Abhängigkeiten zu anderen Unternehmen oder Anspruchsträgern (z.B. wirtschaftlich bedeutende Verträge, konzerninterne Zusammenarbeit). Diesbezügliche Veränderungen werden adressiert. </w:t>
      </w:r>
    </w:p>
    <w:p w14:paraId="0BDABD60" w14:textId="77777777" w:rsidR="00827C26" w:rsidRDefault="00827C26" w:rsidP="00CB3EE6">
      <w:pPr>
        <w:jc w:val="both"/>
      </w:pPr>
    </w:p>
    <w:p w14:paraId="619FCA24" w14:textId="77777777" w:rsidR="00827C26" w:rsidRPr="000C756C" w:rsidRDefault="00827C26" w:rsidP="006F7AB5">
      <w:pPr>
        <w:pStyle w:val="FINMAGliederungEbene2"/>
      </w:pPr>
      <w:bookmarkStart w:id="16" w:name="_Toc147849871"/>
      <w:r w:rsidRPr="000C756C">
        <w:t>Betriebs- und Aufbauorganisation</w:t>
      </w:r>
      <w:bookmarkEnd w:id="16"/>
    </w:p>
    <w:p w14:paraId="4A1A9EBE" w14:textId="77777777" w:rsidR="00827C26" w:rsidRDefault="00827C26" w:rsidP="00CB3EE6">
      <w:pPr>
        <w:jc w:val="both"/>
      </w:pPr>
    </w:p>
    <w:p w14:paraId="4C97F224" w14:textId="57117C9F" w:rsidR="00F8275A" w:rsidRPr="0023252E" w:rsidRDefault="00827C26" w:rsidP="00CB3EE6">
      <w:pPr>
        <w:jc w:val="both"/>
        <w:rPr>
          <w:rFonts w:ascii="Arial" w:hAnsi="Arial" w:cs="Arial"/>
          <w:i/>
          <w:sz w:val="20"/>
          <w:szCs w:val="20"/>
        </w:rPr>
      </w:pPr>
      <w:r w:rsidRPr="00127590">
        <w:rPr>
          <w:rFonts w:ascii="Arial" w:hAnsi="Arial" w:cs="Arial"/>
          <w:i/>
          <w:sz w:val="20"/>
          <w:szCs w:val="20"/>
          <w:highlight w:val="lightGray"/>
        </w:rPr>
        <w:t>Die Revisionsstelle erläutert kurz die generelle Organisation und allfällige entsprechende Veränd</w:t>
      </w:r>
      <w:r w:rsidRPr="00CB3EE6">
        <w:rPr>
          <w:rFonts w:ascii="Arial" w:hAnsi="Arial" w:cs="Arial"/>
          <w:i/>
          <w:sz w:val="20"/>
          <w:szCs w:val="20"/>
          <w:highlight w:val="lightGray"/>
        </w:rPr>
        <w:t>erungen</w:t>
      </w:r>
      <w:r w:rsidR="005E18C5">
        <w:rPr>
          <w:rFonts w:ascii="Arial" w:hAnsi="Arial" w:cs="Arial"/>
          <w:i/>
          <w:sz w:val="20"/>
          <w:szCs w:val="20"/>
          <w:highlight w:val="lightGray"/>
        </w:rPr>
        <w:t>. Dabei kann sich die Revisionsstelle auf das Organigramm abstützen.</w:t>
      </w:r>
      <w:r>
        <w:rPr>
          <w:rFonts w:ascii="Arial" w:hAnsi="Arial" w:cs="Arial"/>
          <w:i/>
          <w:sz w:val="20"/>
          <w:szCs w:val="20"/>
        </w:rPr>
        <w:t xml:space="preserve"> </w:t>
      </w:r>
    </w:p>
    <w:p w14:paraId="55E5658E" w14:textId="77777777" w:rsidR="00827C26" w:rsidRDefault="00827C26" w:rsidP="00CB3EE6">
      <w:pPr>
        <w:jc w:val="both"/>
      </w:pPr>
    </w:p>
    <w:p w14:paraId="5C75E24F" w14:textId="669372E6" w:rsidR="00827C26" w:rsidRPr="00F83287" w:rsidRDefault="00827C26" w:rsidP="006F7AB5">
      <w:pPr>
        <w:pStyle w:val="FINMAGliederungEbene2"/>
      </w:pPr>
      <w:bookmarkStart w:id="17" w:name="_Toc147849872"/>
      <w:r w:rsidRPr="00F83287">
        <w:t xml:space="preserve">Wesentliche Änderungen bei der beaufsichtigten </w:t>
      </w:r>
      <w:r w:rsidR="00F83287" w:rsidRPr="00BF6946">
        <w:rPr>
          <w:i/>
          <w:szCs w:val="20"/>
        </w:rPr>
        <w:t>Bank, Wertpapierfirma</w:t>
      </w:r>
      <w:r w:rsidR="00365BF1">
        <w:rPr>
          <w:i/>
          <w:szCs w:val="20"/>
        </w:rPr>
        <w:t>, bewilligten (gemischten) Finanzholdinggesellschaft</w:t>
      </w:r>
      <w:r w:rsidR="00F83287" w:rsidRPr="00BF6946">
        <w:rPr>
          <w:i/>
          <w:szCs w:val="20"/>
        </w:rPr>
        <w:t xml:space="preserve"> </w:t>
      </w:r>
      <w:r w:rsidR="00365BF1">
        <w:rPr>
          <w:i/>
          <w:szCs w:val="20"/>
        </w:rPr>
        <w:t>und</w:t>
      </w:r>
      <w:r w:rsidR="00F83287" w:rsidRPr="00BF6946">
        <w:rPr>
          <w:i/>
          <w:szCs w:val="20"/>
        </w:rPr>
        <w:t xml:space="preserve"> Gruppe</w:t>
      </w:r>
      <w:bookmarkEnd w:id="17"/>
    </w:p>
    <w:p w14:paraId="3177D5DB" w14:textId="77777777" w:rsidR="00827C26" w:rsidRDefault="00827C26" w:rsidP="00CB3EE6">
      <w:pPr>
        <w:jc w:val="both"/>
      </w:pPr>
    </w:p>
    <w:p w14:paraId="5D53EE46" w14:textId="42C5F4FC" w:rsidR="00A5682B" w:rsidRPr="000D36E0" w:rsidRDefault="00897AEF" w:rsidP="00A5682B">
      <w:pPr>
        <w:jc w:val="both"/>
        <w:rPr>
          <w:rFonts w:ascii="Arial" w:hAnsi="Arial" w:cs="Arial"/>
          <w:i/>
          <w:sz w:val="20"/>
          <w:szCs w:val="20"/>
          <w:highlight w:val="lightGray"/>
        </w:rPr>
      </w:pPr>
      <w:r w:rsidRPr="000D36E0">
        <w:rPr>
          <w:rFonts w:ascii="Arial" w:hAnsi="Arial" w:cs="Arial"/>
          <w:i/>
          <w:sz w:val="20"/>
          <w:szCs w:val="20"/>
          <w:highlight w:val="lightGray"/>
        </w:rPr>
        <w:t>Die Revisionsstelle erläutert, sofern noch nicht in den weiteren Kapiteln des Berichts aufgeführt wurden,</w:t>
      </w:r>
      <w:r w:rsidR="000D36E0" w:rsidRPr="000D36E0">
        <w:rPr>
          <w:rFonts w:ascii="Arial" w:hAnsi="Arial" w:cs="Arial"/>
          <w:i/>
          <w:sz w:val="20"/>
          <w:szCs w:val="20"/>
          <w:highlight w:val="lightGray"/>
        </w:rPr>
        <w:t xml:space="preserve"> allfällige wesentliche Veränderungen während dem Berichtsjahr oder solche, die </w:t>
      </w:r>
      <w:r w:rsidR="00127590">
        <w:rPr>
          <w:rFonts w:ascii="Arial" w:hAnsi="Arial" w:cs="Arial"/>
          <w:i/>
          <w:sz w:val="20"/>
          <w:szCs w:val="20"/>
          <w:highlight w:val="lightGray"/>
        </w:rPr>
        <w:t>bei der b</w:t>
      </w:r>
      <w:r w:rsidR="004F737B">
        <w:rPr>
          <w:rFonts w:ascii="Arial" w:hAnsi="Arial" w:cs="Arial"/>
          <w:i/>
          <w:sz w:val="20"/>
          <w:szCs w:val="20"/>
          <w:highlight w:val="lightGray"/>
        </w:rPr>
        <w:t xml:space="preserve">eaufsichtigten </w:t>
      </w:r>
      <w:r w:rsidR="00F83287" w:rsidRPr="00C44852">
        <w:rPr>
          <w:rFonts w:ascii="Arial" w:hAnsi="Arial" w:cs="Arial"/>
          <w:i/>
          <w:sz w:val="20"/>
          <w:szCs w:val="20"/>
          <w:highlight w:val="lightGray"/>
        </w:rPr>
        <w:t>Bank</w:t>
      </w:r>
      <w:r w:rsidR="00F83287">
        <w:rPr>
          <w:rFonts w:ascii="Arial" w:hAnsi="Arial" w:cs="Arial"/>
          <w:i/>
          <w:sz w:val="20"/>
          <w:szCs w:val="20"/>
          <w:highlight w:val="lightGray"/>
        </w:rPr>
        <w:t>, Wertpapierfirma</w:t>
      </w:r>
      <w:r w:rsidR="00365BF1">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F83287" w:rsidRPr="00B36817">
        <w:rPr>
          <w:rFonts w:ascii="Arial" w:hAnsi="Arial" w:cs="Arial"/>
          <w:i/>
          <w:sz w:val="20"/>
          <w:szCs w:val="20"/>
          <w:highlight w:val="lightGray"/>
        </w:rPr>
        <w:t>bzw. Gruppe</w:t>
      </w:r>
      <w:r w:rsidR="000D36E0" w:rsidRPr="000D36E0">
        <w:rPr>
          <w:rFonts w:ascii="Arial" w:hAnsi="Arial" w:cs="Arial"/>
          <w:i/>
          <w:sz w:val="20"/>
          <w:szCs w:val="20"/>
          <w:highlight w:val="lightGray"/>
        </w:rPr>
        <w:t xml:space="preserve"> noch bevorstehen;</w:t>
      </w:r>
      <w:r w:rsidRPr="000D36E0">
        <w:rPr>
          <w:rFonts w:ascii="Arial" w:hAnsi="Arial" w:cs="Arial"/>
          <w:i/>
          <w:sz w:val="20"/>
          <w:szCs w:val="20"/>
          <w:highlight w:val="lightGray"/>
        </w:rPr>
        <w:t xml:space="preserve"> insbesondere hinsichtlich:</w:t>
      </w:r>
    </w:p>
    <w:p w14:paraId="77E8EAB6" w14:textId="77777777" w:rsidR="00897AEF" w:rsidRPr="000D36E0" w:rsidRDefault="00127590" w:rsidP="00897AEF">
      <w:pPr>
        <w:pStyle w:val="Listenabsatz"/>
        <w:numPr>
          <w:ilvl w:val="0"/>
          <w:numId w:val="13"/>
        </w:numPr>
        <w:jc w:val="both"/>
        <w:rPr>
          <w:rFonts w:cs="Arial"/>
          <w:i/>
          <w:szCs w:val="20"/>
          <w:highlight w:val="lightGray"/>
        </w:rPr>
      </w:pPr>
      <w:r>
        <w:rPr>
          <w:rFonts w:cs="Arial"/>
          <w:i/>
          <w:szCs w:val="20"/>
          <w:highlight w:val="lightGray"/>
        </w:rPr>
        <w:t>Wechsel bei den qualifiziert Beteiligten</w:t>
      </w:r>
    </w:p>
    <w:p w14:paraId="3D814EEA" w14:textId="77777777" w:rsidR="00897AEF" w:rsidRPr="000D36E0"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Organe</w:t>
      </w:r>
    </w:p>
    <w:p w14:paraId="24BD3828" w14:textId="77777777" w:rsidR="00897AEF" w:rsidRDefault="00897AEF" w:rsidP="00897AEF">
      <w:pPr>
        <w:pStyle w:val="Listenabsatz"/>
        <w:numPr>
          <w:ilvl w:val="0"/>
          <w:numId w:val="13"/>
        </w:numPr>
        <w:jc w:val="both"/>
        <w:rPr>
          <w:rFonts w:cs="Arial"/>
          <w:i/>
          <w:szCs w:val="20"/>
          <w:highlight w:val="lightGray"/>
        </w:rPr>
      </w:pPr>
      <w:r w:rsidRPr="000D36E0">
        <w:rPr>
          <w:rFonts w:cs="Arial"/>
          <w:i/>
          <w:szCs w:val="20"/>
          <w:highlight w:val="lightGray"/>
        </w:rPr>
        <w:t>Beziehungen zu anderen Unternehmen</w:t>
      </w:r>
    </w:p>
    <w:p w14:paraId="2488BAB3" w14:textId="49B4242A" w:rsidR="00D809D1" w:rsidRPr="00836F15" w:rsidRDefault="00D809D1" w:rsidP="00836F15">
      <w:pPr>
        <w:pStyle w:val="Listenabsatz"/>
        <w:numPr>
          <w:ilvl w:val="0"/>
          <w:numId w:val="13"/>
        </w:numPr>
        <w:jc w:val="both"/>
        <w:rPr>
          <w:rFonts w:cs="Arial"/>
          <w:i/>
          <w:szCs w:val="20"/>
          <w:highlight w:val="lightGray"/>
        </w:rPr>
      </w:pPr>
      <w:r>
        <w:rPr>
          <w:rFonts w:cs="Arial"/>
          <w:i/>
          <w:szCs w:val="20"/>
          <w:highlight w:val="lightGray"/>
        </w:rPr>
        <w:t>Vakanzen in Schlüssel</w:t>
      </w:r>
      <w:r w:rsidR="00E95156">
        <w:rPr>
          <w:rFonts w:cs="Arial"/>
          <w:i/>
          <w:szCs w:val="20"/>
          <w:highlight w:val="lightGray"/>
        </w:rPr>
        <w:t>funktionen</w:t>
      </w:r>
      <w:r w:rsidR="00A024A2">
        <w:rPr>
          <w:rFonts w:cs="Arial"/>
          <w:i/>
          <w:szCs w:val="20"/>
          <w:highlight w:val="lightGray"/>
        </w:rPr>
        <w:t xml:space="preserve"> </w:t>
      </w:r>
      <w:r w:rsidR="00EF3DFC" w:rsidRPr="00B037A6">
        <w:rPr>
          <w:rFonts w:cs="Arial"/>
          <w:i/>
          <w:sz w:val="16"/>
          <w:szCs w:val="16"/>
          <w:highlight w:val="lightGray"/>
        </w:rPr>
        <w:t>(</w:t>
      </w:r>
      <w:r w:rsidR="00836F15" w:rsidRPr="00B037A6">
        <w:rPr>
          <w:rFonts w:cs="Arial"/>
          <w:i/>
          <w:sz w:val="16"/>
          <w:szCs w:val="16"/>
          <w:highlight w:val="lightGray"/>
        </w:rPr>
        <w:t>gemäss EBA/GL/20</w:t>
      </w:r>
      <w:r w:rsidR="00606908">
        <w:rPr>
          <w:rFonts w:cs="Arial"/>
          <w:i/>
          <w:sz w:val="16"/>
          <w:szCs w:val="16"/>
          <w:highlight w:val="lightGray"/>
        </w:rPr>
        <w:t>21/05</w:t>
      </w:r>
      <w:r w:rsidR="00836F15" w:rsidRPr="00B037A6">
        <w:rPr>
          <w:rFonts w:cs="Arial"/>
          <w:i/>
          <w:sz w:val="16"/>
          <w:szCs w:val="16"/>
          <w:highlight w:val="lightGray"/>
        </w:rPr>
        <w:t xml:space="preserve"> </w:t>
      </w:r>
      <w:r w:rsidR="00836F15">
        <w:rPr>
          <w:rFonts w:cs="Arial"/>
          <w:i/>
          <w:sz w:val="16"/>
          <w:szCs w:val="16"/>
          <w:highlight w:val="lightGray"/>
        </w:rPr>
        <w:t>Personen, die</w:t>
      </w:r>
      <w:r w:rsidR="00606908">
        <w:rPr>
          <w:rFonts w:cs="Arial"/>
          <w:i/>
          <w:sz w:val="16"/>
          <w:szCs w:val="16"/>
          <w:highlight w:val="lightGray"/>
        </w:rPr>
        <w:t xml:space="preserve"> erheblichen Einfluss auf die Ausrichtung des Instituts haben, aber keine Mitglieder des Leitungsorgans und kein CEO sind. Zu ihnen zählen die Leiter der internen Kontrollfunktionen und der Finanzvorstand, sofern diese nicht Mitglieder des Leitungsorgans sind, sowie weitere Inhaber von Schlüsselfunktionen, die auf Grundlage eines risikobasierten Ansatzes von den Instituten als solche ermittelt werden. Weitere Inhaber von Schlüsselfunktionen können die Leiter von Geschäftsbereichen, Zweigniederlassungen im EWR/EFTA, Tochtergesellschaften in Drittstaaten oder anderer interner Funktionen sein.</w:t>
      </w:r>
      <w:r w:rsidR="00836F15" w:rsidRPr="00B037A6">
        <w:rPr>
          <w:rFonts w:cs="Arial"/>
          <w:i/>
          <w:sz w:val="16"/>
          <w:szCs w:val="16"/>
          <w:highlight w:val="lightGray"/>
        </w:rPr>
        <w:t>)</w:t>
      </w:r>
      <w:r w:rsidR="00836F15" w:rsidRPr="00B037A6">
        <w:rPr>
          <w:rFonts w:cs="Arial"/>
          <w:i/>
          <w:szCs w:val="20"/>
          <w:highlight w:val="lightGray"/>
        </w:rPr>
        <w:t xml:space="preserve"> </w:t>
      </w:r>
    </w:p>
    <w:p w14:paraId="0A202582" w14:textId="77777777" w:rsidR="00897AEF" w:rsidRPr="00127590" w:rsidRDefault="00127590" w:rsidP="00127590">
      <w:pPr>
        <w:pStyle w:val="Listenabsatz"/>
        <w:numPr>
          <w:ilvl w:val="0"/>
          <w:numId w:val="13"/>
        </w:numPr>
        <w:jc w:val="both"/>
        <w:rPr>
          <w:rFonts w:cs="Arial"/>
          <w:i/>
          <w:szCs w:val="20"/>
          <w:highlight w:val="lightGray"/>
        </w:rPr>
      </w:pPr>
      <w:r w:rsidRPr="000D36E0">
        <w:rPr>
          <w:rFonts w:cs="Arial"/>
          <w:i/>
          <w:szCs w:val="20"/>
          <w:highlight w:val="lightGray"/>
        </w:rPr>
        <w:t>Geschäftsmodell</w:t>
      </w:r>
      <w:r>
        <w:rPr>
          <w:rFonts w:cs="Arial"/>
          <w:i/>
          <w:szCs w:val="20"/>
          <w:highlight w:val="lightGray"/>
        </w:rPr>
        <w:t xml:space="preserve"> und Geschäftsstrategie</w:t>
      </w:r>
    </w:p>
    <w:p w14:paraId="0E4BB0F0" w14:textId="77777777" w:rsidR="000D36E0" w:rsidRDefault="00897AEF" w:rsidP="000D36E0">
      <w:pPr>
        <w:pStyle w:val="Listenabsatz"/>
        <w:numPr>
          <w:ilvl w:val="0"/>
          <w:numId w:val="13"/>
        </w:numPr>
        <w:jc w:val="both"/>
        <w:rPr>
          <w:rFonts w:cs="Arial"/>
          <w:i/>
          <w:szCs w:val="20"/>
          <w:highlight w:val="lightGray"/>
        </w:rPr>
      </w:pPr>
      <w:r w:rsidRPr="000D36E0">
        <w:rPr>
          <w:rFonts w:cs="Arial"/>
          <w:i/>
          <w:szCs w:val="20"/>
          <w:highlight w:val="lightGray"/>
        </w:rPr>
        <w:t>Fusionen, Reorganisationen, Restrukturierungen</w:t>
      </w:r>
      <w:r w:rsidR="000D36E0" w:rsidRPr="000D36E0">
        <w:rPr>
          <w:rFonts w:cs="Arial"/>
          <w:i/>
          <w:szCs w:val="20"/>
          <w:highlight w:val="lightGray"/>
        </w:rPr>
        <w:t>, Delegationen</w:t>
      </w:r>
    </w:p>
    <w:p w14:paraId="08CFB052" w14:textId="77777777" w:rsidR="00E11B81" w:rsidRDefault="00E11B81" w:rsidP="00515AB5">
      <w:pPr>
        <w:jc w:val="both"/>
        <w:rPr>
          <w:rFonts w:ascii="Arial" w:hAnsi="Arial" w:cs="Arial"/>
          <w:i/>
          <w:sz w:val="20"/>
          <w:szCs w:val="20"/>
          <w:highlight w:val="lightGray"/>
        </w:rPr>
      </w:pPr>
    </w:p>
    <w:p w14:paraId="22ABF80E" w14:textId="77777777" w:rsidR="002309A6" w:rsidRDefault="002309A6" w:rsidP="00515AB5">
      <w:pPr>
        <w:jc w:val="both"/>
        <w:rPr>
          <w:rFonts w:ascii="Arial" w:hAnsi="Arial" w:cs="Arial"/>
          <w:i/>
          <w:sz w:val="20"/>
          <w:szCs w:val="20"/>
          <w:highlight w:val="lightGray"/>
        </w:rPr>
      </w:pPr>
    </w:p>
    <w:p w14:paraId="3A5808C1" w14:textId="77777777" w:rsidR="007A36D2" w:rsidRDefault="007A36D2" w:rsidP="006F7AB5">
      <w:pPr>
        <w:pStyle w:val="FINMAGliederungEbene1"/>
      </w:pPr>
      <w:bookmarkStart w:id="18" w:name="_Toc147849873"/>
      <w:r>
        <w:t>Prüfresultate</w:t>
      </w:r>
      <w:bookmarkEnd w:id="18"/>
    </w:p>
    <w:p w14:paraId="5E549B85" w14:textId="77777777" w:rsidR="007A36D2" w:rsidRDefault="007A36D2" w:rsidP="007A36D2">
      <w:pPr>
        <w:jc w:val="both"/>
      </w:pPr>
    </w:p>
    <w:p w14:paraId="6EDF1B20"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Die Revisionsstel</w:t>
      </w:r>
      <w:r w:rsidR="00047F52">
        <w:rPr>
          <w:rFonts w:ascii="Arial" w:hAnsi="Arial" w:cs="Arial"/>
          <w:i/>
          <w:sz w:val="20"/>
          <w:szCs w:val="20"/>
          <w:highlight w:val="lightGray"/>
        </w:rPr>
        <w:t>l</w:t>
      </w:r>
      <w:r w:rsidRPr="00047F52">
        <w:rPr>
          <w:rFonts w:ascii="Arial" w:hAnsi="Arial" w:cs="Arial"/>
          <w:i/>
          <w:sz w:val="20"/>
          <w:szCs w:val="20"/>
          <w:highlight w:val="lightGray"/>
        </w:rPr>
        <w:t xml:space="preserve">e </w:t>
      </w:r>
      <w:r w:rsidR="00515064">
        <w:rPr>
          <w:rFonts w:ascii="Arial" w:hAnsi="Arial" w:cs="Arial"/>
          <w:i/>
          <w:sz w:val="20"/>
          <w:szCs w:val="20"/>
          <w:highlight w:val="lightGray"/>
        </w:rPr>
        <w:t xml:space="preserve">bewertet die Prüfelemente </w:t>
      </w:r>
      <w:r w:rsidRPr="00047F52">
        <w:rPr>
          <w:rFonts w:ascii="Arial" w:hAnsi="Arial" w:cs="Arial"/>
          <w:i/>
          <w:sz w:val="20"/>
          <w:szCs w:val="20"/>
          <w:highlight w:val="lightGray"/>
        </w:rPr>
        <w:t>in Prüfgebieten mit Intervention durch „Ja (</w:t>
      </w:r>
      <w:r w:rsidR="00F546BE">
        <w:rPr>
          <w:rFonts w:ascii="Arial" w:hAnsi="Arial" w:cs="Arial"/>
          <w:i/>
          <w:sz w:val="20"/>
          <w:szCs w:val="20"/>
          <w:highlight w:val="lightGray"/>
        </w:rPr>
        <w:t>Detailprüfung</w:t>
      </w:r>
      <w:r w:rsidRPr="00047F52">
        <w:rPr>
          <w:rFonts w:ascii="Arial" w:hAnsi="Arial" w:cs="Arial"/>
          <w:i/>
          <w:sz w:val="20"/>
          <w:szCs w:val="20"/>
          <w:highlight w:val="lightGray"/>
        </w:rPr>
        <w:t>)“, „Ja (kritische Beurteilung)“ oder „Nein“</w:t>
      </w:r>
      <w:r w:rsidR="00666210">
        <w:rPr>
          <w:rFonts w:ascii="Arial" w:hAnsi="Arial" w:cs="Arial"/>
          <w:i/>
          <w:sz w:val="20"/>
          <w:szCs w:val="20"/>
          <w:highlight w:val="lightGray"/>
        </w:rPr>
        <w:t xml:space="preserve">. </w:t>
      </w:r>
      <w:r w:rsidRPr="00047F52">
        <w:rPr>
          <w:rFonts w:ascii="Arial" w:hAnsi="Arial" w:cs="Arial"/>
          <w:i/>
          <w:sz w:val="20"/>
          <w:szCs w:val="20"/>
          <w:highlight w:val="lightGray"/>
        </w:rPr>
        <w:t>Die</w:t>
      </w:r>
      <w:r w:rsidR="00515064">
        <w:rPr>
          <w:rFonts w:ascii="Arial" w:hAnsi="Arial" w:cs="Arial"/>
          <w:i/>
          <w:sz w:val="20"/>
          <w:szCs w:val="20"/>
          <w:highlight w:val="lightGray"/>
        </w:rPr>
        <w:t xml:space="preserve">se Prüfresultate gelten als </w:t>
      </w:r>
      <w:r w:rsidRPr="00047F52">
        <w:rPr>
          <w:rFonts w:ascii="Arial" w:hAnsi="Arial" w:cs="Arial"/>
          <w:i/>
          <w:sz w:val="20"/>
          <w:szCs w:val="20"/>
          <w:highlight w:val="lightGray"/>
        </w:rPr>
        <w:t xml:space="preserve">Prüfbestätigungen für beide </w:t>
      </w:r>
      <w:r w:rsidR="00515064">
        <w:rPr>
          <w:rFonts w:ascii="Arial" w:hAnsi="Arial" w:cs="Arial"/>
          <w:i/>
          <w:sz w:val="20"/>
          <w:szCs w:val="20"/>
          <w:highlight w:val="lightGray"/>
        </w:rPr>
        <w:t xml:space="preserve">Arten von </w:t>
      </w:r>
      <w:r w:rsidRPr="00047F52">
        <w:rPr>
          <w:rFonts w:ascii="Arial" w:hAnsi="Arial" w:cs="Arial"/>
          <w:i/>
          <w:sz w:val="20"/>
          <w:szCs w:val="20"/>
          <w:highlight w:val="lightGray"/>
        </w:rPr>
        <w:t xml:space="preserve">Prüftiefen (Detailprüfung oder kritische Beurteilung). </w:t>
      </w:r>
      <w:r w:rsidR="00515064">
        <w:rPr>
          <w:rFonts w:ascii="Arial" w:hAnsi="Arial" w:cs="Arial"/>
          <w:i/>
          <w:sz w:val="20"/>
          <w:szCs w:val="20"/>
          <w:highlight w:val="lightGray"/>
        </w:rPr>
        <w:t>Im Falle einer</w:t>
      </w:r>
      <w:r w:rsidRPr="00047F52">
        <w:rPr>
          <w:rFonts w:ascii="Arial" w:hAnsi="Arial" w:cs="Arial"/>
          <w:i/>
          <w:sz w:val="20"/>
          <w:szCs w:val="20"/>
          <w:highlight w:val="lightGray"/>
        </w:rPr>
        <w:t xml:space="preserve"> „kritische</w:t>
      </w:r>
      <w:r w:rsidR="00515064">
        <w:rPr>
          <w:rFonts w:ascii="Arial" w:hAnsi="Arial" w:cs="Arial"/>
          <w:i/>
          <w:sz w:val="20"/>
          <w:szCs w:val="20"/>
          <w:highlight w:val="lightGray"/>
        </w:rPr>
        <w:t>n</w:t>
      </w:r>
      <w:r w:rsidRPr="00047F52">
        <w:rPr>
          <w:rFonts w:ascii="Arial" w:hAnsi="Arial" w:cs="Arial"/>
          <w:i/>
          <w:sz w:val="20"/>
          <w:szCs w:val="20"/>
          <w:highlight w:val="lightGray"/>
        </w:rPr>
        <w:t xml:space="preserve"> Beurteilung“ sind die Bestätigungen unabhängig vom Wortlaut</w:t>
      </w:r>
      <w:r w:rsidR="00B4499A">
        <w:rPr>
          <w:rFonts w:ascii="Arial" w:hAnsi="Arial" w:cs="Arial"/>
          <w:i/>
          <w:sz w:val="20"/>
          <w:szCs w:val="20"/>
          <w:highlight w:val="lightGray"/>
        </w:rPr>
        <w:t xml:space="preserve"> des Prüfelements</w:t>
      </w:r>
      <w:r w:rsidRPr="00047F52">
        <w:rPr>
          <w:rFonts w:ascii="Arial" w:hAnsi="Arial" w:cs="Arial"/>
          <w:i/>
          <w:sz w:val="20"/>
          <w:szCs w:val="20"/>
          <w:highlight w:val="lightGray"/>
        </w:rPr>
        <w:t xml:space="preserve">, als </w:t>
      </w:r>
      <w:r w:rsidR="004805B6" w:rsidRPr="00CB3EE6">
        <w:rPr>
          <w:rFonts w:ascii="Arial" w:hAnsi="Arial" w:cs="Arial"/>
          <w:i/>
          <w:sz w:val="20"/>
          <w:szCs w:val="20"/>
          <w:highlight w:val="lightGray"/>
        </w:rPr>
        <w:t xml:space="preserve">„negative assurance“ </w:t>
      </w:r>
      <w:r w:rsidRPr="00047F52">
        <w:rPr>
          <w:rFonts w:ascii="Arial" w:hAnsi="Arial" w:cs="Arial"/>
          <w:i/>
          <w:sz w:val="20"/>
          <w:szCs w:val="20"/>
          <w:highlight w:val="lightGray"/>
        </w:rPr>
        <w:t>zu verstehen.</w:t>
      </w:r>
    </w:p>
    <w:p w14:paraId="0020845A" w14:textId="77777777" w:rsidR="00047F52" w:rsidRPr="00047F52" w:rsidRDefault="00047F52" w:rsidP="00047F52">
      <w:pPr>
        <w:jc w:val="both"/>
        <w:rPr>
          <w:rFonts w:ascii="Arial" w:hAnsi="Arial" w:cs="Arial"/>
          <w:i/>
          <w:sz w:val="20"/>
          <w:szCs w:val="20"/>
          <w:highlight w:val="lightGray"/>
        </w:rPr>
      </w:pPr>
    </w:p>
    <w:p w14:paraId="7A822F8F" w14:textId="7B282454" w:rsidR="009F06E5" w:rsidRDefault="00C32A65" w:rsidP="00047F52">
      <w:pPr>
        <w:jc w:val="both"/>
        <w:rPr>
          <w:rFonts w:ascii="Arial" w:hAnsi="Arial" w:cs="Arial"/>
          <w:i/>
          <w:sz w:val="20"/>
          <w:szCs w:val="20"/>
          <w:highlight w:val="lightGray"/>
        </w:rPr>
      </w:pPr>
      <w:r>
        <w:rPr>
          <w:rFonts w:ascii="Arial" w:hAnsi="Arial" w:cs="Arial"/>
          <w:i/>
          <w:sz w:val="20"/>
          <w:szCs w:val="20"/>
          <w:highlight w:val="lightGray"/>
        </w:rPr>
        <w:t xml:space="preserve">Die </w:t>
      </w:r>
      <w:r w:rsidR="0013025F">
        <w:rPr>
          <w:rFonts w:ascii="Arial" w:hAnsi="Arial" w:cs="Arial"/>
          <w:i/>
          <w:sz w:val="20"/>
          <w:szCs w:val="20"/>
          <w:highlight w:val="lightGray"/>
        </w:rPr>
        <w:t>Revisi</w:t>
      </w:r>
      <w:r>
        <w:rPr>
          <w:rFonts w:ascii="Arial" w:hAnsi="Arial" w:cs="Arial"/>
          <w:i/>
          <w:sz w:val="20"/>
          <w:szCs w:val="20"/>
          <w:highlight w:val="lightGray"/>
        </w:rPr>
        <w:t xml:space="preserve">onsstelle bewertet die Prüfelemente in Einklang mit den Vorgaben der </w:t>
      </w:r>
      <w:r w:rsidR="00B55575">
        <w:rPr>
          <w:rFonts w:ascii="Arial" w:hAnsi="Arial" w:cs="Arial"/>
          <w:i/>
          <w:sz w:val="20"/>
          <w:szCs w:val="20"/>
          <w:highlight w:val="lightGray"/>
        </w:rPr>
        <w:t>Revisionsprüfungsrichtlinie.</w:t>
      </w:r>
      <w:r w:rsidR="009F06E5">
        <w:rPr>
          <w:rFonts w:ascii="Arial" w:hAnsi="Arial" w:cs="Arial"/>
          <w:i/>
          <w:sz w:val="20"/>
          <w:szCs w:val="20"/>
          <w:highlight w:val="lightGray"/>
        </w:rPr>
        <w:t xml:space="preserve"> Führt die </w:t>
      </w:r>
      <w:r w:rsidR="008321CB">
        <w:rPr>
          <w:rFonts w:ascii="Arial" w:hAnsi="Arial" w:cs="Arial"/>
          <w:i/>
          <w:sz w:val="20"/>
          <w:szCs w:val="20"/>
          <w:highlight w:val="lightGray"/>
        </w:rPr>
        <w:t>Intervention</w:t>
      </w:r>
      <w:r w:rsidR="009F06E5">
        <w:rPr>
          <w:rFonts w:ascii="Arial" w:hAnsi="Arial" w:cs="Arial"/>
          <w:i/>
          <w:sz w:val="20"/>
          <w:szCs w:val="20"/>
          <w:highlight w:val="lightGray"/>
        </w:rPr>
        <w:t xml:space="preserve"> zu einer Beanstandung (siehe Revisionsprüfungsrichtlinie </w:t>
      </w:r>
      <w:r w:rsidR="001719F0">
        <w:rPr>
          <w:rFonts w:ascii="Arial" w:hAnsi="Arial" w:cs="Arial"/>
          <w:i/>
          <w:sz w:val="20"/>
          <w:szCs w:val="20"/>
          <w:highlight w:val="lightGray"/>
        </w:rPr>
        <w:t xml:space="preserve">allgemeiner Teil I </w:t>
      </w:r>
      <w:r w:rsidR="009F06E5">
        <w:rPr>
          <w:rFonts w:ascii="Arial" w:hAnsi="Arial" w:cs="Arial"/>
          <w:i/>
          <w:sz w:val="20"/>
          <w:szCs w:val="20"/>
          <w:highlight w:val="lightGray"/>
        </w:rPr>
        <w:t>Ziff. 10.2), so ist das Prüfresultat mit „Nein“ anzugeben</w:t>
      </w:r>
      <w:r w:rsidR="00706801">
        <w:rPr>
          <w:rFonts w:ascii="Arial" w:hAnsi="Arial" w:cs="Arial"/>
          <w:i/>
          <w:sz w:val="20"/>
          <w:szCs w:val="20"/>
          <w:highlight w:val="lightGray"/>
        </w:rPr>
        <w:t xml:space="preserve"> und eine </w:t>
      </w:r>
      <w:r w:rsidR="00F77736">
        <w:rPr>
          <w:rFonts w:ascii="Arial" w:hAnsi="Arial" w:cs="Arial"/>
          <w:i/>
          <w:sz w:val="20"/>
          <w:szCs w:val="20"/>
          <w:highlight w:val="lightGray"/>
        </w:rPr>
        <w:t xml:space="preserve">angemessene </w:t>
      </w:r>
      <w:r w:rsidR="00706801" w:rsidRPr="00047F52">
        <w:rPr>
          <w:rFonts w:ascii="Arial" w:hAnsi="Arial" w:cs="Arial"/>
          <w:i/>
          <w:sz w:val="20"/>
          <w:szCs w:val="20"/>
          <w:highlight w:val="lightGray"/>
        </w:rPr>
        <w:t xml:space="preserve">Erläuterung </w:t>
      </w:r>
      <w:r w:rsidR="00706801">
        <w:rPr>
          <w:rFonts w:ascii="Arial" w:hAnsi="Arial" w:cs="Arial"/>
          <w:i/>
          <w:sz w:val="20"/>
          <w:szCs w:val="20"/>
          <w:highlight w:val="lightGray"/>
        </w:rPr>
        <w:t xml:space="preserve">inklusive Risikoeinschätzung </w:t>
      </w:r>
      <w:r w:rsidR="00706801" w:rsidRPr="00047F52">
        <w:rPr>
          <w:rFonts w:ascii="Arial" w:hAnsi="Arial" w:cs="Arial"/>
          <w:i/>
          <w:sz w:val="20"/>
          <w:szCs w:val="20"/>
          <w:highlight w:val="lightGray"/>
        </w:rPr>
        <w:t>vor</w:t>
      </w:r>
      <w:r w:rsidR="00706801">
        <w:rPr>
          <w:rFonts w:ascii="Arial" w:hAnsi="Arial" w:cs="Arial"/>
          <w:i/>
          <w:sz w:val="20"/>
          <w:szCs w:val="20"/>
          <w:highlight w:val="lightGray"/>
        </w:rPr>
        <w:t xml:space="preserve">zunehmen. Führt die </w:t>
      </w:r>
      <w:r w:rsidR="008321CB">
        <w:rPr>
          <w:rFonts w:ascii="Arial" w:hAnsi="Arial" w:cs="Arial"/>
          <w:i/>
          <w:sz w:val="20"/>
          <w:szCs w:val="20"/>
          <w:highlight w:val="lightGray"/>
        </w:rPr>
        <w:t>Intervention</w:t>
      </w:r>
      <w:r w:rsidR="00706801">
        <w:rPr>
          <w:rFonts w:ascii="Arial" w:hAnsi="Arial" w:cs="Arial"/>
          <w:i/>
          <w:sz w:val="20"/>
          <w:szCs w:val="20"/>
          <w:highlight w:val="lightGray"/>
        </w:rPr>
        <w:t xml:space="preserve"> zu keiner Beanstandung, so ist </w:t>
      </w:r>
      <w:r w:rsidR="009F06E5">
        <w:rPr>
          <w:rFonts w:ascii="Arial" w:hAnsi="Arial" w:cs="Arial"/>
          <w:i/>
          <w:sz w:val="20"/>
          <w:szCs w:val="20"/>
          <w:highlight w:val="lightGray"/>
        </w:rPr>
        <w:t>„Ja“</w:t>
      </w:r>
      <w:r w:rsidR="00706801">
        <w:rPr>
          <w:rFonts w:ascii="Arial" w:hAnsi="Arial" w:cs="Arial"/>
          <w:i/>
          <w:sz w:val="20"/>
          <w:szCs w:val="20"/>
          <w:highlight w:val="lightGray"/>
        </w:rPr>
        <w:t xml:space="preserve"> anzugeben</w:t>
      </w:r>
      <w:r w:rsidR="009F06E5">
        <w:rPr>
          <w:rFonts w:ascii="Arial" w:hAnsi="Arial" w:cs="Arial"/>
          <w:i/>
          <w:sz w:val="20"/>
          <w:szCs w:val="20"/>
          <w:highlight w:val="lightGray"/>
        </w:rPr>
        <w:t>.</w:t>
      </w:r>
    </w:p>
    <w:p w14:paraId="6F6769FF" w14:textId="77777777" w:rsidR="00047F52" w:rsidRPr="00047F52" w:rsidRDefault="00047F52" w:rsidP="00047F52">
      <w:pPr>
        <w:jc w:val="both"/>
        <w:rPr>
          <w:rFonts w:ascii="Arial" w:hAnsi="Arial" w:cs="Arial"/>
          <w:i/>
          <w:sz w:val="20"/>
          <w:szCs w:val="20"/>
          <w:highlight w:val="lightGray"/>
        </w:rPr>
      </w:pPr>
    </w:p>
    <w:p w14:paraId="6D5A5D2F" w14:textId="05A5EE22" w:rsidR="00880C53" w:rsidRDefault="00880C53" w:rsidP="00047F52">
      <w:pPr>
        <w:jc w:val="both"/>
        <w:rPr>
          <w:rFonts w:ascii="Arial" w:hAnsi="Arial" w:cs="Arial"/>
          <w:i/>
          <w:sz w:val="20"/>
          <w:szCs w:val="20"/>
          <w:highlight w:val="lightGray"/>
        </w:rPr>
      </w:pPr>
      <w:r>
        <w:rPr>
          <w:rFonts w:ascii="Arial" w:hAnsi="Arial" w:cs="Arial"/>
          <w:i/>
          <w:sz w:val="20"/>
          <w:szCs w:val="20"/>
          <w:highlight w:val="lightGray"/>
        </w:rPr>
        <w:t>Liegen die Voraussetzungen für eine Empfehlung vor (</w:t>
      </w:r>
      <w:r w:rsidR="006F1862">
        <w:rPr>
          <w:rFonts w:ascii="Arial" w:hAnsi="Arial" w:cs="Arial"/>
          <w:i/>
          <w:sz w:val="20"/>
          <w:szCs w:val="20"/>
          <w:highlight w:val="lightGray"/>
        </w:rPr>
        <w:t xml:space="preserve">siehe Revisionsprüfungsrichtlinie </w:t>
      </w:r>
      <w:r w:rsidR="001719F0">
        <w:rPr>
          <w:rFonts w:ascii="Arial" w:hAnsi="Arial" w:cs="Arial"/>
          <w:i/>
          <w:sz w:val="20"/>
          <w:szCs w:val="20"/>
          <w:highlight w:val="lightGray"/>
        </w:rPr>
        <w:t xml:space="preserve">allgemeiner Teil I </w:t>
      </w:r>
      <w:r w:rsidR="006F1862">
        <w:rPr>
          <w:rFonts w:ascii="Arial" w:hAnsi="Arial" w:cs="Arial"/>
          <w:i/>
          <w:sz w:val="20"/>
          <w:szCs w:val="20"/>
          <w:highlight w:val="lightGray"/>
        </w:rPr>
        <w:t>Ziff. 10.2</w:t>
      </w:r>
      <w:r>
        <w:rPr>
          <w:rFonts w:ascii="Arial" w:hAnsi="Arial" w:cs="Arial"/>
          <w:i/>
          <w:sz w:val="20"/>
          <w:szCs w:val="20"/>
          <w:highlight w:val="lightGray"/>
        </w:rPr>
        <w:t>),</w:t>
      </w:r>
      <w:r w:rsidR="006F1862">
        <w:rPr>
          <w:rFonts w:ascii="Arial" w:hAnsi="Arial" w:cs="Arial"/>
          <w:i/>
          <w:sz w:val="20"/>
          <w:szCs w:val="20"/>
          <w:highlight w:val="lightGray"/>
        </w:rPr>
        <w:t xml:space="preserve"> </w:t>
      </w:r>
      <w:r>
        <w:rPr>
          <w:rFonts w:ascii="Arial" w:hAnsi="Arial" w:cs="Arial"/>
          <w:i/>
          <w:sz w:val="20"/>
          <w:szCs w:val="20"/>
          <w:highlight w:val="lightGray"/>
        </w:rPr>
        <w:t xml:space="preserve">so hat die Revisionsstelle eine </w:t>
      </w:r>
      <w:r w:rsidR="00F77736">
        <w:rPr>
          <w:rFonts w:ascii="Arial" w:hAnsi="Arial" w:cs="Arial"/>
          <w:i/>
          <w:sz w:val="20"/>
          <w:szCs w:val="20"/>
          <w:highlight w:val="lightGray"/>
        </w:rPr>
        <w:t>kurze</w:t>
      </w:r>
      <w:r>
        <w:rPr>
          <w:rFonts w:ascii="Arial" w:hAnsi="Arial" w:cs="Arial"/>
          <w:i/>
          <w:sz w:val="20"/>
          <w:szCs w:val="20"/>
          <w:highlight w:val="lightGray"/>
        </w:rPr>
        <w:t xml:space="preserve"> </w:t>
      </w:r>
      <w:r w:rsidRPr="00047F52">
        <w:rPr>
          <w:rFonts w:ascii="Arial" w:hAnsi="Arial" w:cs="Arial"/>
          <w:i/>
          <w:sz w:val="20"/>
          <w:szCs w:val="20"/>
          <w:highlight w:val="lightGray"/>
        </w:rPr>
        <w:t xml:space="preserve">Erläuterung </w:t>
      </w:r>
      <w:r>
        <w:rPr>
          <w:rFonts w:ascii="Arial" w:hAnsi="Arial" w:cs="Arial"/>
          <w:i/>
          <w:sz w:val="20"/>
          <w:szCs w:val="20"/>
          <w:highlight w:val="lightGray"/>
        </w:rPr>
        <w:t xml:space="preserve">inklusive Risikoeinschätzung </w:t>
      </w:r>
      <w:r w:rsidRPr="00047F52">
        <w:rPr>
          <w:rFonts w:ascii="Arial" w:hAnsi="Arial" w:cs="Arial"/>
          <w:i/>
          <w:sz w:val="20"/>
          <w:szCs w:val="20"/>
          <w:highlight w:val="lightGray"/>
        </w:rPr>
        <w:t>vor</w:t>
      </w:r>
      <w:r>
        <w:rPr>
          <w:rFonts w:ascii="Arial" w:hAnsi="Arial" w:cs="Arial"/>
          <w:i/>
          <w:sz w:val="20"/>
          <w:szCs w:val="20"/>
          <w:highlight w:val="lightGray"/>
        </w:rPr>
        <w:t>zunehmen.</w:t>
      </w:r>
    </w:p>
    <w:p w14:paraId="49AD3BC2" w14:textId="15DA5E2A" w:rsidR="001E12FA" w:rsidRDefault="001E12FA" w:rsidP="00047F52">
      <w:pPr>
        <w:jc w:val="both"/>
        <w:rPr>
          <w:rFonts w:ascii="Arial" w:hAnsi="Arial" w:cs="Arial"/>
          <w:i/>
          <w:sz w:val="20"/>
          <w:szCs w:val="20"/>
          <w:highlight w:val="lightGray"/>
        </w:rPr>
      </w:pPr>
    </w:p>
    <w:p w14:paraId="755B3F2E" w14:textId="374BE0C3" w:rsidR="001E12FA" w:rsidRDefault="001E12FA" w:rsidP="00047F52">
      <w:pPr>
        <w:jc w:val="both"/>
        <w:rPr>
          <w:rFonts w:ascii="Arial" w:hAnsi="Arial" w:cs="Arial"/>
          <w:i/>
          <w:sz w:val="20"/>
          <w:szCs w:val="20"/>
          <w:highlight w:val="lightGray"/>
        </w:rPr>
      </w:pPr>
      <w:r>
        <w:rPr>
          <w:rFonts w:ascii="Arial" w:hAnsi="Arial" w:cs="Arial"/>
          <w:i/>
          <w:sz w:val="20"/>
          <w:szCs w:val="20"/>
          <w:highlight w:val="lightGray"/>
        </w:rPr>
        <w:t>Die Erläuterungen bei Prüfgebieten mit Beanstandungen müssen mind. Folgendes enthalten: Nachvollziehbare Angaben zu Ist- und Soll-Sachverhalten mit Gesetzesreferenzierungen; genaue zeitliche Angabe zum Sachverhalt</w:t>
      </w:r>
      <w:r w:rsidR="0089530E">
        <w:rPr>
          <w:rFonts w:ascii="Arial" w:hAnsi="Arial" w:cs="Arial"/>
          <w:i/>
          <w:sz w:val="20"/>
          <w:szCs w:val="20"/>
          <w:highlight w:val="lightGray"/>
        </w:rPr>
        <w:t xml:space="preserve"> (Zeitraum)</w:t>
      </w:r>
      <w:r>
        <w:rPr>
          <w:rFonts w:ascii="Arial" w:hAnsi="Arial" w:cs="Arial"/>
          <w:i/>
          <w:sz w:val="20"/>
          <w:szCs w:val="20"/>
          <w:highlight w:val="lightGray"/>
        </w:rPr>
        <w:t xml:space="preserve">, </w:t>
      </w:r>
      <w:r w:rsidR="0089530E">
        <w:rPr>
          <w:rFonts w:ascii="Arial" w:hAnsi="Arial" w:cs="Arial"/>
          <w:i/>
          <w:sz w:val="20"/>
          <w:szCs w:val="20"/>
          <w:highlight w:val="lightGray"/>
        </w:rPr>
        <w:t xml:space="preserve">Zuständigkeit </w:t>
      </w:r>
      <w:r>
        <w:rPr>
          <w:rFonts w:ascii="Arial" w:hAnsi="Arial" w:cs="Arial"/>
          <w:i/>
          <w:sz w:val="20"/>
          <w:szCs w:val="20"/>
          <w:highlight w:val="lightGray"/>
        </w:rPr>
        <w:t xml:space="preserve">innerhalb der </w:t>
      </w:r>
      <w:r w:rsidR="00F83287" w:rsidRPr="00C44852">
        <w:rPr>
          <w:rFonts w:ascii="Arial" w:hAnsi="Arial" w:cs="Arial"/>
          <w:i/>
          <w:sz w:val="20"/>
          <w:szCs w:val="20"/>
          <w:highlight w:val="lightGray"/>
        </w:rPr>
        <w:t>Bank</w:t>
      </w:r>
      <w:r w:rsidR="00F83287">
        <w:rPr>
          <w:rFonts w:ascii="Arial" w:hAnsi="Arial" w:cs="Arial"/>
          <w:i/>
          <w:sz w:val="20"/>
          <w:szCs w:val="20"/>
          <w:highlight w:val="lightGray"/>
        </w:rPr>
        <w:t>, Wertpapierfirma</w:t>
      </w:r>
      <w:r w:rsidR="00D71E0B">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F83287" w:rsidRPr="00B36817">
        <w:rPr>
          <w:rFonts w:ascii="Arial" w:hAnsi="Arial" w:cs="Arial"/>
          <w:i/>
          <w:sz w:val="20"/>
          <w:szCs w:val="20"/>
          <w:highlight w:val="lightGray"/>
        </w:rPr>
        <w:t>bzw. Gruppe</w:t>
      </w:r>
      <w:r w:rsidR="00F83287" w:rsidDel="00F83287">
        <w:rPr>
          <w:rFonts w:ascii="Arial" w:hAnsi="Arial" w:cs="Arial"/>
          <w:i/>
          <w:sz w:val="20"/>
          <w:szCs w:val="20"/>
          <w:highlight w:val="lightGray"/>
        </w:rPr>
        <w:t xml:space="preserve"> </w:t>
      </w:r>
      <w:r>
        <w:rPr>
          <w:rFonts w:ascii="Arial" w:hAnsi="Arial" w:cs="Arial"/>
          <w:i/>
          <w:sz w:val="20"/>
          <w:szCs w:val="20"/>
          <w:highlight w:val="lightGray"/>
        </w:rPr>
        <w:t>und zugrundeliegende Quellen für die resultierende Beanstandung</w:t>
      </w:r>
      <w:r w:rsidR="0089530E">
        <w:rPr>
          <w:rFonts w:ascii="Arial" w:hAnsi="Arial" w:cs="Arial"/>
          <w:i/>
          <w:sz w:val="20"/>
          <w:szCs w:val="20"/>
          <w:highlight w:val="lightGray"/>
        </w:rPr>
        <w:t xml:space="preserve"> (Nachweise)</w:t>
      </w:r>
      <w:r>
        <w:rPr>
          <w:rFonts w:ascii="Arial" w:hAnsi="Arial" w:cs="Arial"/>
          <w:i/>
          <w:sz w:val="20"/>
          <w:szCs w:val="20"/>
          <w:highlight w:val="lightGray"/>
        </w:rPr>
        <w:t>.</w:t>
      </w:r>
    </w:p>
    <w:p w14:paraId="3EB5D686" w14:textId="77777777" w:rsidR="00047F52" w:rsidRPr="00047F52" w:rsidRDefault="00047F52" w:rsidP="00047F52">
      <w:pPr>
        <w:jc w:val="both"/>
        <w:rPr>
          <w:rFonts w:ascii="Arial" w:hAnsi="Arial" w:cs="Arial"/>
          <w:i/>
          <w:sz w:val="20"/>
          <w:szCs w:val="20"/>
          <w:highlight w:val="lightGray"/>
        </w:rPr>
      </w:pPr>
    </w:p>
    <w:p w14:paraId="60F3B5A9" w14:textId="77777777"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Eine Abstützung auf </w:t>
      </w:r>
      <w:r w:rsidR="00103265">
        <w:rPr>
          <w:rFonts w:ascii="Arial" w:hAnsi="Arial" w:cs="Arial"/>
          <w:i/>
          <w:sz w:val="20"/>
          <w:szCs w:val="20"/>
          <w:highlight w:val="lightGray"/>
        </w:rPr>
        <w:t>Ergebnisse</w:t>
      </w:r>
      <w:r w:rsidR="00103265" w:rsidRPr="00047F52">
        <w:rPr>
          <w:rFonts w:ascii="Arial" w:hAnsi="Arial" w:cs="Arial"/>
          <w:i/>
          <w:sz w:val="20"/>
          <w:szCs w:val="20"/>
          <w:highlight w:val="lightGray"/>
        </w:rPr>
        <w:t xml:space="preserve"> </w:t>
      </w:r>
      <w:r w:rsidRPr="00047F52">
        <w:rPr>
          <w:rFonts w:ascii="Arial" w:hAnsi="Arial" w:cs="Arial"/>
          <w:i/>
          <w:sz w:val="20"/>
          <w:szCs w:val="20"/>
          <w:highlight w:val="lightGray"/>
        </w:rPr>
        <w:t xml:space="preserve">der internen Revision ist im jeweiligen Prüfgebiet auszuweisen und </w:t>
      </w:r>
      <w:r w:rsidR="00103265">
        <w:rPr>
          <w:rFonts w:ascii="Arial" w:hAnsi="Arial" w:cs="Arial"/>
          <w:i/>
          <w:sz w:val="20"/>
          <w:szCs w:val="20"/>
          <w:highlight w:val="lightGray"/>
        </w:rPr>
        <w:t xml:space="preserve">selbstständig </w:t>
      </w:r>
      <w:r w:rsidRPr="00047F52">
        <w:rPr>
          <w:rFonts w:ascii="Arial" w:hAnsi="Arial" w:cs="Arial"/>
          <w:i/>
          <w:sz w:val="20"/>
          <w:szCs w:val="20"/>
          <w:highlight w:val="lightGray"/>
        </w:rPr>
        <w:t xml:space="preserve">zu würdigen. Es ist anzugeben, in welchem Umfang die </w:t>
      </w:r>
      <w:r w:rsidR="00DC5168">
        <w:rPr>
          <w:rFonts w:ascii="Arial" w:hAnsi="Arial" w:cs="Arial"/>
          <w:i/>
          <w:sz w:val="20"/>
          <w:szCs w:val="20"/>
          <w:highlight w:val="lightGray"/>
        </w:rPr>
        <w:t>I</w:t>
      </w:r>
      <w:r w:rsidRPr="00047F52">
        <w:rPr>
          <w:rFonts w:ascii="Arial" w:hAnsi="Arial" w:cs="Arial"/>
          <w:i/>
          <w:sz w:val="20"/>
          <w:szCs w:val="20"/>
          <w:highlight w:val="lightGray"/>
        </w:rPr>
        <w:t xml:space="preserve">nterne Revision </w:t>
      </w:r>
      <w:r w:rsidR="00D944DE">
        <w:rPr>
          <w:rFonts w:ascii="Arial" w:hAnsi="Arial" w:cs="Arial"/>
          <w:i/>
          <w:sz w:val="20"/>
          <w:szCs w:val="20"/>
          <w:highlight w:val="lightGray"/>
        </w:rPr>
        <w:t>Prüfungshandlungen</w:t>
      </w:r>
      <w:r w:rsidR="00D944DE" w:rsidRPr="00047F52">
        <w:rPr>
          <w:rFonts w:ascii="Arial" w:hAnsi="Arial" w:cs="Arial"/>
          <w:i/>
          <w:sz w:val="20"/>
          <w:szCs w:val="20"/>
          <w:highlight w:val="lightGray"/>
        </w:rPr>
        <w:t xml:space="preserve"> </w:t>
      </w:r>
      <w:r w:rsidRPr="00047F52">
        <w:rPr>
          <w:rFonts w:ascii="Arial" w:hAnsi="Arial" w:cs="Arial"/>
          <w:i/>
          <w:sz w:val="20"/>
          <w:szCs w:val="20"/>
          <w:highlight w:val="lightGray"/>
        </w:rPr>
        <w:t>durchgeführt hat und zu welchem Ergebnis sie dabei gekommen ist.</w:t>
      </w:r>
      <w:r w:rsidR="00094143">
        <w:rPr>
          <w:rFonts w:ascii="Arial" w:hAnsi="Arial" w:cs="Arial"/>
          <w:i/>
          <w:sz w:val="20"/>
          <w:szCs w:val="20"/>
          <w:highlight w:val="lightGray"/>
        </w:rPr>
        <w:t xml:space="preserve"> </w:t>
      </w:r>
    </w:p>
    <w:p w14:paraId="008CEC37" w14:textId="77777777" w:rsidR="00047F52" w:rsidRPr="00047F52" w:rsidRDefault="00047F52" w:rsidP="00047F52">
      <w:pPr>
        <w:jc w:val="both"/>
        <w:rPr>
          <w:rFonts w:ascii="Arial" w:hAnsi="Arial" w:cs="Arial"/>
          <w:i/>
          <w:sz w:val="20"/>
          <w:szCs w:val="20"/>
          <w:highlight w:val="lightGray"/>
        </w:rPr>
      </w:pPr>
    </w:p>
    <w:p w14:paraId="394EA8F6" w14:textId="379A2B96" w:rsidR="007A36D2" w:rsidRDefault="007A36D2" w:rsidP="00047F52">
      <w:pPr>
        <w:jc w:val="both"/>
        <w:rPr>
          <w:rFonts w:ascii="Arial" w:hAnsi="Arial" w:cs="Arial"/>
          <w:i/>
          <w:sz w:val="20"/>
          <w:szCs w:val="20"/>
          <w:highlight w:val="lightGray"/>
        </w:rPr>
      </w:pPr>
      <w:r w:rsidRPr="00047F52">
        <w:rPr>
          <w:rFonts w:ascii="Arial" w:hAnsi="Arial" w:cs="Arial"/>
          <w:i/>
          <w:sz w:val="20"/>
          <w:szCs w:val="20"/>
          <w:highlight w:val="lightGray"/>
        </w:rPr>
        <w:t xml:space="preserve">In den nachfolgenden Kapiteln nimmt die </w:t>
      </w:r>
      <w:r w:rsidR="00047F52">
        <w:rPr>
          <w:rFonts w:ascii="Arial" w:hAnsi="Arial" w:cs="Arial"/>
          <w:i/>
          <w:sz w:val="20"/>
          <w:szCs w:val="20"/>
          <w:highlight w:val="lightGray"/>
        </w:rPr>
        <w:t>Revisionsstelle</w:t>
      </w:r>
      <w:r w:rsidRPr="00047F52">
        <w:rPr>
          <w:rFonts w:ascii="Arial" w:hAnsi="Arial" w:cs="Arial"/>
          <w:i/>
          <w:sz w:val="20"/>
          <w:szCs w:val="20"/>
          <w:highlight w:val="lightGray"/>
        </w:rPr>
        <w:t xml:space="preserve"> Stellung zu den einzelnen Prüfgebieten gemäss </w:t>
      </w:r>
      <w:r w:rsidR="00FD03D6">
        <w:rPr>
          <w:rFonts w:ascii="Arial" w:hAnsi="Arial" w:cs="Arial"/>
          <w:i/>
          <w:sz w:val="20"/>
          <w:szCs w:val="20"/>
          <w:highlight w:val="lightGray"/>
        </w:rPr>
        <w:t xml:space="preserve">der </w:t>
      </w:r>
      <w:r w:rsidR="0030349B">
        <w:rPr>
          <w:rFonts w:ascii="Arial" w:hAnsi="Arial" w:cs="Arial"/>
          <w:i/>
          <w:sz w:val="20"/>
          <w:szCs w:val="20"/>
          <w:highlight w:val="lightGray"/>
        </w:rPr>
        <w:t>Prüfstrategie</w:t>
      </w:r>
      <w:r w:rsidRPr="00047F52">
        <w:rPr>
          <w:rFonts w:ascii="Arial" w:hAnsi="Arial" w:cs="Arial"/>
          <w:i/>
          <w:sz w:val="20"/>
          <w:szCs w:val="20"/>
          <w:highlight w:val="lightGray"/>
        </w:rPr>
        <w:t xml:space="preserve">. Allfällige spezifische Vorgaben der </w:t>
      </w:r>
      <w:r w:rsidR="0030349B">
        <w:rPr>
          <w:rFonts w:ascii="Arial" w:hAnsi="Arial" w:cs="Arial"/>
          <w:i/>
          <w:sz w:val="20"/>
          <w:szCs w:val="20"/>
          <w:highlight w:val="lightGray"/>
        </w:rPr>
        <w:t>FMA</w:t>
      </w:r>
      <w:r w:rsidRPr="00047F52">
        <w:rPr>
          <w:rFonts w:ascii="Arial" w:hAnsi="Arial" w:cs="Arial"/>
          <w:i/>
          <w:sz w:val="20"/>
          <w:szCs w:val="20"/>
          <w:highlight w:val="lightGray"/>
        </w:rPr>
        <w:t xml:space="preserve"> </w:t>
      </w:r>
      <w:r w:rsidR="000B20E4">
        <w:rPr>
          <w:rFonts w:ascii="Arial" w:hAnsi="Arial" w:cs="Arial"/>
          <w:i/>
          <w:sz w:val="20"/>
          <w:szCs w:val="20"/>
          <w:highlight w:val="lightGray"/>
        </w:rPr>
        <w:t>sind durch die Revisionsstelle zu</w:t>
      </w:r>
      <w:r w:rsidR="000B20E4" w:rsidRPr="00047F52">
        <w:rPr>
          <w:rFonts w:ascii="Arial" w:hAnsi="Arial" w:cs="Arial"/>
          <w:i/>
          <w:sz w:val="20"/>
          <w:szCs w:val="20"/>
          <w:highlight w:val="lightGray"/>
        </w:rPr>
        <w:t xml:space="preserve"> </w:t>
      </w:r>
      <w:r w:rsidRPr="00047F52">
        <w:rPr>
          <w:rFonts w:ascii="Arial" w:hAnsi="Arial" w:cs="Arial"/>
          <w:i/>
          <w:sz w:val="20"/>
          <w:szCs w:val="20"/>
          <w:highlight w:val="lightGray"/>
        </w:rPr>
        <w:t>berücksichtig</w:t>
      </w:r>
      <w:r w:rsidR="000B20E4">
        <w:rPr>
          <w:rFonts w:ascii="Arial" w:hAnsi="Arial" w:cs="Arial"/>
          <w:i/>
          <w:sz w:val="20"/>
          <w:szCs w:val="20"/>
          <w:highlight w:val="lightGray"/>
        </w:rPr>
        <w:t>en</w:t>
      </w:r>
      <w:r w:rsidRPr="00047F52">
        <w:rPr>
          <w:rFonts w:ascii="Arial" w:hAnsi="Arial" w:cs="Arial"/>
          <w:i/>
          <w:sz w:val="20"/>
          <w:szCs w:val="20"/>
          <w:highlight w:val="lightGray"/>
        </w:rPr>
        <w:t>.</w:t>
      </w:r>
      <w:r w:rsidR="00E109DF">
        <w:rPr>
          <w:rFonts w:ascii="Arial" w:hAnsi="Arial" w:cs="Arial"/>
          <w:i/>
          <w:sz w:val="20"/>
          <w:szCs w:val="20"/>
          <w:highlight w:val="lightGray"/>
        </w:rPr>
        <w:t xml:space="preserve"> </w:t>
      </w:r>
    </w:p>
    <w:p w14:paraId="19B4BAF0" w14:textId="77777777" w:rsidR="00047F52" w:rsidRPr="00047F52" w:rsidRDefault="00047F52" w:rsidP="00047F52">
      <w:pPr>
        <w:jc w:val="both"/>
        <w:rPr>
          <w:rFonts w:ascii="Arial" w:hAnsi="Arial" w:cs="Arial"/>
          <w:i/>
          <w:sz w:val="20"/>
          <w:szCs w:val="20"/>
          <w:highlight w:val="lightGray"/>
        </w:rPr>
      </w:pPr>
    </w:p>
    <w:p w14:paraId="457458C3" w14:textId="4F453206" w:rsidR="00EC06B1" w:rsidRDefault="0030349B" w:rsidP="00047F52">
      <w:pPr>
        <w:jc w:val="both"/>
        <w:rPr>
          <w:rFonts w:ascii="Arial" w:hAnsi="Arial" w:cs="Arial"/>
          <w:i/>
          <w:sz w:val="20"/>
          <w:szCs w:val="20"/>
          <w:highlight w:val="lightGray"/>
        </w:rPr>
      </w:pPr>
      <w:r>
        <w:rPr>
          <w:rFonts w:ascii="Arial" w:hAnsi="Arial" w:cs="Arial"/>
          <w:i/>
          <w:sz w:val="20"/>
          <w:szCs w:val="20"/>
          <w:highlight w:val="lightGray"/>
        </w:rPr>
        <w:t>Sofern im</w:t>
      </w:r>
      <w:r w:rsidR="007A36D2" w:rsidRPr="00047F52">
        <w:rPr>
          <w:rFonts w:ascii="Arial" w:hAnsi="Arial" w:cs="Arial"/>
          <w:i/>
          <w:sz w:val="20"/>
          <w:szCs w:val="20"/>
          <w:highlight w:val="lightGray"/>
        </w:rPr>
        <w:t xml:space="preserve"> Berichtsjahr i</w:t>
      </w:r>
      <w:r>
        <w:rPr>
          <w:rFonts w:ascii="Arial" w:hAnsi="Arial" w:cs="Arial"/>
          <w:i/>
          <w:sz w:val="20"/>
          <w:szCs w:val="20"/>
          <w:highlight w:val="lightGray"/>
        </w:rPr>
        <w:t>n einem Prüfgebiet bzw. -</w:t>
      </w:r>
      <w:r w:rsidR="007A36D2" w:rsidRPr="00047F52">
        <w:rPr>
          <w:rFonts w:ascii="Arial" w:hAnsi="Arial" w:cs="Arial"/>
          <w:i/>
          <w:sz w:val="20"/>
          <w:szCs w:val="20"/>
          <w:highlight w:val="lightGray"/>
        </w:rPr>
        <w:t xml:space="preserve">feld keine Intervention erfolgte, </w:t>
      </w:r>
      <w:r>
        <w:rPr>
          <w:rFonts w:ascii="Arial" w:hAnsi="Arial" w:cs="Arial"/>
          <w:i/>
          <w:sz w:val="20"/>
          <w:szCs w:val="20"/>
          <w:highlight w:val="lightGray"/>
        </w:rPr>
        <w:t>müssen diese nicht im Bericht aufgeführt werden</w:t>
      </w:r>
      <w:r w:rsidR="00E962D3">
        <w:rPr>
          <w:rFonts w:ascii="Arial" w:hAnsi="Arial" w:cs="Arial"/>
          <w:i/>
          <w:sz w:val="20"/>
          <w:szCs w:val="20"/>
          <w:highlight w:val="lightGray"/>
        </w:rPr>
        <w:t>, wobei die entsprechende Berichtsziffer inkl. den Formatvorlagen gelöscht werden kann.</w:t>
      </w:r>
    </w:p>
    <w:p w14:paraId="1B7E06EF" w14:textId="77777777" w:rsidR="00EC06B1" w:rsidRDefault="00EC06B1" w:rsidP="00047F52">
      <w:pPr>
        <w:jc w:val="both"/>
        <w:rPr>
          <w:rFonts w:ascii="Arial" w:hAnsi="Arial" w:cs="Arial"/>
          <w:i/>
          <w:sz w:val="20"/>
          <w:szCs w:val="20"/>
          <w:highlight w:val="lightGray"/>
        </w:rPr>
      </w:pPr>
    </w:p>
    <w:p w14:paraId="4CDCCD59" w14:textId="32ED1E5F" w:rsidR="0030349B" w:rsidRDefault="008C2C78" w:rsidP="00047F52">
      <w:pPr>
        <w:jc w:val="both"/>
        <w:rPr>
          <w:rFonts w:ascii="Arial" w:hAnsi="Arial" w:cs="Arial"/>
          <w:i/>
          <w:sz w:val="20"/>
          <w:szCs w:val="20"/>
          <w:highlight w:val="lightGray"/>
        </w:rPr>
      </w:pPr>
      <w:r>
        <w:rPr>
          <w:rFonts w:ascii="Arial" w:hAnsi="Arial" w:cs="Arial"/>
          <w:i/>
          <w:sz w:val="20"/>
          <w:szCs w:val="20"/>
          <w:highlight w:val="lightGray"/>
        </w:rPr>
        <w:lastRenderedPageBreak/>
        <w:t xml:space="preserve">Für Prüfgebiete bzw. </w:t>
      </w:r>
      <w:r w:rsidR="00BF3D88">
        <w:rPr>
          <w:rFonts w:ascii="Arial" w:hAnsi="Arial" w:cs="Arial"/>
          <w:i/>
          <w:sz w:val="20"/>
          <w:szCs w:val="20"/>
          <w:highlight w:val="lightGray"/>
        </w:rPr>
        <w:t>-</w:t>
      </w:r>
      <w:r>
        <w:rPr>
          <w:rFonts w:ascii="Arial" w:hAnsi="Arial" w:cs="Arial"/>
          <w:i/>
          <w:sz w:val="20"/>
          <w:szCs w:val="20"/>
          <w:highlight w:val="lightGray"/>
        </w:rPr>
        <w:t xml:space="preserve">felder, welche im Berichtsjahr mittels Detailprüfung geprüft wurden, sind zwingend </w:t>
      </w:r>
      <w:r w:rsidR="00DD1307">
        <w:rPr>
          <w:rFonts w:ascii="Arial" w:hAnsi="Arial" w:cs="Arial"/>
          <w:i/>
          <w:sz w:val="20"/>
          <w:szCs w:val="20"/>
          <w:highlight w:val="lightGray"/>
        </w:rPr>
        <w:t xml:space="preserve">aussagekräftige Erläuterungen aufzuführen. </w:t>
      </w:r>
      <w:r w:rsidR="0030349B">
        <w:rPr>
          <w:rFonts w:ascii="Arial" w:hAnsi="Arial" w:cs="Arial"/>
          <w:i/>
          <w:sz w:val="20"/>
          <w:szCs w:val="20"/>
          <w:highlight w:val="lightGray"/>
        </w:rPr>
        <w:t>Jene</w:t>
      </w:r>
      <w:r w:rsidR="00EC06B1">
        <w:rPr>
          <w:rFonts w:ascii="Arial" w:hAnsi="Arial" w:cs="Arial"/>
          <w:i/>
          <w:sz w:val="20"/>
          <w:szCs w:val="20"/>
          <w:highlight w:val="lightGray"/>
        </w:rPr>
        <w:t xml:space="preserve"> Prüfgebiete</w:t>
      </w:r>
      <w:r w:rsidR="0030349B">
        <w:rPr>
          <w:rFonts w:ascii="Arial" w:hAnsi="Arial" w:cs="Arial"/>
          <w:i/>
          <w:sz w:val="20"/>
          <w:szCs w:val="20"/>
          <w:highlight w:val="lightGray"/>
        </w:rPr>
        <w:t xml:space="preserve"> bzw. </w:t>
      </w:r>
      <w:r w:rsidR="00BF3D88">
        <w:rPr>
          <w:rFonts w:ascii="Arial" w:hAnsi="Arial" w:cs="Arial"/>
          <w:i/>
          <w:sz w:val="20"/>
          <w:szCs w:val="20"/>
          <w:highlight w:val="lightGray"/>
        </w:rPr>
        <w:t>-</w:t>
      </w:r>
      <w:r w:rsidR="00EC06B1">
        <w:rPr>
          <w:rFonts w:ascii="Arial" w:hAnsi="Arial" w:cs="Arial"/>
          <w:i/>
          <w:sz w:val="20"/>
          <w:szCs w:val="20"/>
          <w:highlight w:val="lightGray"/>
        </w:rPr>
        <w:t>felder</w:t>
      </w:r>
      <w:r w:rsidR="0030349B">
        <w:rPr>
          <w:rFonts w:ascii="Arial" w:hAnsi="Arial" w:cs="Arial"/>
          <w:i/>
          <w:sz w:val="20"/>
          <w:szCs w:val="20"/>
          <w:highlight w:val="lightGray"/>
        </w:rPr>
        <w:t xml:space="preserve">, </w:t>
      </w:r>
      <w:r w:rsidR="00EC06B1">
        <w:rPr>
          <w:rFonts w:ascii="Arial" w:hAnsi="Arial" w:cs="Arial"/>
          <w:i/>
          <w:sz w:val="20"/>
          <w:szCs w:val="20"/>
          <w:highlight w:val="lightGray"/>
        </w:rPr>
        <w:t>hinsichtlich welcher</w:t>
      </w:r>
      <w:r w:rsidR="0030349B">
        <w:rPr>
          <w:rFonts w:ascii="Arial" w:hAnsi="Arial" w:cs="Arial"/>
          <w:i/>
          <w:sz w:val="20"/>
          <w:szCs w:val="20"/>
          <w:highlight w:val="lightGray"/>
        </w:rPr>
        <w:t xml:space="preserve"> im Berichtjahr</w:t>
      </w:r>
      <w:r w:rsidR="00EC06B1">
        <w:rPr>
          <w:rFonts w:ascii="Arial" w:hAnsi="Arial" w:cs="Arial"/>
          <w:i/>
          <w:sz w:val="20"/>
          <w:szCs w:val="20"/>
          <w:highlight w:val="lightGray"/>
        </w:rPr>
        <w:t xml:space="preserve"> eine kritische Beurteilung</w:t>
      </w:r>
      <w:r w:rsidR="0030349B">
        <w:rPr>
          <w:rFonts w:ascii="Arial" w:hAnsi="Arial" w:cs="Arial"/>
          <w:i/>
          <w:sz w:val="20"/>
          <w:szCs w:val="20"/>
          <w:highlight w:val="lightGray"/>
        </w:rPr>
        <w:t xml:space="preserve"> durchgefüh</w:t>
      </w:r>
      <w:r w:rsidR="00EC06B1">
        <w:rPr>
          <w:rFonts w:ascii="Arial" w:hAnsi="Arial" w:cs="Arial"/>
          <w:i/>
          <w:sz w:val="20"/>
          <w:szCs w:val="20"/>
          <w:highlight w:val="lightGray"/>
        </w:rPr>
        <w:t>r</w:t>
      </w:r>
      <w:r w:rsidR="0030349B">
        <w:rPr>
          <w:rFonts w:ascii="Arial" w:hAnsi="Arial" w:cs="Arial"/>
          <w:i/>
          <w:sz w:val="20"/>
          <w:szCs w:val="20"/>
          <w:highlight w:val="lightGray"/>
        </w:rPr>
        <w:t>t wurde</w:t>
      </w:r>
      <w:r w:rsidR="00EC06B1">
        <w:rPr>
          <w:rFonts w:ascii="Arial" w:hAnsi="Arial" w:cs="Arial"/>
          <w:i/>
          <w:sz w:val="20"/>
          <w:szCs w:val="20"/>
          <w:highlight w:val="lightGray"/>
        </w:rPr>
        <w:t xml:space="preserve"> und aus den durchgeführten Prüfungshandlungen keine Beanstandungen oder Empfehlungen resultierten</w:t>
      </w:r>
      <w:r w:rsidR="0030349B">
        <w:rPr>
          <w:rFonts w:ascii="Arial" w:hAnsi="Arial" w:cs="Arial"/>
          <w:i/>
          <w:sz w:val="20"/>
          <w:szCs w:val="20"/>
          <w:highlight w:val="lightGray"/>
        </w:rPr>
        <w:t xml:space="preserve">, </w:t>
      </w:r>
      <w:r w:rsidR="00DD1307">
        <w:rPr>
          <w:rFonts w:ascii="Arial" w:hAnsi="Arial" w:cs="Arial"/>
          <w:i/>
          <w:sz w:val="20"/>
          <w:szCs w:val="20"/>
          <w:highlight w:val="lightGray"/>
        </w:rPr>
        <w:t>können</w:t>
      </w:r>
      <w:r w:rsidR="0030349B">
        <w:rPr>
          <w:rFonts w:ascii="Arial" w:hAnsi="Arial" w:cs="Arial"/>
          <w:i/>
          <w:sz w:val="20"/>
          <w:szCs w:val="20"/>
          <w:highlight w:val="lightGray"/>
        </w:rPr>
        <w:t xml:space="preserve"> ohne Erläuterungen</w:t>
      </w:r>
      <w:r w:rsidR="00BF3D88">
        <w:rPr>
          <w:rFonts w:ascii="Arial" w:hAnsi="Arial" w:cs="Arial"/>
          <w:i/>
          <w:sz w:val="20"/>
          <w:szCs w:val="20"/>
          <w:highlight w:val="lightGray"/>
        </w:rPr>
        <w:t xml:space="preserve"> </w:t>
      </w:r>
      <w:r w:rsidR="0030349B">
        <w:rPr>
          <w:rFonts w:ascii="Arial" w:hAnsi="Arial" w:cs="Arial"/>
          <w:i/>
          <w:sz w:val="20"/>
          <w:szCs w:val="20"/>
          <w:highlight w:val="lightGray"/>
        </w:rPr>
        <w:t>auf</w:t>
      </w:r>
      <w:r w:rsidR="00DD1307">
        <w:rPr>
          <w:rFonts w:ascii="Arial" w:hAnsi="Arial" w:cs="Arial"/>
          <w:i/>
          <w:sz w:val="20"/>
          <w:szCs w:val="20"/>
          <w:highlight w:val="lightGray"/>
        </w:rPr>
        <w:t>geführt werden</w:t>
      </w:r>
      <w:r w:rsidR="0030349B">
        <w:rPr>
          <w:rFonts w:ascii="Arial" w:hAnsi="Arial" w:cs="Arial"/>
          <w:i/>
          <w:sz w:val="20"/>
          <w:szCs w:val="20"/>
          <w:highlight w:val="lightGray"/>
        </w:rPr>
        <w:t xml:space="preserve">. </w:t>
      </w:r>
    </w:p>
    <w:p w14:paraId="4DBEB6F5" w14:textId="77777777" w:rsidR="001B2B32" w:rsidRDefault="001B2B32" w:rsidP="00047F52">
      <w:pPr>
        <w:jc w:val="both"/>
        <w:rPr>
          <w:rFonts w:ascii="Arial" w:hAnsi="Arial" w:cs="Arial"/>
          <w:i/>
          <w:sz w:val="20"/>
          <w:szCs w:val="20"/>
          <w:highlight w:val="lightGray"/>
        </w:rPr>
      </w:pPr>
    </w:p>
    <w:p w14:paraId="59815E5B" w14:textId="76008F1A" w:rsidR="001E12FA" w:rsidRDefault="004F6209" w:rsidP="00047F52">
      <w:pPr>
        <w:jc w:val="both"/>
        <w:rPr>
          <w:rFonts w:ascii="Arial" w:hAnsi="Arial" w:cs="Arial"/>
          <w:i/>
          <w:sz w:val="20"/>
          <w:szCs w:val="20"/>
          <w:highlight w:val="lightGray"/>
        </w:rPr>
      </w:pPr>
      <w:r>
        <w:rPr>
          <w:rFonts w:ascii="Arial" w:hAnsi="Arial" w:cs="Arial"/>
          <w:i/>
          <w:sz w:val="20"/>
          <w:szCs w:val="20"/>
          <w:highlight w:val="lightGray"/>
        </w:rPr>
        <w:t xml:space="preserve">Die Revisionsstelle hat den Umfang und Tiefe der Erläuterungen so auszugestalten, dass sich </w:t>
      </w:r>
      <w:r w:rsidR="002E51D3">
        <w:rPr>
          <w:rFonts w:ascii="Arial" w:hAnsi="Arial" w:cs="Arial"/>
          <w:i/>
          <w:sz w:val="20"/>
          <w:szCs w:val="20"/>
          <w:highlight w:val="lightGray"/>
        </w:rPr>
        <w:t xml:space="preserve">der Verwaltungsrat der </w:t>
      </w:r>
      <w:r w:rsidR="00F83287" w:rsidRPr="00C44852">
        <w:rPr>
          <w:rFonts w:ascii="Arial" w:hAnsi="Arial" w:cs="Arial"/>
          <w:i/>
          <w:sz w:val="20"/>
          <w:szCs w:val="20"/>
          <w:highlight w:val="lightGray"/>
        </w:rPr>
        <w:t>Bank</w:t>
      </w:r>
      <w:r w:rsidR="00F83287">
        <w:rPr>
          <w:rFonts w:ascii="Arial" w:hAnsi="Arial" w:cs="Arial"/>
          <w:i/>
          <w:sz w:val="20"/>
          <w:szCs w:val="20"/>
          <w:highlight w:val="lightGray"/>
        </w:rPr>
        <w:t xml:space="preserve">, Wertpapierfirma </w:t>
      </w:r>
      <w:r w:rsidR="00F83287" w:rsidRPr="00B36817">
        <w:rPr>
          <w:rFonts w:ascii="Arial" w:hAnsi="Arial" w:cs="Arial"/>
          <w:i/>
          <w:sz w:val="20"/>
          <w:szCs w:val="20"/>
          <w:highlight w:val="lightGray"/>
        </w:rPr>
        <w:t>bzw. Gruppe</w:t>
      </w:r>
      <w:r w:rsidR="00F83287" w:rsidDel="00F83287">
        <w:rPr>
          <w:rFonts w:ascii="Arial" w:hAnsi="Arial" w:cs="Arial"/>
          <w:i/>
          <w:sz w:val="20"/>
          <w:szCs w:val="20"/>
          <w:highlight w:val="lightGray"/>
        </w:rPr>
        <w:t xml:space="preserve"> </w:t>
      </w:r>
      <w:r w:rsidR="002E51D3">
        <w:rPr>
          <w:rFonts w:ascii="Arial" w:hAnsi="Arial" w:cs="Arial"/>
          <w:i/>
          <w:sz w:val="20"/>
          <w:szCs w:val="20"/>
          <w:highlight w:val="lightGray"/>
        </w:rPr>
        <w:t xml:space="preserve">sowie die FMA ein angemessenes Bild über das jeweilige </w:t>
      </w:r>
      <w:r w:rsidR="00373E08">
        <w:rPr>
          <w:rFonts w:ascii="Arial" w:hAnsi="Arial" w:cs="Arial"/>
          <w:i/>
          <w:sz w:val="20"/>
          <w:szCs w:val="20"/>
          <w:highlight w:val="lightGray"/>
        </w:rPr>
        <w:t xml:space="preserve">mit der Prüftiefe „Detailprüfung“ </w:t>
      </w:r>
      <w:r w:rsidR="00F77736">
        <w:rPr>
          <w:rFonts w:ascii="Arial" w:hAnsi="Arial" w:cs="Arial"/>
          <w:i/>
          <w:sz w:val="20"/>
          <w:szCs w:val="20"/>
          <w:highlight w:val="lightGray"/>
        </w:rPr>
        <w:t xml:space="preserve">abgedeckte Prüffeld </w:t>
      </w:r>
      <w:r w:rsidR="002E51D3">
        <w:rPr>
          <w:rFonts w:ascii="Arial" w:hAnsi="Arial" w:cs="Arial"/>
          <w:i/>
          <w:sz w:val="20"/>
          <w:szCs w:val="20"/>
          <w:highlight w:val="lightGray"/>
        </w:rPr>
        <w:t xml:space="preserve">bilden kann. Die Erläuterungen </w:t>
      </w:r>
      <w:r w:rsidR="00B4590B">
        <w:rPr>
          <w:rFonts w:ascii="Arial" w:hAnsi="Arial" w:cs="Arial"/>
          <w:i/>
          <w:sz w:val="20"/>
          <w:szCs w:val="20"/>
          <w:highlight w:val="lightGray"/>
        </w:rPr>
        <w:t xml:space="preserve">im Rahmen der Detailprüfung </w:t>
      </w:r>
      <w:r w:rsidR="002E51D3">
        <w:rPr>
          <w:rFonts w:ascii="Arial" w:hAnsi="Arial" w:cs="Arial"/>
          <w:i/>
          <w:sz w:val="20"/>
          <w:szCs w:val="20"/>
          <w:highlight w:val="lightGray"/>
        </w:rPr>
        <w:t xml:space="preserve">müssen aussagekräftig sein und Rückschlüsse auf die </w:t>
      </w:r>
      <w:r w:rsidR="001E12FA">
        <w:rPr>
          <w:rFonts w:ascii="Arial" w:hAnsi="Arial" w:cs="Arial"/>
          <w:i/>
          <w:sz w:val="20"/>
          <w:szCs w:val="20"/>
          <w:highlight w:val="lightGray"/>
        </w:rPr>
        <w:t xml:space="preserve">einzelnen </w:t>
      </w:r>
      <w:r w:rsidR="002E51D3">
        <w:rPr>
          <w:rFonts w:ascii="Arial" w:hAnsi="Arial" w:cs="Arial"/>
          <w:i/>
          <w:sz w:val="20"/>
          <w:szCs w:val="20"/>
          <w:highlight w:val="lightGray"/>
        </w:rPr>
        <w:t xml:space="preserve">Mindestprüfinhalte bzw. Prüfelemente geben. </w:t>
      </w:r>
      <w:r w:rsidR="00845076">
        <w:rPr>
          <w:rFonts w:ascii="Arial" w:hAnsi="Arial" w:cs="Arial"/>
          <w:i/>
          <w:sz w:val="20"/>
          <w:szCs w:val="20"/>
          <w:highlight w:val="lightGray"/>
        </w:rPr>
        <w:t>Zudem si</w:t>
      </w:r>
      <w:r w:rsidR="001E12FA">
        <w:rPr>
          <w:rFonts w:ascii="Arial" w:hAnsi="Arial" w:cs="Arial"/>
          <w:i/>
          <w:sz w:val="20"/>
          <w:szCs w:val="20"/>
          <w:highlight w:val="lightGray"/>
        </w:rPr>
        <w:t xml:space="preserve">nd Erläuterungen zur Stichprobenauswahl und der Stichprobengrösse im Verhältnis zum Gesamtvolumen darzulegen. </w:t>
      </w:r>
    </w:p>
    <w:p w14:paraId="79DCF84D" w14:textId="77777777" w:rsidR="0030349B" w:rsidRDefault="0030349B" w:rsidP="00047F52">
      <w:pPr>
        <w:jc w:val="both"/>
        <w:rPr>
          <w:rFonts w:ascii="Arial" w:hAnsi="Arial" w:cs="Arial"/>
          <w:i/>
          <w:sz w:val="20"/>
          <w:szCs w:val="20"/>
          <w:highlight w:val="lightGray"/>
        </w:rPr>
      </w:pPr>
    </w:p>
    <w:p w14:paraId="2D2E8EC5" w14:textId="5C72CC53" w:rsidR="00282891" w:rsidRDefault="00282891" w:rsidP="00047F52">
      <w:pPr>
        <w:jc w:val="both"/>
        <w:rPr>
          <w:rFonts w:ascii="Arial" w:hAnsi="Arial" w:cs="Arial"/>
          <w:i/>
          <w:sz w:val="20"/>
          <w:szCs w:val="20"/>
          <w:highlight w:val="lightGray"/>
        </w:rPr>
      </w:pPr>
      <w:r>
        <w:rPr>
          <w:rFonts w:ascii="Arial" w:hAnsi="Arial" w:cs="Arial"/>
          <w:i/>
          <w:sz w:val="20"/>
          <w:szCs w:val="20"/>
          <w:highlight w:val="lightGray"/>
        </w:rPr>
        <w:t xml:space="preserve">Im Musterbericht sind pro Prüfelement die </w:t>
      </w:r>
      <w:r w:rsidR="00DD1307">
        <w:rPr>
          <w:rFonts w:ascii="Arial" w:hAnsi="Arial" w:cs="Arial"/>
          <w:i/>
          <w:sz w:val="20"/>
          <w:szCs w:val="20"/>
          <w:highlight w:val="lightGray"/>
        </w:rPr>
        <w:t>Mindestp</w:t>
      </w:r>
      <w:r>
        <w:rPr>
          <w:rFonts w:ascii="Arial" w:hAnsi="Arial" w:cs="Arial"/>
          <w:i/>
          <w:sz w:val="20"/>
          <w:szCs w:val="20"/>
          <w:highlight w:val="lightGray"/>
        </w:rPr>
        <w:t>rüfinhalte</w:t>
      </w:r>
      <w:r w:rsidR="00CE3194">
        <w:rPr>
          <w:rFonts w:ascii="Arial" w:hAnsi="Arial" w:cs="Arial"/>
          <w:i/>
          <w:sz w:val="20"/>
          <w:szCs w:val="20"/>
          <w:highlight w:val="lightGray"/>
        </w:rPr>
        <w:t xml:space="preserve"> (jeweils auslegbar auf das zugrundeliegende Prüffeld)</w:t>
      </w:r>
      <w:r>
        <w:rPr>
          <w:rFonts w:ascii="Arial" w:hAnsi="Arial" w:cs="Arial"/>
          <w:i/>
          <w:sz w:val="20"/>
          <w:szCs w:val="20"/>
          <w:highlight w:val="lightGray"/>
        </w:rPr>
        <w:t>, welche durch die Prüfungshandlungen der Revisionsstelle für d</w:t>
      </w:r>
      <w:r w:rsidR="002C17F7">
        <w:rPr>
          <w:rFonts w:ascii="Arial" w:hAnsi="Arial" w:cs="Arial"/>
          <w:i/>
          <w:sz w:val="20"/>
          <w:szCs w:val="20"/>
          <w:highlight w:val="lightGray"/>
        </w:rPr>
        <w:t xml:space="preserve">ie </w:t>
      </w:r>
      <w:r w:rsidR="0052155F">
        <w:rPr>
          <w:rFonts w:ascii="Arial" w:hAnsi="Arial" w:cs="Arial"/>
          <w:i/>
          <w:sz w:val="20"/>
          <w:szCs w:val="20"/>
          <w:highlight w:val="lightGray"/>
        </w:rPr>
        <w:t xml:space="preserve">Beurteilung und </w:t>
      </w:r>
      <w:r w:rsidR="002C17F7">
        <w:rPr>
          <w:rFonts w:ascii="Arial" w:hAnsi="Arial" w:cs="Arial"/>
          <w:i/>
          <w:sz w:val="20"/>
          <w:szCs w:val="20"/>
          <w:highlight w:val="lightGray"/>
        </w:rPr>
        <w:t>Abgabe der Prüfbestätigungen</w:t>
      </w:r>
      <w:r>
        <w:rPr>
          <w:rFonts w:ascii="Arial" w:hAnsi="Arial" w:cs="Arial"/>
          <w:i/>
          <w:sz w:val="20"/>
          <w:szCs w:val="20"/>
          <w:highlight w:val="lightGray"/>
        </w:rPr>
        <w:t xml:space="preserve"> abzudecken sind</w:t>
      </w:r>
      <w:r w:rsidR="002C17F7">
        <w:rPr>
          <w:rFonts w:ascii="Arial" w:hAnsi="Arial" w:cs="Arial"/>
          <w:i/>
          <w:sz w:val="20"/>
          <w:szCs w:val="20"/>
          <w:highlight w:val="lightGray"/>
        </w:rPr>
        <w:t>,</w:t>
      </w:r>
      <w:r>
        <w:rPr>
          <w:rFonts w:ascii="Arial" w:hAnsi="Arial" w:cs="Arial"/>
          <w:i/>
          <w:sz w:val="20"/>
          <w:szCs w:val="20"/>
          <w:highlight w:val="lightGray"/>
        </w:rPr>
        <w:t xml:space="preserve"> aufgeführt. Es liegt in der Verantwortung der Revisionsstelle die </w:t>
      </w:r>
      <w:r w:rsidR="00DD1307">
        <w:rPr>
          <w:rFonts w:ascii="Arial" w:hAnsi="Arial" w:cs="Arial"/>
          <w:i/>
          <w:sz w:val="20"/>
          <w:szCs w:val="20"/>
          <w:highlight w:val="lightGray"/>
        </w:rPr>
        <w:t>Mindestp</w:t>
      </w:r>
      <w:r>
        <w:rPr>
          <w:rFonts w:ascii="Arial" w:hAnsi="Arial" w:cs="Arial"/>
          <w:i/>
          <w:sz w:val="20"/>
          <w:szCs w:val="20"/>
          <w:highlight w:val="lightGray"/>
        </w:rPr>
        <w:t>rüfinhalte an die spezifische Situation de</w:t>
      </w:r>
      <w:r w:rsidR="00DD1307">
        <w:rPr>
          <w:rFonts w:ascii="Arial" w:hAnsi="Arial" w:cs="Arial"/>
          <w:i/>
          <w:sz w:val="20"/>
          <w:szCs w:val="20"/>
          <w:highlight w:val="lightGray"/>
        </w:rPr>
        <w:t>r</w:t>
      </w:r>
      <w:r>
        <w:rPr>
          <w:rFonts w:ascii="Arial" w:hAnsi="Arial" w:cs="Arial"/>
          <w:i/>
          <w:sz w:val="20"/>
          <w:szCs w:val="20"/>
          <w:highlight w:val="lightGray"/>
        </w:rPr>
        <w:t xml:space="preserve"> zu prüfenden </w:t>
      </w:r>
      <w:r w:rsidR="00F83287" w:rsidRPr="00C44852">
        <w:rPr>
          <w:rFonts w:ascii="Arial" w:hAnsi="Arial" w:cs="Arial"/>
          <w:i/>
          <w:sz w:val="20"/>
          <w:szCs w:val="20"/>
          <w:highlight w:val="lightGray"/>
        </w:rPr>
        <w:t>Bank</w:t>
      </w:r>
      <w:r w:rsidR="00F83287">
        <w:rPr>
          <w:rFonts w:ascii="Arial" w:hAnsi="Arial" w:cs="Arial"/>
          <w:i/>
          <w:sz w:val="20"/>
          <w:szCs w:val="20"/>
          <w:highlight w:val="lightGray"/>
        </w:rPr>
        <w:t>, Wertpapierfirma</w:t>
      </w:r>
      <w:r w:rsidR="00D71E0B">
        <w:rPr>
          <w:rFonts w:ascii="Arial" w:hAnsi="Arial" w:cs="Arial"/>
          <w:i/>
          <w:sz w:val="20"/>
          <w:szCs w:val="20"/>
          <w:highlight w:val="lightGray"/>
        </w:rPr>
        <w:t>, bewilligten (gemischten) Finanzholdinggesellschaft</w:t>
      </w:r>
      <w:r w:rsidR="00F83287">
        <w:rPr>
          <w:rFonts w:ascii="Arial" w:hAnsi="Arial" w:cs="Arial"/>
          <w:i/>
          <w:sz w:val="20"/>
          <w:szCs w:val="20"/>
          <w:highlight w:val="lightGray"/>
        </w:rPr>
        <w:t xml:space="preserve"> </w:t>
      </w:r>
      <w:r w:rsidR="00F83287" w:rsidRPr="00B36817">
        <w:rPr>
          <w:rFonts w:ascii="Arial" w:hAnsi="Arial" w:cs="Arial"/>
          <w:i/>
          <w:sz w:val="20"/>
          <w:szCs w:val="20"/>
          <w:highlight w:val="lightGray"/>
        </w:rPr>
        <w:t>bzw. Gruppe</w:t>
      </w:r>
      <w:r w:rsidR="00F83287" w:rsidDel="00F83287">
        <w:rPr>
          <w:rFonts w:ascii="Arial" w:hAnsi="Arial" w:cs="Arial"/>
          <w:i/>
          <w:sz w:val="20"/>
          <w:szCs w:val="20"/>
          <w:highlight w:val="lightGray"/>
        </w:rPr>
        <w:t xml:space="preserve"> </w:t>
      </w:r>
      <w:r>
        <w:rPr>
          <w:rFonts w:ascii="Arial" w:hAnsi="Arial" w:cs="Arial"/>
          <w:i/>
          <w:sz w:val="20"/>
          <w:szCs w:val="20"/>
          <w:highlight w:val="lightGray"/>
        </w:rPr>
        <w:t xml:space="preserve">bzw. an die Prüftiefe anzupassen. Werden die </w:t>
      </w:r>
      <w:r w:rsidR="00DD1307">
        <w:rPr>
          <w:rFonts w:ascii="Arial" w:hAnsi="Arial" w:cs="Arial"/>
          <w:i/>
          <w:sz w:val="20"/>
          <w:szCs w:val="20"/>
          <w:highlight w:val="lightGray"/>
        </w:rPr>
        <w:t>Mindestp</w:t>
      </w:r>
      <w:r>
        <w:rPr>
          <w:rFonts w:ascii="Arial" w:hAnsi="Arial" w:cs="Arial"/>
          <w:i/>
          <w:sz w:val="20"/>
          <w:szCs w:val="20"/>
          <w:highlight w:val="lightGray"/>
        </w:rPr>
        <w:t>rüfinhalte durch die durchgeführten Prüfungshandlungen nicht vollständig abgedeckt, ist im Bericht über die Aufsichtsprüfung darauf hinzuweisen</w:t>
      </w:r>
      <w:r w:rsidR="00227ADB">
        <w:rPr>
          <w:rFonts w:ascii="Arial" w:hAnsi="Arial" w:cs="Arial"/>
          <w:i/>
          <w:sz w:val="20"/>
          <w:szCs w:val="20"/>
          <w:highlight w:val="lightGray"/>
        </w:rPr>
        <w:t xml:space="preserve"> und zu begründen</w:t>
      </w:r>
      <w:r>
        <w:rPr>
          <w:rFonts w:ascii="Arial" w:hAnsi="Arial" w:cs="Arial"/>
          <w:i/>
          <w:sz w:val="20"/>
          <w:szCs w:val="20"/>
          <w:highlight w:val="lightGray"/>
        </w:rPr>
        <w:t xml:space="preserve">. </w:t>
      </w:r>
    </w:p>
    <w:p w14:paraId="6E27EB83" w14:textId="77777777" w:rsidR="002309A6" w:rsidRDefault="002309A6" w:rsidP="00515AB5">
      <w:pPr>
        <w:jc w:val="both"/>
        <w:rPr>
          <w:rFonts w:ascii="Arial" w:hAnsi="Arial" w:cs="Arial"/>
          <w:i/>
          <w:sz w:val="20"/>
          <w:szCs w:val="20"/>
          <w:highlight w:val="lightGray"/>
        </w:rPr>
      </w:pPr>
    </w:p>
    <w:p w14:paraId="0C82F987" w14:textId="77777777" w:rsidR="006819F9" w:rsidRDefault="006819F9">
      <w:pPr>
        <w:rPr>
          <w:rFonts w:ascii="Arial" w:hAnsi="Arial" w:cs="Arial"/>
          <w:sz w:val="20"/>
          <w:szCs w:val="22"/>
        </w:rPr>
      </w:pPr>
      <w:r>
        <w:br w:type="page"/>
      </w:r>
    </w:p>
    <w:p w14:paraId="17AB6A1D" w14:textId="77777777" w:rsidR="008C30D1" w:rsidRDefault="00D146EF" w:rsidP="006F7AB5">
      <w:pPr>
        <w:pStyle w:val="FINMAGliederungEbene2"/>
      </w:pPr>
      <w:bookmarkStart w:id="19" w:name="_Toc147849874"/>
      <w:r>
        <w:lastRenderedPageBreak/>
        <w:t>Geschäftsrisiken</w:t>
      </w:r>
      <w:bookmarkEnd w:id="19"/>
    </w:p>
    <w:p w14:paraId="2612AB9C" w14:textId="77777777" w:rsidR="00D146EF" w:rsidRPr="006067FE" w:rsidRDefault="00D146EF" w:rsidP="00D146EF">
      <w:pPr>
        <w:jc w:val="both"/>
      </w:pPr>
    </w:p>
    <w:p w14:paraId="354E47AE" w14:textId="77777777" w:rsidR="008C30D1" w:rsidRDefault="006067FE" w:rsidP="006F7AB5">
      <w:pPr>
        <w:pStyle w:val="FINMAGliederungEbene3"/>
      </w:pPr>
      <w:bookmarkStart w:id="20" w:name="_Toc147849875"/>
      <w:r w:rsidRPr="006067FE">
        <w:t>Kreditrisiken / Gegenparteiausfallrisiken aus Interbankgeschäften</w:t>
      </w:r>
      <w:r w:rsidR="00543DCA">
        <w:t xml:space="preserve"> (GR-1)</w:t>
      </w:r>
      <w:bookmarkEnd w:id="20"/>
    </w:p>
    <w:p w14:paraId="1720A70B" w14:textId="77777777" w:rsidR="008C30D1" w:rsidRDefault="008C30D1" w:rsidP="008C30D1">
      <w:pPr>
        <w:jc w:val="both"/>
      </w:pPr>
    </w:p>
    <w:tbl>
      <w:tblPr>
        <w:tblStyle w:val="Tabellenraster"/>
        <w:tblW w:w="0" w:type="auto"/>
        <w:tblLook w:val="04A0" w:firstRow="1" w:lastRow="0" w:firstColumn="1" w:lastColumn="0" w:noHBand="0" w:noVBand="1"/>
      </w:tblPr>
      <w:tblGrid>
        <w:gridCol w:w="1932"/>
        <w:gridCol w:w="2145"/>
        <w:gridCol w:w="1721"/>
        <w:gridCol w:w="3382"/>
      </w:tblGrid>
      <w:tr w:rsidR="009872F3" w:rsidRPr="009872F3" w14:paraId="0B98D3A1" w14:textId="77777777" w:rsidTr="009872F3">
        <w:trPr>
          <w:trHeight w:val="563"/>
        </w:trPr>
        <w:tc>
          <w:tcPr>
            <w:tcW w:w="1932" w:type="dxa"/>
          </w:tcPr>
          <w:p w14:paraId="5AB519C0"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Nettorisiko</w:t>
            </w:r>
          </w:p>
        </w:tc>
        <w:tc>
          <w:tcPr>
            <w:tcW w:w="2145" w:type="dxa"/>
          </w:tcPr>
          <w:p w14:paraId="70A9C2E6"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BA6DDD4" w14:textId="77777777" w:rsidR="009872F3" w:rsidRPr="009872F3" w:rsidRDefault="009872F3" w:rsidP="008C30D1">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872F3" w:rsidRPr="009872F3" w14:paraId="1B1D3C34" w14:textId="77777777" w:rsidTr="006749F0">
        <w:trPr>
          <w:trHeight w:val="698"/>
        </w:trPr>
        <w:tc>
          <w:tcPr>
            <w:tcW w:w="1932" w:type="dxa"/>
          </w:tcPr>
          <w:p w14:paraId="00FB7127" w14:textId="2C9CE3F3" w:rsidR="009872F3" w:rsidRPr="006749F0" w:rsidRDefault="009872F3" w:rsidP="00F60909">
            <w:pPr>
              <w:jc w:val="both"/>
              <w:rPr>
                <w:rFonts w:ascii="Arial" w:hAnsi="Arial" w:cs="Arial"/>
                <w:i/>
                <w:sz w:val="18"/>
                <w:szCs w:val="18"/>
                <w:highlight w:val="green"/>
              </w:rPr>
            </w:pPr>
            <w:r w:rsidRPr="006749F0">
              <w:rPr>
                <w:rFonts w:ascii="Arial" w:hAnsi="Arial" w:cs="Arial"/>
                <w:i/>
                <w:sz w:val="18"/>
                <w:szCs w:val="18"/>
                <w:highlight w:val="yellow"/>
              </w:rPr>
              <w:t>niedrig</w:t>
            </w:r>
            <w:r w:rsidR="00F60909">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49309858" w14:textId="77777777" w:rsidR="009872F3" w:rsidRPr="006749F0" w:rsidRDefault="009872F3" w:rsidP="008C30D1">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8514421" w14:textId="77777777" w:rsidR="009872F3" w:rsidRPr="009872F3" w:rsidRDefault="009872F3" w:rsidP="006749F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006749F0" w:rsidRPr="006749F0">
              <w:rPr>
                <w:rFonts w:ascii="Arial" w:hAnsi="Arial" w:cs="Arial"/>
                <w:i/>
                <w:sz w:val="18"/>
                <w:szCs w:val="18"/>
                <w:highlight w:val="yellow"/>
              </w:rPr>
              <w:t>Jahr</w:t>
            </w:r>
          </w:p>
        </w:tc>
        <w:tc>
          <w:tcPr>
            <w:tcW w:w="3382" w:type="dxa"/>
          </w:tcPr>
          <w:p w14:paraId="10AF9B54" w14:textId="77777777" w:rsidR="006749F0" w:rsidRDefault="009872F3" w:rsidP="006749F0">
            <w:pPr>
              <w:jc w:val="both"/>
              <w:rPr>
                <w:rFonts w:ascii="Arial" w:hAnsi="Arial" w:cs="Arial"/>
                <w:sz w:val="18"/>
                <w:szCs w:val="18"/>
                <w:highlight w:val="yellow"/>
              </w:rPr>
            </w:pPr>
            <w:r w:rsidRPr="009872F3">
              <w:rPr>
                <w:rFonts w:ascii="Arial" w:hAnsi="Arial" w:cs="Arial"/>
                <w:sz w:val="18"/>
                <w:szCs w:val="18"/>
              </w:rPr>
              <w:t>Kritische Beurteilung</w:t>
            </w:r>
            <w:r w:rsidR="006749F0">
              <w:rPr>
                <w:rFonts w:ascii="Arial" w:hAnsi="Arial" w:cs="Arial"/>
                <w:sz w:val="18"/>
                <w:szCs w:val="18"/>
              </w:rPr>
              <w:t>:</w:t>
            </w:r>
            <w:r w:rsidRPr="006749F0">
              <w:rPr>
                <w:rFonts w:ascii="Arial" w:hAnsi="Arial" w:cs="Arial"/>
                <w:sz w:val="18"/>
                <w:szCs w:val="18"/>
                <w:highlight w:val="yellow"/>
              </w:rPr>
              <w:t xml:space="preserve"> </w:t>
            </w:r>
          </w:p>
          <w:p w14:paraId="3BE6AA3A" w14:textId="77777777" w:rsidR="009872F3" w:rsidRPr="006749F0" w:rsidRDefault="009872F3" w:rsidP="006749F0">
            <w:pPr>
              <w:jc w:val="both"/>
              <w:rPr>
                <w:rFonts w:ascii="Arial" w:hAnsi="Arial" w:cs="Arial"/>
                <w:i/>
                <w:sz w:val="18"/>
                <w:szCs w:val="18"/>
              </w:rPr>
            </w:pPr>
            <w:r w:rsidRPr="006749F0">
              <w:rPr>
                <w:rFonts w:ascii="Arial" w:hAnsi="Arial" w:cs="Arial"/>
                <w:i/>
                <w:sz w:val="18"/>
                <w:szCs w:val="18"/>
                <w:highlight w:val="yellow"/>
              </w:rPr>
              <w:t>Jahr</w:t>
            </w:r>
          </w:p>
        </w:tc>
      </w:tr>
      <w:tr w:rsidR="009872F3" w:rsidRPr="009872F3" w14:paraId="5A40FC93" w14:textId="77777777" w:rsidTr="006749F0">
        <w:trPr>
          <w:trHeight w:val="636"/>
        </w:trPr>
        <w:tc>
          <w:tcPr>
            <w:tcW w:w="9180" w:type="dxa"/>
            <w:gridSpan w:val="4"/>
          </w:tcPr>
          <w:p w14:paraId="4B9B5528" w14:textId="77777777" w:rsidR="006749F0" w:rsidRDefault="006749F0" w:rsidP="008C30D1">
            <w:pPr>
              <w:jc w:val="both"/>
              <w:rPr>
                <w:rFonts w:ascii="Arial" w:hAnsi="Arial" w:cs="Arial"/>
                <w:sz w:val="18"/>
                <w:szCs w:val="18"/>
              </w:rPr>
            </w:pPr>
          </w:p>
          <w:p w14:paraId="211EB733" w14:textId="77777777" w:rsidR="006749F0" w:rsidRPr="00F60909" w:rsidRDefault="009872F3" w:rsidP="008C30D1">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0B63CA3" w14:textId="0DF5680E" w:rsidR="009872F3" w:rsidRPr="009872F3" w:rsidRDefault="009872F3" w:rsidP="008C30D1">
            <w:pPr>
              <w:jc w:val="both"/>
              <w:rPr>
                <w:rFonts w:ascii="Arial" w:hAnsi="Arial" w:cs="Arial"/>
                <w:sz w:val="18"/>
                <w:szCs w:val="18"/>
              </w:rPr>
            </w:pPr>
            <w:r w:rsidRPr="00F60909">
              <w:rPr>
                <w:rFonts w:ascii="Arial" w:hAnsi="Arial" w:cs="Arial"/>
                <w:sz w:val="18"/>
                <w:szCs w:val="18"/>
                <w:highlight w:val="yellow"/>
              </w:rPr>
              <w:t>Art. 7a BankG; Art. 21h BankV; FMA-Mitteilung 2017/4 (inkl. regulatorische Grundlagen im Anhang)</w:t>
            </w:r>
          </w:p>
        </w:tc>
      </w:tr>
      <w:tr w:rsidR="009872F3" w:rsidRPr="009872F3" w14:paraId="00EBC1AC" w14:textId="77777777" w:rsidTr="006749F0">
        <w:trPr>
          <w:trHeight w:val="294"/>
        </w:trPr>
        <w:tc>
          <w:tcPr>
            <w:tcW w:w="9180" w:type="dxa"/>
            <w:gridSpan w:val="4"/>
          </w:tcPr>
          <w:p w14:paraId="0A26788F" w14:textId="77777777" w:rsidR="009872F3" w:rsidRPr="009872F3" w:rsidRDefault="009872F3" w:rsidP="008C30D1">
            <w:pPr>
              <w:jc w:val="both"/>
              <w:rPr>
                <w:rFonts w:ascii="Arial" w:hAnsi="Arial" w:cs="Arial"/>
                <w:sz w:val="18"/>
                <w:szCs w:val="18"/>
              </w:rPr>
            </w:pPr>
          </w:p>
        </w:tc>
      </w:tr>
      <w:tr w:rsidR="009872F3" w:rsidRPr="009872F3" w14:paraId="5F4684A5" w14:textId="77777777" w:rsidTr="006A378B">
        <w:tc>
          <w:tcPr>
            <w:tcW w:w="5798" w:type="dxa"/>
            <w:gridSpan w:val="3"/>
          </w:tcPr>
          <w:p w14:paraId="6F718E0B" w14:textId="77777777" w:rsidR="009872F3" w:rsidRPr="00C1307E" w:rsidRDefault="009872F3" w:rsidP="009906F0">
            <w:pPr>
              <w:jc w:val="both"/>
              <w:rPr>
                <w:rFonts w:ascii="Arial" w:hAnsi="Arial" w:cs="Arial"/>
                <w:sz w:val="18"/>
                <w:szCs w:val="18"/>
              </w:rPr>
            </w:pPr>
            <w:r w:rsidRPr="00C1307E">
              <w:rPr>
                <w:rFonts w:ascii="Arial" w:hAnsi="Arial" w:cs="Arial"/>
                <w:sz w:val="18"/>
                <w:szCs w:val="18"/>
              </w:rPr>
              <w:t xml:space="preserve">Bestätigung, dass die interne Organisation </w:t>
            </w:r>
            <w:r w:rsidR="00511890">
              <w:rPr>
                <w:rFonts w:ascii="Arial" w:hAnsi="Arial" w:cs="Arial"/>
                <w:sz w:val="18"/>
                <w:szCs w:val="18"/>
              </w:rPr>
              <w:t xml:space="preserve">(Organisationsstruktur, Verantwortlichkeiten und Kompetenzen, Internes Weisungswesen, Ressourcen, Know-How, Interessenskonflikte) </w:t>
            </w:r>
            <w:r w:rsidR="009906F0" w:rsidRPr="00C1307E">
              <w:rPr>
                <w:rFonts w:ascii="Arial" w:hAnsi="Arial" w:cs="Arial"/>
                <w:sz w:val="18"/>
                <w:szCs w:val="18"/>
              </w:rPr>
              <w:t>für das Management von Kreditrisiken / Gegenparteiausfallrisiken aus Interbankgeschäften angemessen ausgestaltet ist.</w:t>
            </w:r>
          </w:p>
        </w:tc>
        <w:tc>
          <w:tcPr>
            <w:tcW w:w="3382" w:type="dxa"/>
          </w:tcPr>
          <w:p w14:paraId="72631C6D" w14:textId="77777777" w:rsidR="009872F3" w:rsidRPr="00E109DF" w:rsidRDefault="00E109DF" w:rsidP="0071465F">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749F0" w:rsidRPr="009872F3" w14:paraId="4B873E33" w14:textId="77777777" w:rsidTr="006A378B">
        <w:tc>
          <w:tcPr>
            <w:tcW w:w="5798" w:type="dxa"/>
            <w:gridSpan w:val="3"/>
          </w:tcPr>
          <w:p w14:paraId="2F5BA24E" w14:textId="77777777" w:rsidR="006749F0" w:rsidRPr="00C1307E" w:rsidRDefault="006749F0" w:rsidP="009906F0">
            <w:pPr>
              <w:jc w:val="both"/>
              <w:rPr>
                <w:rFonts w:ascii="Arial" w:hAnsi="Arial" w:cs="Arial"/>
                <w:sz w:val="18"/>
                <w:szCs w:val="18"/>
              </w:rPr>
            </w:pPr>
            <w:r w:rsidRPr="00C1307E">
              <w:rPr>
                <w:rFonts w:ascii="Arial" w:hAnsi="Arial" w:cs="Arial"/>
                <w:sz w:val="18"/>
                <w:szCs w:val="18"/>
              </w:rPr>
              <w:t>Bestätigung, dass das Interne Kontrollsystem</w:t>
            </w:r>
            <w:r w:rsidR="009906F0" w:rsidRPr="00C1307E">
              <w:rPr>
                <w:rFonts w:ascii="Arial" w:hAnsi="Arial" w:cs="Arial"/>
                <w:sz w:val="18"/>
                <w:szCs w:val="18"/>
              </w:rPr>
              <w:t xml:space="preserve"> für das Management von Kreditrisiken / Gegenparteiausfallrisiken aus Interbankgeschäften angemes</w:t>
            </w:r>
            <w:r w:rsidR="00C1307E">
              <w:rPr>
                <w:rFonts w:ascii="Arial" w:hAnsi="Arial" w:cs="Arial"/>
                <w:sz w:val="18"/>
                <w:szCs w:val="18"/>
              </w:rPr>
              <w:t>sen</w:t>
            </w:r>
            <w:r w:rsidR="009906F0" w:rsidRPr="00C1307E">
              <w:rPr>
                <w:rFonts w:ascii="Arial" w:hAnsi="Arial" w:cs="Arial"/>
                <w:sz w:val="18"/>
                <w:szCs w:val="18"/>
              </w:rPr>
              <w:t xml:space="preserve"> ist</w:t>
            </w:r>
            <w:r w:rsidR="00C1307E">
              <w:rPr>
                <w:rFonts w:ascii="Arial" w:hAnsi="Arial" w:cs="Arial"/>
                <w:sz w:val="18"/>
                <w:szCs w:val="18"/>
              </w:rPr>
              <w:t xml:space="preserve"> und im Falle der Prüftiefe Detailprüfung effektiv angewendet wurden.</w:t>
            </w:r>
          </w:p>
        </w:tc>
        <w:tc>
          <w:tcPr>
            <w:tcW w:w="3382" w:type="dxa"/>
          </w:tcPr>
          <w:p w14:paraId="696E678B" w14:textId="77777777" w:rsidR="006749F0" w:rsidRPr="009872F3" w:rsidRDefault="00E109DF" w:rsidP="008C30D1">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749F0" w:rsidRPr="009872F3" w14:paraId="1C280E0B" w14:textId="77777777" w:rsidTr="006A378B">
        <w:tc>
          <w:tcPr>
            <w:tcW w:w="5798" w:type="dxa"/>
            <w:gridSpan w:val="3"/>
          </w:tcPr>
          <w:p w14:paraId="1E6A0A4A" w14:textId="77777777" w:rsidR="006749F0" w:rsidRPr="00C1307E" w:rsidRDefault="006749F0" w:rsidP="008C30D1">
            <w:pPr>
              <w:jc w:val="both"/>
              <w:rPr>
                <w:rFonts w:ascii="Arial" w:hAnsi="Arial" w:cs="Arial"/>
                <w:sz w:val="18"/>
                <w:szCs w:val="18"/>
              </w:rPr>
            </w:pPr>
            <w:r w:rsidRPr="00C1307E">
              <w:rPr>
                <w:rFonts w:ascii="Arial" w:hAnsi="Arial" w:cs="Arial"/>
                <w:sz w:val="18"/>
                <w:szCs w:val="18"/>
              </w:rPr>
              <w:t>Bestätigung, dass</w:t>
            </w:r>
            <w:r w:rsidR="009906F0" w:rsidRPr="00C1307E">
              <w:rPr>
                <w:rFonts w:ascii="Arial" w:hAnsi="Arial" w:cs="Arial"/>
                <w:sz w:val="18"/>
                <w:szCs w:val="18"/>
              </w:rPr>
              <w:t xml:space="preserve"> die Methoden zur Identifikation, Bewertung, Messung, Begrenzung, Überwachung und Steuerung von Kreditrisiken</w:t>
            </w:r>
            <w:r w:rsidR="004F6D55">
              <w:rPr>
                <w:rFonts w:ascii="Arial" w:hAnsi="Arial" w:cs="Arial"/>
                <w:sz w:val="18"/>
                <w:szCs w:val="18"/>
              </w:rPr>
              <w:t xml:space="preserve"> / Gegenparteiausfallrisiken</w:t>
            </w:r>
            <w:r w:rsidR="009906F0" w:rsidRPr="00C1307E">
              <w:rPr>
                <w:rFonts w:ascii="Arial" w:hAnsi="Arial" w:cs="Arial"/>
                <w:sz w:val="18"/>
                <w:szCs w:val="18"/>
              </w:rPr>
              <w:t xml:space="preserve"> aus Interbankgeschäften angemessen sind</w:t>
            </w:r>
            <w:r w:rsidR="00C1307E">
              <w:rPr>
                <w:rFonts w:ascii="Arial" w:hAnsi="Arial" w:cs="Arial"/>
                <w:sz w:val="18"/>
                <w:szCs w:val="18"/>
              </w:rPr>
              <w:t xml:space="preserve"> und im Falle der Prüftiefe Detailprüfung effektiv angewendet wurden</w:t>
            </w:r>
            <w:r w:rsidR="009906F0" w:rsidRPr="00C1307E">
              <w:rPr>
                <w:rFonts w:ascii="Arial" w:hAnsi="Arial" w:cs="Arial"/>
                <w:sz w:val="18"/>
                <w:szCs w:val="18"/>
              </w:rPr>
              <w:t xml:space="preserve">. </w:t>
            </w:r>
          </w:p>
        </w:tc>
        <w:tc>
          <w:tcPr>
            <w:tcW w:w="3382" w:type="dxa"/>
          </w:tcPr>
          <w:p w14:paraId="6519719A" w14:textId="77777777" w:rsidR="006749F0" w:rsidRPr="009872F3" w:rsidRDefault="00E109DF" w:rsidP="008C30D1">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7AF8174" w14:textId="77777777" w:rsidR="002746A3" w:rsidRDefault="002746A3" w:rsidP="008C30D1">
      <w:pPr>
        <w:jc w:val="both"/>
      </w:pPr>
    </w:p>
    <w:p w14:paraId="33062797" w14:textId="77777777" w:rsidR="006749F0" w:rsidRPr="00CE3194" w:rsidRDefault="006749F0" w:rsidP="008C30D1">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E3194" w:rsidRPr="00CE3194" w14:paraId="76D1E80A" w14:textId="77777777" w:rsidTr="00CE3194">
        <w:tc>
          <w:tcPr>
            <w:tcW w:w="2660" w:type="dxa"/>
          </w:tcPr>
          <w:p w14:paraId="0E29ADA4" w14:textId="77777777" w:rsidR="00CE3194" w:rsidRPr="00CE3194" w:rsidRDefault="00CE3194" w:rsidP="008C30D1">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FF721A0" w14:textId="77777777" w:rsidR="00CE3194" w:rsidRPr="00CE3194" w:rsidRDefault="007458BE" w:rsidP="007458BE">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00CE3194" w:rsidRPr="00CE3194">
              <w:rPr>
                <w:rFonts w:ascii="Arial" w:hAnsi="Arial" w:cs="Arial"/>
                <w:b/>
                <w:i/>
                <w:sz w:val="20"/>
                <w:szCs w:val="20"/>
                <w:highlight w:val="lightGray"/>
              </w:rPr>
              <w:t>rüfinhalte</w:t>
            </w:r>
          </w:p>
        </w:tc>
      </w:tr>
      <w:tr w:rsidR="00CE3194" w:rsidRPr="00CE3194" w14:paraId="44DA9D91" w14:textId="77777777" w:rsidTr="00CE3194">
        <w:tc>
          <w:tcPr>
            <w:tcW w:w="2660" w:type="dxa"/>
          </w:tcPr>
          <w:p w14:paraId="6DBFBDA4" w14:textId="77777777" w:rsidR="00511890" w:rsidRDefault="00CE3194" w:rsidP="008C30D1">
            <w:pPr>
              <w:jc w:val="both"/>
              <w:rPr>
                <w:rFonts w:ascii="Arial" w:hAnsi="Arial" w:cs="Arial"/>
                <w:i/>
                <w:sz w:val="20"/>
                <w:szCs w:val="20"/>
                <w:highlight w:val="lightGray"/>
              </w:rPr>
            </w:pPr>
            <w:r w:rsidRPr="00511890">
              <w:rPr>
                <w:rFonts w:ascii="Arial" w:hAnsi="Arial" w:cs="Arial"/>
                <w:i/>
                <w:sz w:val="20"/>
                <w:szCs w:val="20"/>
                <w:highlight w:val="lightGray"/>
              </w:rPr>
              <w:t>Interne Organisation</w:t>
            </w:r>
            <w:r w:rsidR="00511890" w:rsidRPr="00511890">
              <w:rPr>
                <w:rFonts w:ascii="Arial" w:hAnsi="Arial" w:cs="Arial"/>
                <w:i/>
                <w:sz w:val="20"/>
                <w:szCs w:val="20"/>
                <w:highlight w:val="lightGray"/>
              </w:rPr>
              <w:t xml:space="preserve"> </w:t>
            </w:r>
          </w:p>
          <w:p w14:paraId="6FDB4013" w14:textId="77777777" w:rsidR="00511890" w:rsidRDefault="00511890" w:rsidP="008C30D1">
            <w:pPr>
              <w:jc w:val="both"/>
              <w:rPr>
                <w:rFonts w:ascii="Arial" w:hAnsi="Arial" w:cs="Arial"/>
                <w:i/>
                <w:sz w:val="20"/>
                <w:szCs w:val="20"/>
                <w:highlight w:val="lightGray"/>
              </w:rPr>
            </w:pPr>
          </w:p>
          <w:p w14:paraId="493610B6" w14:textId="77777777" w:rsidR="00CE3194" w:rsidRPr="00511890" w:rsidRDefault="00511890" w:rsidP="008C30D1">
            <w:pPr>
              <w:jc w:val="both"/>
              <w:rPr>
                <w:rFonts w:ascii="Arial" w:hAnsi="Arial" w:cs="Arial"/>
                <w:i/>
                <w:sz w:val="20"/>
                <w:szCs w:val="20"/>
                <w:highlight w:val="lightGray"/>
              </w:rPr>
            </w:pPr>
            <w:r w:rsidRPr="00CB3EE6">
              <w:rPr>
                <w:rFonts w:ascii="Arial" w:hAnsi="Arial" w:cs="Arial"/>
                <w:i/>
                <w:sz w:val="20"/>
                <w:szCs w:val="20"/>
                <w:highlight w:val="lightGray"/>
              </w:rPr>
              <w:t>(Organisationsstruktur, Verantwortlichkeiten und Kompetenzen, Internes Weisungswesen, Ressourcen</w:t>
            </w:r>
            <w:r w:rsidR="0050402B">
              <w:rPr>
                <w:rFonts w:ascii="Arial" w:hAnsi="Arial" w:cs="Arial"/>
                <w:i/>
                <w:sz w:val="20"/>
                <w:szCs w:val="20"/>
                <w:highlight w:val="lightGray"/>
              </w:rPr>
              <w:t xml:space="preserve"> (personell und technisch)</w:t>
            </w:r>
            <w:r w:rsidRPr="00CB3EE6">
              <w:rPr>
                <w:rFonts w:ascii="Arial" w:hAnsi="Arial" w:cs="Arial"/>
                <w:i/>
                <w:sz w:val="20"/>
                <w:szCs w:val="20"/>
                <w:highlight w:val="lightGray"/>
              </w:rPr>
              <w:t>, Know-How, Interessenskonflikte)</w:t>
            </w:r>
          </w:p>
        </w:tc>
        <w:tc>
          <w:tcPr>
            <w:tcW w:w="6520" w:type="dxa"/>
          </w:tcPr>
          <w:p w14:paraId="3A2C010A"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530BE31"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9FD244E" w14:textId="19DBDEA0"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Verantwortlichkeiten und Kompetenzen sind klar</w:t>
            </w:r>
            <w:r w:rsidR="007D341F">
              <w:rPr>
                <w:rFonts w:cs="Arial"/>
                <w:i/>
                <w:szCs w:val="20"/>
                <w:highlight w:val="lightGray"/>
              </w:rPr>
              <w:t xml:space="preserve"> und angemessen</w:t>
            </w:r>
            <w:r w:rsidRPr="00CE3194">
              <w:rPr>
                <w:rFonts w:cs="Arial"/>
                <w:i/>
                <w:szCs w:val="20"/>
                <w:highlight w:val="lightGray"/>
              </w:rPr>
              <w:t xml:space="preserve"> geregelt;</w:t>
            </w:r>
          </w:p>
          <w:p w14:paraId="7F66C19D"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241E98DA"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CE3194" w:rsidRPr="00CE3194" w14:paraId="5005822E" w14:textId="77777777" w:rsidTr="00CE3194">
        <w:tc>
          <w:tcPr>
            <w:tcW w:w="2660" w:type="dxa"/>
          </w:tcPr>
          <w:p w14:paraId="11DB8A43" w14:textId="77777777" w:rsidR="00CE3194" w:rsidRDefault="00CE3194" w:rsidP="008C30D1">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E53E3DD" w14:textId="77777777" w:rsidR="0050402B" w:rsidRPr="00CE3194" w:rsidRDefault="0050402B" w:rsidP="008C30D1">
            <w:pPr>
              <w:jc w:val="both"/>
              <w:rPr>
                <w:rFonts w:ascii="Arial" w:hAnsi="Arial" w:cs="Arial"/>
                <w:i/>
                <w:sz w:val="20"/>
                <w:szCs w:val="20"/>
                <w:highlight w:val="lightGray"/>
              </w:rPr>
            </w:pPr>
          </w:p>
        </w:tc>
        <w:tc>
          <w:tcPr>
            <w:tcW w:w="6520" w:type="dxa"/>
          </w:tcPr>
          <w:p w14:paraId="63595F9D" w14:textId="74CADB0E"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sidR="0067062C">
              <w:rPr>
                <w:rFonts w:cs="Arial"/>
                <w:i/>
                <w:szCs w:val="20"/>
                <w:highlight w:val="lightGray"/>
              </w:rPr>
              <w:t xml:space="preserve">r Bank/Wertpapierfirma bzw. </w:t>
            </w:r>
            <w:r w:rsidRPr="00CE3194">
              <w:rPr>
                <w:rFonts w:cs="Arial"/>
                <w:i/>
                <w:szCs w:val="20"/>
                <w:highlight w:val="lightGray"/>
              </w:rPr>
              <w:t>der Gruppe;</w:t>
            </w:r>
          </w:p>
          <w:p w14:paraId="76B5EB10" w14:textId="22F85241" w:rsidR="00CE3194" w:rsidRPr="00CE3194" w:rsidRDefault="00CE3194" w:rsidP="00CE3194">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Die internen Verfahren sehen die Anwendung des 4-Augen-Prinzips</w:t>
            </w:r>
            <w:r w:rsidR="00546003">
              <w:rPr>
                <w:rFonts w:cs="Arial"/>
                <w:i/>
                <w:szCs w:val="20"/>
                <w:highlight w:val="lightGray"/>
              </w:rPr>
              <w:t xml:space="preserve"> 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C07CDA2" w14:textId="2B784EF2"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007D341F" w:rsidRPr="00CE3194">
              <w:rPr>
                <w:rFonts w:cs="Arial"/>
                <w:i/>
                <w:szCs w:val="20"/>
                <w:highlight w:val="lightGray"/>
              </w:rPr>
              <w:t xml:space="preserve"> </w:t>
            </w:r>
            <w:r w:rsidRPr="00CE3194">
              <w:rPr>
                <w:rFonts w:cs="Arial"/>
                <w:i/>
                <w:szCs w:val="20"/>
                <w:highlight w:val="lightGray"/>
              </w:rPr>
              <w:t>ein angemessenes Dokumentations- und Archivierungswesen;</w:t>
            </w:r>
          </w:p>
          <w:p w14:paraId="12688D68"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E3194" w14:paraId="05868DE7" w14:textId="77777777" w:rsidTr="00CE3194">
        <w:tc>
          <w:tcPr>
            <w:tcW w:w="2660" w:type="dxa"/>
          </w:tcPr>
          <w:p w14:paraId="7E600FC6" w14:textId="77777777" w:rsidR="00CE3194" w:rsidRDefault="00CE3194" w:rsidP="008C30D1">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64A22CE"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sidR="004C7DB3">
              <w:rPr>
                <w:rFonts w:cs="Arial"/>
                <w:i/>
                <w:szCs w:val="20"/>
                <w:highlight w:val="lightGray"/>
              </w:rPr>
              <w:t>, überwacht</w:t>
            </w:r>
            <w:r w:rsidRPr="00CE3194">
              <w:rPr>
                <w:rFonts w:cs="Arial"/>
                <w:i/>
                <w:szCs w:val="20"/>
                <w:highlight w:val="lightGray"/>
              </w:rPr>
              <w:t xml:space="preserve"> und gesteuert;</w:t>
            </w:r>
          </w:p>
          <w:p w14:paraId="252606B0"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3EDB5D36"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093C134" w14:textId="77777777" w:rsidR="00CE3194" w:rsidRPr="00CE3194" w:rsidRDefault="00CE3194" w:rsidP="00CE3194">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8FBF3EF" w14:textId="77777777" w:rsidR="00CE3194" w:rsidRPr="005B66F8" w:rsidRDefault="00CE3194" w:rsidP="00CE3194">
            <w:pPr>
              <w:pStyle w:val="Listenabsatz"/>
              <w:numPr>
                <w:ilvl w:val="1"/>
                <w:numId w:val="17"/>
              </w:numPr>
              <w:ind w:left="317" w:hanging="283"/>
              <w:jc w:val="both"/>
              <w:rPr>
                <w:rFonts w:cs="Arial"/>
                <w:i/>
                <w:szCs w:val="20"/>
              </w:rPr>
            </w:pPr>
            <w:r w:rsidRPr="00CE3194">
              <w:rPr>
                <w:rFonts w:cs="Arial"/>
                <w:i/>
                <w:szCs w:val="20"/>
                <w:highlight w:val="lightGray"/>
              </w:rPr>
              <w:lastRenderedPageBreak/>
              <w:t>Das Limitwesen ist konsistent mit den Indikatoren der Sanierungsplanung</w:t>
            </w:r>
          </w:p>
          <w:p w14:paraId="3F67A089" w14:textId="40D9B5E0" w:rsidR="00916839" w:rsidRDefault="00916839" w:rsidP="00CE3194">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Bank</w:t>
            </w:r>
            <w:r w:rsidR="00EA5362">
              <w:rPr>
                <w:rFonts w:cs="Arial"/>
                <w:i/>
                <w:szCs w:val="20"/>
                <w:highlight w:val="lightGray"/>
              </w:rPr>
              <w:t>/Wertpapierfirma bzw. der Gruppe</w:t>
            </w:r>
            <w:r w:rsidRPr="00055C14">
              <w:rPr>
                <w:rFonts w:cs="Arial"/>
                <w:i/>
                <w:szCs w:val="20"/>
                <w:highlight w:val="lightGray"/>
              </w:rPr>
              <w:t xml:space="preserve"> mit ein</w:t>
            </w:r>
          </w:p>
        </w:tc>
      </w:tr>
    </w:tbl>
    <w:p w14:paraId="15FE859A" w14:textId="77777777" w:rsidR="00E70DF4" w:rsidRDefault="00E70DF4" w:rsidP="008C30D1">
      <w:pPr>
        <w:jc w:val="both"/>
        <w:rPr>
          <w:rFonts w:ascii="Arial" w:hAnsi="Arial" w:cs="Arial"/>
          <w:i/>
          <w:sz w:val="20"/>
          <w:szCs w:val="20"/>
        </w:rPr>
      </w:pPr>
    </w:p>
    <w:p w14:paraId="60581EA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F9C4E2C" w14:textId="77777777" w:rsidR="00F60909" w:rsidRDefault="00F60909" w:rsidP="008C30D1">
      <w:pPr>
        <w:jc w:val="both"/>
      </w:pPr>
    </w:p>
    <w:p w14:paraId="1A6FCA99" w14:textId="77777777" w:rsidR="008C30D1" w:rsidRPr="006067FE" w:rsidRDefault="008C30D1" w:rsidP="008C30D1">
      <w:pPr>
        <w:jc w:val="both"/>
      </w:pPr>
    </w:p>
    <w:p w14:paraId="4DBC168A" w14:textId="77777777" w:rsidR="006067FE" w:rsidRDefault="006067FE" w:rsidP="006F7AB5">
      <w:pPr>
        <w:pStyle w:val="FINMAGliederungEbene3"/>
      </w:pPr>
      <w:bookmarkStart w:id="21" w:name="_Toc147849876"/>
      <w:r w:rsidRPr="006067FE">
        <w:t>Kreditrisiken / Gegenparteiausfallrisiken aus Hypothekargeschäften</w:t>
      </w:r>
      <w:r w:rsidR="00543DCA">
        <w:t xml:space="preserve"> (GR-2)</w:t>
      </w:r>
      <w:bookmarkEnd w:id="21"/>
    </w:p>
    <w:p w14:paraId="43B9867F" w14:textId="77777777" w:rsidR="004F6D55" w:rsidRDefault="004F6D55"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F6D55" w:rsidRPr="009872F3" w14:paraId="51B7C191" w14:textId="77777777" w:rsidTr="00A828FA">
        <w:trPr>
          <w:trHeight w:val="563"/>
        </w:trPr>
        <w:tc>
          <w:tcPr>
            <w:tcW w:w="1932" w:type="dxa"/>
          </w:tcPr>
          <w:p w14:paraId="3F699239"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501B779D"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8C892E2"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F6D55" w:rsidRPr="009872F3" w14:paraId="5B260815" w14:textId="77777777" w:rsidTr="00A828FA">
        <w:trPr>
          <w:trHeight w:val="698"/>
        </w:trPr>
        <w:tc>
          <w:tcPr>
            <w:tcW w:w="1932" w:type="dxa"/>
          </w:tcPr>
          <w:p w14:paraId="1189ACDF" w14:textId="19E1BDF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9B9AEA4" w14:textId="7777777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36DBC4C"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3DD669B" w14:textId="77777777" w:rsidR="004F6D55" w:rsidRDefault="004F6D55"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FB62E97" w14:textId="77777777" w:rsidR="004F6D55" w:rsidRPr="006749F0" w:rsidRDefault="004F6D55" w:rsidP="00A828FA">
            <w:pPr>
              <w:jc w:val="both"/>
              <w:rPr>
                <w:rFonts w:ascii="Arial" w:hAnsi="Arial" w:cs="Arial"/>
                <w:i/>
                <w:sz w:val="18"/>
                <w:szCs w:val="18"/>
              </w:rPr>
            </w:pPr>
            <w:r w:rsidRPr="006749F0">
              <w:rPr>
                <w:rFonts w:ascii="Arial" w:hAnsi="Arial" w:cs="Arial"/>
                <w:i/>
                <w:sz w:val="18"/>
                <w:szCs w:val="18"/>
                <w:highlight w:val="yellow"/>
              </w:rPr>
              <w:t>Jahr</w:t>
            </w:r>
          </w:p>
        </w:tc>
      </w:tr>
      <w:tr w:rsidR="004F6D55" w:rsidRPr="009872F3" w14:paraId="4DF9DA52" w14:textId="77777777" w:rsidTr="00A828FA">
        <w:trPr>
          <w:trHeight w:val="636"/>
        </w:trPr>
        <w:tc>
          <w:tcPr>
            <w:tcW w:w="9180" w:type="dxa"/>
            <w:gridSpan w:val="4"/>
          </w:tcPr>
          <w:p w14:paraId="5D10F46E" w14:textId="77777777" w:rsidR="004F6D55" w:rsidRDefault="004F6D55" w:rsidP="00A828FA">
            <w:pPr>
              <w:jc w:val="both"/>
              <w:rPr>
                <w:rFonts w:ascii="Arial" w:hAnsi="Arial" w:cs="Arial"/>
                <w:sz w:val="18"/>
                <w:szCs w:val="18"/>
              </w:rPr>
            </w:pPr>
          </w:p>
          <w:p w14:paraId="6E7E01E4" w14:textId="77777777" w:rsidR="004F6D55" w:rsidRPr="00F60909" w:rsidRDefault="004F6D55"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31B712D" w14:textId="3252AFE4" w:rsidR="004F6D55" w:rsidRPr="00CB3EE6" w:rsidRDefault="004F6D55" w:rsidP="00A828FA">
            <w:pPr>
              <w:jc w:val="both"/>
              <w:rPr>
                <w:rFonts w:ascii="Arial" w:hAnsi="Arial" w:cs="Arial"/>
                <w:sz w:val="18"/>
                <w:szCs w:val="18"/>
                <w:highlight w:val="yellow"/>
              </w:rPr>
            </w:pPr>
            <w:r w:rsidRPr="00CB3EE6">
              <w:rPr>
                <w:rFonts w:ascii="Arial" w:hAnsi="Arial" w:cs="Arial"/>
                <w:sz w:val="18"/>
                <w:szCs w:val="18"/>
                <w:highlight w:val="yellow"/>
              </w:rPr>
              <w:t>Art. 7a BankG; Art. 21h BankV;</w:t>
            </w:r>
            <w:r w:rsidR="00413A07">
              <w:rPr>
                <w:rFonts w:ascii="Arial" w:hAnsi="Arial" w:cs="Arial"/>
                <w:sz w:val="18"/>
                <w:szCs w:val="18"/>
                <w:highlight w:val="yellow"/>
              </w:rPr>
              <w:t xml:space="preserve"> Art. </w:t>
            </w:r>
            <w:r w:rsidR="00413A07" w:rsidRPr="005B66F8">
              <w:rPr>
                <w:rFonts w:ascii="Arial" w:hAnsi="Arial" w:cs="Arial"/>
                <w:sz w:val="18"/>
                <w:szCs w:val="18"/>
                <w:highlight w:val="yellow"/>
              </w:rPr>
              <w:t>21r</w:t>
            </w:r>
            <w:r w:rsidR="00413A07" w:rsidRPr="00BF6946">
              <w:rPr>
                <w:rFonts w:ascii="Arial" w:hAnsi="Arial" w:cs="Arial"/>
                <w:sz w:val="18"/>
                <w:szCs w:val="18"/>
                <w:highlight w:val="yellow"/>
                <w:vertAlign w:val="superscript"/>
              </w:rPr>
              <w:t>bis</w:t>
            </w:r>
            <w:r w:rsidR="00413A07" w:rsidRPr="005B66F8">
              <w:rPr>
                <w:rFonts w:ascii="Arial" w:hAnsi="Arial" w:cs="Arial"/>
                <w:sz w:val="18"/>
                <w:szCs w:val="18"/>
                <w:highlight w:val="yellow"/>
              </w:rPr>
              <w:t xml:space="preserve"> BankV</w:t>
            </w:r>
            <w:r w:rsidR="006D41E2">
              <w:rPr>
                <w:rFonts w:ascii="Arial" w:hAnsi="Arial" w:cs="Arial"/>
                <w:sz w:val="18"/>
                <w:szCs w:val="18"/>
                <w:highlight w:val="yellow"/>
              </w:rPr>
              <w:t xml:space="preserve">, </w:t>
            </w:r>
            <w:r w:rsidRPr="00CB3EE6">
              <w:rPr>
                <w:rFonts w:ascii="Arial" w:hAnsi="Arial" w:cs="Arial"/>
                <w:sz w:val="18"/>
                <w:szCs w:val="18"/>
                <w:highlight w:val="yellow"/>
              </w:rPr>
              <w:t xml:space="preserve">Anhang </w:t>
            </w:r>
            <w:r w:rsidR="00413A07">
              <w:rPr>
                <w:rFonts w:ascii="Arial" w:hAnsi="Arial" w:cs="Arial"/>
                <w:sz w:val="18"/>
                <w:szCs w:val="18"/>
                <w:highlight w:val="yellow"/>
              </w:rPr>
              <w:t>5</w:t>
            </w:r>
            <w:r w:rsidRPr="00CB3EE6">
              <w:rPr>
                <w:rFonts w:ascii="Arial" w:hAnsi="Arial" w:cs="Arial"/>
                <w:sz w:val="18"/>
                <w:szCs w:val="18"/>
                <w:highlight w:val="yellow"/>
              </w:rPr>
              <w:t xml:space="preserve"> BankV; </w:t>
            </w:r>
            <w:r w:rsidR="003D18A4">
              <w:rPr>
                <w:rFonts w:ascii="Arial" w:hAnsi="Arial" w:cs="Arial"/>
                <w:sz w:val="18"/>
                <w:szCs w:val="18"/>
                <w:highlight w:val="yellow"/>
              </w:rPr>
              <w:t>EBA/GL/2020/06</w:t>
            </w:r>
          </w:p>
          <w:p w14:paraId="7ED1B42B" w14:textId="77777777" w:rsidR="004F6D55" w:rsidRPr="009872F3" w:rsidRDefault="004F6D55"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4F6D55" w:rsidRPr="009872F3" w14:paraId="01CAE7DB" w14:textId="77777777" w:rsidTr="00A828FA">
        <w:trPr>
          <w:trHeight w:val="294"/>
        </w:trPr>
        <w:tc>
          <w:tcPr>
            <w:tcW w:w="9180" w:type="dxa"/>
            <w:gridSpan w:val="4"/>
          </w:tcPr>
          <w:p w14:paraId="053949A5" w14:textId="77777777" w:rsidR="004F6D55" w:rsidRPr="009872F3" w:rsidRDefault="004F6D55" w:rsidP="00A828FA">
            <w:pPr>
              <w:jc w:val="both"/>
              <w:rPr>
                <w:rFonts w:ascii="Arial" w:hAnsi="Arial" w:cs="Arial"/>
                <w:sz w:val="18"/>
                <w:szCs w:val="18"/>
              </w:rPr>
            </w:pPr>
          </w:p>
        </w:tc>
      </w:tr>
      <w:tr w:rsidR="004F6D55" w:rsidRPr="009872F3" w14:paraId="6DB07A1A" w14:textId="77777777" w:rsidTr="00A828FA">
        <w:tc>
          <w:tcPr>
            <w:tcW w:w="5798" w:type="dxa"/>
            <w:gridSpan w:val="3"/>
          </w:tcPr>
          <w:p w14:paraId="602D76C7"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Kreditrisiken / Gegenparteiausfallrisiken aus </w:t>
            </w:r>
            <w:r>
              <w:rPr>
                <w:rFonts w:ascii="Arial" w:hAnsi="Arial" w:cs="Arial"/>
                <w:sz w:val="18"/>
                <w:szCs w:val="18"/>
              </w:rPr>
              <w:t>Hypothekar</w:t>
            </w:r>
            <w:r w:rsidRPr="00C1307E">
              <w:rPr>
                <w:rFonts w:ascii="Arial" w:hAnsi="Arial" w:cs="Arial"/>
                <w:sz w:val="18"/>
                <w:szCs w:val="18"/>
              </w:rPr>
              <w:t>geschäften angemessen ausgestaltet ist.</w:t>
            </w:r>
          </w:p>
        </w:tc>
        <w:tc>
          <w:tcPr>
            <w:tcW w:w="3382" w:type="dxa"/>
          </w:tcPr>
          <w:p w14:paraId="4B328F4E" w14:textId="77777777" w:rsidR="004F6D55" w:rsidRPr="00E109DF" w:rsidRDefault="004F6D55"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1D4BDD0A" w14:textId="77777777" w:rsidTr="00A828FA">
        <w:tc>
          <w:tcPr>
            <w:tcW w:w="5798" w:type="dxa"/>
            <w:gridSpan w:val="3"/>
          </w:tcPr>
          <w:p w14:paraId="26491E53"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Kreditrisiken / Gegenparteiausfallrisiken aus </w:t>
            </w:r>
            <w:r>
              <w:rPr>
                <w:rFonts w:ascii="Arial" w:hAnsi="Arial" w:cs="Arial"/>
                <w:sz w:val="18"/>
                <w:szCs w:val="18"/>
              </w:rPr>
              <w:t>Hypothekar</w:t>
            </w:r>
            <w:r w:rsidRPr="00C1307E">
              <w:rPr>
                <w:rFonts w:ascii="Arial" w:hAnsi="Arial" w:cs="Arial"/>
                <w:sz w:val="18"/>
                <w:szCs w:val="18"/>
              </w:rPr>
              <w:t>geschäften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E1D18C3"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7C72E2AD" w14:textId="77777777" w:rsidTr="00A828FA">
        <w:tc>
          <w:tcPr>
            <w:tcW w:w="5798" w:type="dxa"/>
            <w:gridSpan w:val="3"/>
          </w:tcPr>
          <w:p w14:paraId="026B8734"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Hypothekar</w:t>
            </w:r>
            <w:r w:rsidRPr="00C1307E">
              <w:rPr>
                <w:rFonts w:ascii="Arial" w:hAnsi="Arial" w:cs="Arial"/>
                <w:sz w:val="18"/>
                <w:szCs w:val="18"/>
              </w:rPr>
              <w:t>geschäften angemessen sind</w:t>
            </w:r>
            <w:r>
              <w:rPr>
                <w:rFonts w:ascii="Arial" w:hAnsi="Arial" w:cs="Arial"/>
                <w:sz w:val="18"/>
                <w:szCs w:val="18"/>
              </w:rPr>
              <w:t xml:space="preserve"> und im Falle der Prüftiefe Detailprü</w:t>
            </w:r>
            <w:r w:rsidR="0050402B">
              <w:rPr>
                <w:rFonts w:ascii="Arial" w:hAnsi="Arial" w:cs="Arial"/>
                <w:sz w:val="18"/>
                <w:szCs w:val="18"/>
              </w:rPr>
              <w:t>fung effektiv angewendet wurden</w:t>
            </w:r>
            <w:r w:rsidRPr="00C1307E">
              <w:rPr>
                <w:rFonts w:ascii="Arial" w:hAnsi="Arial" w:cs="Arial"/>
                <w:sz w:val="18"/>
                <w:szCs w:val="18"/>
              </w:rPr>
              <w:t xml:space="preserve">. </w:t>
            </w:r>
          </w:p>
        </w:tc>
        <w:tc>
          <w:tcPr>
            <w:tcW w:w="3382" w:type="dxa"/>
          </w:tcPr>
          <w:p w14:paraId="722E7CB3"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E6EFD28" w14:textId="77777777" w:rsidR="004F6D55" w:rsidRPr="00CE3194" w:rsidRDefault="004F6D55" w:rsidP="004F6D5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4F6D55" w:rsidRPr="00CE3194" w14:paraId="127E95FC" w14:textId="77777777" w:rsidTr="00A828FA">
        <w:tc>
          <w:tcPr>
            <w:tcW w:w="2660" w:type="dxa"/>
          </w:tcPr>
          <w:p w14:paraId="62F2E08A"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A9CF563"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F6D55" w:rsidRPr="00CE3194" w14:paraId="618FDE6F" w14:textId="77777777" w:rsidTr="00A828FA">
        <w:tc>
          <w:tcPr>
            <w:tcW w:w="2660" w:type="dxa"/>
          </w:tcPr>
          <w:p w14:paraId="1D4C8ECF"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D0F5FC3" w14:textId="77777777" w:rsidR="0050402B" w:rsidRDefault="0050402B" w:rsidP="0050402B">
            <w:pPr>
              <w:jc w:val="both"/>
              <w:rPr>
                <w:rFonts w:ascii="Arial" w:hAnsi="Arial" w:cs="Arial"/>
                <w:i/>
                <w:sz w:val="20"/>
                <w:szCs w:val="20"/>
                <w:highlight w:val="lightGray"/>
              </w:rPr>
            </w:pPr>
          </w:p>
          <w:p w14:paraId="71D97708" w14:textId="77777777" w:rsidR="004F6D55"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3EB85AC7"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17F5B4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DDDD4F0" w14:textId="417970C2"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Verantwortlichkeiten und Kompetenzen sind klar</w:t>
            </w:r>
            <w:r w:rsidR="007D341F">
              <w:rPr>
                <w:rFonts w:cs="Arial"/>
                <w:i/>
                <w:szCs w:val="20"/>
                <w:highlight w:val="lightGray"/>
              </w:rPr>
              <w:t xml:space="preserve"> und angemessen</w:t>
            </w:r>
            <w:r w:rsidRPr="00CE3194">
              <w:rPr>
                <w:rFonts w:cs="Arial"/>
                <w:i/>
                <w:szCs w:val="20"/>
                <w:highlight w:val="lightGray"/>
              </w:rPr>
              <w:t xml:space="preserve"> geregelt;</w:t>
            </w:r>
          </w:p>
          <w:p w14:paraId="523ED7B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FE6BA8F"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2BBE4236" w14:textId="77777777" w:rsidTr="00A828FA">
        <w:tc>
          <w:tcPr>
            <w:tcW w:w="2660" w:type="dxa"/>
          </w:tcPr>
          <w:p w14:paraId="67552409"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85453B2" w14:textId="77777777" w:rsidR="0074539F" w:rsidRPr="00CE3194" w:rsidRDefault="0074539F" w:rsidP="00A828FA">
            <w:pPr>
              <w:jc w:val="both"/>
              <w:rPr>
                <w:rFonts w:ascii="Arial" w:hAnsi="Arial" w:cs="Arial"/>
                <w:i/>
                <w:sz w:val="20"/>
                <w:szCs w:val="20"/>
                <w:highlight w:val="lightGray"/>
              </w:rPr>
            </w:pPr>
          </w:p>
        </w:tc>
        <w:tc>
          <w:tcPr>
            <w:tcW w:w="6520" w:type="dxa"/>
          </w:tcPr>
          <w:p w14:paraId="661BB91D" w14:textId="7B23195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50998B7D" w14:textId="6AE789F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sehen die Anwendung des 4-Augen-Prinzips</w:t>
            </w:r>
            <w:r w:rsidR="00546003">
              <w:rPr>
                <w:rFonts w:cs="Arial"/>
                <w:i/>
                <w:szCs w:val="20"/>
                <w:highlight w:val="lightGray"/>
              </w:rPr>
              <w:t xml:space="preserve"> oder Funktionstrennung bei Schlüsselkontrollen</w:t>
            </w:r>
            <w:r w:rsidRPr="00CE3194">
              <w:rPr>
                <w:rFonts w:cs="Arial"/>
                <w:i/>
                <w:szCs w:val="20"/>
                <w:highlight w:val="lightGray"/>
              </w:rPr>
              <w:t xml:space="preserve"> vor;</w:t>
            </w:r>
          </w:p>
          <w:p w14:paraId="2D892137" w14:textId="4FA460C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00CBF68D"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internen Verfahren stellen den internen Wissenstransfer (Berichterstattung) angemessen sicher</w:t>
            </w:r>
          </w:p>
        </w:tc>
      </w:tr>
      <w:tr w:rsidR="004F6D55" w14:paraId="3E5D18A1" w14:textId="77777777" w:rsidTr="00A828FA">
        <w:tc>
          <w:tcPr>
            <w:tcW w:w="2660" w:type="dxa"/>
          </w:tcPr>
          <w:p w14:paraId="3CFED3EE" w14:textId="77777777" w:rsidR="004F6D55" w:rsidRDefault="004F6D55" w:rsidP="00A828F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17152D4A"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277272F"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026EB7F"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025548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A7A7140" w14:textId="77777777" w:rsidR="004F6D55" w:rsidRPr="005B66F8" w:rsidRDefault="004F6D55"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3328C6BD" w14:textId="2932895C"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Pr="00055C14">
              <w:rPr>
                <w:rFonts w:cs="Arial"/>
                <w:i/>
                <w:szCs w:val="20"/>
                <w:highlight w:val="lightGray"/>
              </w:rPr>
              <w:t xml:space="preserve"> mit ein</w:t>
            </w:r>
          </w:p>
        </w:tc>
      </w:tr>
    </w:tbl>
    <w:p w14:paraId="1486A3CB" w14:textId="77777777" w:rsidR="004F6D55" w:rsidRDefault="004F6D55" w:rsidP="00CB3EE6">
      <w:pPr>
        <w:jc w:val="both"/>
      </w:pPr>
    </w:p>
    <w:p w14:paraId="0C466B48"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48E560B" w14:textId="77777777" w:rsidR="00E70DF4" w:rsidRDefault="00E70DF4" w:rsidP="00CB3EE6">
      <w:pPr>
        <w:jc w:val="both"/>
      </w:pPr>
    </w:p>
    <w:p w14:paraId="63878FE7" w14:textId="77777777" w:rsidR="004F6D55" w:rsidRPr="006067FE" w:rsidRDefault="004F6D55" w:rsidP="00CB3EE6">
      <w:pPr>
        <w:jc w:val="both"/>
      </w:pPr>
    </w:p>
    <w:p w14:paraId="62A87BB0" w14:textId="77777777" w:rsidR="006067FE" w:rsidRDefault="006067FE" w:rsidP="006F7AB5">
      <w:pPr>
        <w:pStyle w:val="FINMAGliederungEbene3"/>
      </w:pPr>
      <w:bookmarkStart w:id="22" w:name="_Toc147849877"/>
      <w:r w:rsidRPr="006067FE">
        <w:t xml:space="preserve">Kreditrisiken / Gegenparteiausfallrisiken aus kommerziellen Kreditgeschäften </w:t>
      </w:r>
      <w:r w:rsidRPr="002E5C20">
        <w:rPr>
          <w:highlight w:val="yellow"/>
        </w:rPr>
        <w:t>inkl. Trade Finance</w:t>
      </w:r>
      <w:r w:rsidR="00543DCA" w:rsidRPr="002E5C20">
        <w:rPr>
          <w:highlight w:val="yellow"/>
        </w:rPr>
        <w:t xml:space="preserve"> </w:t>
      </w:r>
      <w:r w:rsidR="00543DCA">
        <w:t>(GR-3)</w:t>
      </w:r>
      <w:bookmarkEnd w:id="22"/>
    </w:p>
    <w:p w14:paraId="749E08EB" w14:textId="77777777" w:rsidR="004F6D55" w:rsidRDefault="004F6D55"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F6D55" w:rsidRPr="009872F3" w14:paraId="0C199D3A" w14:textId="77777777" w:rsidTr="00A828FA">
        <w:trPr>
          <w:trHeight w:val="563"/>
        </w:trPr>
        <w:tc>
          <w:tcPr>
            <w:tcW w:w="1932" w:type="dxa"/>
          </w:tcPr>
          <w:p w14:paraId="6DC9147B"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5623AF4A"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08866C"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F6D55" w:rsidRPr="009872F3" w14:paraId="20FD6F51" w14:textId="77777777" w:rsidTr="00A828FA">
        <w:trPr>
          <w:trHeight w:val="698"/>
        </w:trPr>
        <w:tc>
          <w:tcPr>
            <w:tcW w:w="1932" w:type="dxa"/>
          </w:tcPr>
          <w:p w14:paraId="4DB17231" w14:textId="04417AA9"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2B769D84" w14:textId="7777777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0859105"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F192BE9" w14:textId="77777777" w:rsidR="004F6D55" w:rsidRDefault="004F6D55"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3B63AE0" w14:textId="77777777" w:rsidR="004F6D55" w:rsidRPr="006749F0" w:rsidRDefault="004F6D55" w:rsidP="00A828FA">
            <w:pPr>
              <w:jc w:val="both"/>
              <w:rPr>
                <w:rFonts w:ascii="Arial" w:hAnsi="Arial" w:cs="Arial"/>
                <w:i/>
                <w:sz w:val="18"/>
                <w:szCs w:val="18"/>
              </w:rPr>
            </w:pPr>
            <w:r w:rsidRPr="006749F0">
              <w:rPr>
                <w:rFonts w:ascii="Arial" w:hAnsi="Arial" w:cs="Arial"/>
                <w:i/>
                <w:sz w:val="18"/>
                <w:szCs w:val="18"/>
                <w:highlight w:val="yellow"/>
              </w:rPr>
              <w:t>Jahr</w:t>
            </w:r>
          </w:p>
        </w:tc>
      </w:tr>
      <w:tr w:rsidR="004F6D55" w:rsidRPr="009872F3" w14:paraId="752294D4" w14:textId="77777777" w:rsidTr="00A828FA">
        <w:trPr>
          <w:trHeight w:val="636"/>
        </w:trPr>
        <w:tc>
          <w:tcPr>
            <w:tcW w:w="9180" w:type="dxa"/>
            <w:gridSpan w:val="4"/>
          </w:tcPr>
          <w:p w14:paraId="35A440A5" w14:textId="77777777" w:rsidR="004F6D55" w:rsidRDefault="004F6D55" w:rsidP="00A828FA">
            <w:pPr>
              <w:jc w:val="both"/>
              <w:rPr>
                <w:rFonts w:ascii="Arial" w:hAnsi="Arial" w:cs="Arial"/>
                <w:sz w:val="18"/>
                <w:szCs w:val="18"/>
              </w:rPr>
            </w:pPr>
          </w:p>
          <w:p w14:paraId="7950BD56" w14:textId="77777777" w:rsidR="004F6D55" w:rsidRPr="00F60909" w:rsidRDefault="004F6D55"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97C8807" w14:textId="24D101E9" w:rsidR="004F6D55" w:rsidRPr="007B1593" w:rsidRDefault="004F6D55" w:rsidP="00A828FA">
            <w:pPr>
              <w:jc w:val="both"/>
              <w:rPr>
                <w:rFonts w:ascii="Arial" w:hAnsi="Arial" w:cs="Arial"/>
                <w:sz w:val="18"/>
                <w:szCs w:val="18"/>
                <w:highlight w:val="yellow"/>
              </w:rPr>
            </w:pPr>
            <w:r w:rsidRPr="007B1593">
              <w:rPr>
                <w:rFonts w:ascii="Arial" w:hAnsi="Arial" w:cs="Arial"/>
                <w:sz w:val="18"/>
                <w:szCs w:val="18"/>
                <w:highlight w:val="yellow"/>
              </w:rPr>
              <w:t xml:space="preserve">Art. 7a BankG; Art. 21h BankV; </w:t>
            </w:r>
            <w:r w:rsidR="00413A07">
              <w:rPr>
                <w:rFonts w:ascii="Arial" w:hAnsi="Arial" w:cs="Arial"/>
                <w:sz w:val="18"/>
                <w:szCs w:val="18"/>
                <w:highlight w:val="yellow"/>
              </w:rPr>
              <w:t xml:space="preserve">Art. </w:t>
            </w:r>
            <w:r w:rsidR="00413A07" w:rsidRPr="009902D4">
              <w:rPr>
                <w:rFonts w:ascii="Arial" w:hAnsi="Arial" w:cs="Arial"/>
                <w:sz w:val="18"/>
                <w:szCs w:val="18"/>
                <w:highlight w:val="yellow"/>
              </w:rPr>
              <w:t>21r</w:t>
            </w:r>
            <w:r w:rsidR="00413A07" w:rsidRPr="00BF6946">
              <w:rPr>
                <w:rFonts w:ascii="Arial" w:hAnsi="Arial" w:cs="Arial"/>
                <w:sz w:val="18"/>
                <w:szCs w:val="18"/>
                <w:highlight w:val="yellow"/>
                <w:vertAlign w:val="superscript"/>
              </w:rPr>
              <w:t>bis</w:t>
            </w:r>
            <w:r w:rsidR="00413A07" w:rsidRPr="009902D4">
              <w:rPr>
                <w:rFonts w:ascii="Arial" w:hAnsi="Arial" w:cs="Arial"/>
                <w:sz w:val="18"/>
                <w:szCs w:val="18"/>
                <w:highlight w:val="yellow"/>
              </w:rPr>
              <w:t xml:space="preserve"> BankV</w:t>
            </w:r>
            <w:r w:rsidR="00413A07">
              <w:rPr>
                <w:rFonts w:ascii="Arial" w:hAnsi="Arial" w:cs="Arial"/>
                <w:sz w:val="18"/>
                <w:szCs w:val="18"/>
                <w:highlight w:val="yellow"/>
              </w:rPr>
              <w:t xml:space="preserve">; </w:t>
            </w:r>
            <w:r w:rsidR="00413A07" w:rsidRPr="00CB3EE6">
              <w:rPr>
                <w:rFonts w:ascii="Arial" w:hAnsi="Arial" w:cs="Arial"/>
                <w:sz w:val="18"/>
                <w:szCs w:val="18"/>
                <w:highlight w:val="yellow"/>
              </w:rPr>
              <w:t xml:space="preserve">Anhang </w:t>
            </w:r>
            <w:r w:rsidR="00413A07">
              <w:rPr>
                <w:rFonts w:ascii="Arial" w:hAnsi="Arial" w:cs="Arial"/>
                <w:sz w:val="18"/>
                <w:szCs w:val="18"/>
                <w:highlight w:val="yellow"/>
              </w:rPr>
              <w:t>5</w:t>
            </w:r>
            <w:r w:rsidR="00413A07" w:rsidRPr="00CB3EE6">
              <w:rPr>
                <w:rFonts w:ascii="Arial" w:hAnsi="Arial" w:cs="Arial"/>
                <w:sz w:val="18"/>
                <w:szCs w:val="18"/>
                <w:highlight w:val="yellow"/>
              </w:rPr>
              <w:t xml:space="preserve"> BankV</w:t>
            </w:r>
            <w:r w:rsidR="00413A07">
              <w:rPr>
                <w:rFonts w:ascii="Arial" w:hAnsi="Arial" w:cs="Arial"/>
                <w:sz w:val="18"/>
                <w:szCs w:val="18"/>
                <w:highlight w:val="yellow"/>
              </w:rPr>
              <w:t>;</w:t>
            </w:r>
            <w:r w:rsidR="003D18A4" w:rsidRPr="007B1593">
              <w:rPr>
                <w:rFonts w:ascii="Arial" w:hAnsi="Arial" w:cs="Arial"/>
                <w:sz w:val="18"/>
                <w:szCs w:val="18"/>
                <w:highlight w:val="yellow"/>
              </w:rPr>
              <w:t xml:space="preserve"> EBA/GL/2020/06</w:t>
            </w:r>
          </w:p>
          <w:p w14:paraId="297B2AB8" w14:textId="77777777" w:rsidR="004F6D55" w:rsidRPr="009872F3" w:rsidRDefault="004F6D55"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4F6D55" w:rsidRPr="009872F3" w14:paraId="0BB33313" w14:textId="77777777" w:rsidTr="00A828FA">
        <w:trPr>
          <w:trHeight w:val="294"/>
        </w:trPr>
        <w:tc>
          <w:tcPr>
            <w:tcW w:w="9180" w:type="dxa"/>
            <w:gridSpan w:val="4"/>
          </w:tcPr>
          <w:p w14:paraId="4AB48DDD" w14:textId="77777777" w:rsidR="004F6D55" w:rsidRPr="009872F3" w:rsidRDefault="004F6D55" w:rsidP="00A828FA">
            <w:pPr>
              <w:jc w:val="both"/>
              <w:rPr>
                <w:rFonts w:ascii="Arial" w:hAnsi="Arial" w:cs="Arial"/>
                <w:sz w:val="18"/>
                <w:szCs w:val="18"/>
              </w:rPr>
            </w:pPr>
          </w:p>
        </w:tc>
      </w:tr>
      <w:tr w:rsidR="004F6D55" w:rsidRPr="009872F3" w14:paraId="622E5692" w14:textId="77777777" w:rsidTr="00A828FA">
        <w:tc>
          <w:tcPr>
            <w:tcW w:w="5798" w:type="dxa"/>
            <w:gridSpan w:val="3"/>
          </w:tcPr>
          <w:p w14:paraId="74BB26EE"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Kreditrisiken / Gegenparteiausfallrisiken aus </w:t>
            </w:r>
            <w:r>
              <w:rPr>
                <w:rFonts w:ascii="Arial" w:hAnsi="Arial" w:cs="Arial"/>
                <w:sz w:val="18"/>
                <w:szCs w:val="18"/>
              </w:rPr>
              <w:t xml:space="preserve">kommerziellen Kreditgeschäften </w:t>
            </w:r>
            <w:r w:rsidRPr="002E5C20">
              <w:rPr>
                <w:rFonts w:ascii="Arial" w:hAnsi="Arial" w:cs="Arial"/>
                <w:sz w:val="18"/>
                <w:szCs w:val="18"/>
                <w:highlight w:val="yellow"/>
              </w:rPr>
              <w:t xml:space="preserve">inkl. Trade Finance </w:t>
            </w:r>
            <w:r w:rsidRPr="00C1307E">
              <w:rPr>
                <w:rFonts w:ascii="Arial" w:hAnsi="Arial" w:cs="Arial"/>
                <w:sz w:val="18"/>
                <w:szCs w:val="18"/>
              </w:rPr>
              <w:t>angemessen ausgestaltet ist.</w:t>
            </w:r>
          </w:p>
        </w:tc>
        <w:tc>
          <w:tcPr>
            <w:tcW w:w="3382" w:type="dxa"/>
          </w:tcPr>
          <w:p w14:paraId="4AD18028" w14:textId="77777777" w:rsidR="004F6D55" w:rsidRPr="00E109DF" w:rsidRDefault="004F6D55"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7144A896" w14:textId="77777777" w:rsidTr="00A828FA">
        <w:tc>
          <w:tcPr>
            <w:tcW w:w="5798" w:type="dxa"/>
            <w:gridSpan w:val="3"/>
          </w:tcPr>
          <w:p w14:paraId="26BC094A"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Kreditrisiken / Gegenparteiausfallrisiken aus </w:t>
            </w:r>
            <w:r>
              <w:rPr>
                <w:rFonts w:ascii="Arial" w:hAnsi="Arial" w:cs="Arial"/>
                <w:sz w:val="18"/>
                <w:szCs w:val="18"/>
              </w:rPr>
              <w:t xml:space="preserve">kommerziellen Kreditgeschäften </w:t>
            </w:r>
            <w:r w:rsidRPr="002E5C20">
              <w:rPr>
                <w:rFonts w:ascii="Arial" w:hAnsi="Arial" w:cs="Arial"/>
                <w:sz w:val="18"/>
                <w:szCs w:val="18"/>
                <w:highlight w:val="yellow"/>
              </w:rPr>
              <w:t>inkl. Trade Finance</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6BD2517"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7D92B5C2" w14:textId="77777777" w:rsidTr="00A828FA">
        <w:tc>
          <w:tcPr>
            <w:tcW w:w="5798" w:type="dxa"/>
            <w:gridSpan w:val="3"/>
          </w:tcPr>
          <w:p w14:paraId="72047C66"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 xml:space="preserve">kommerziellen Kreditgeschäften </w:t>
            </w:r>
            <w:r w:rsidRPr="002E5C20">
              <w:rPr>
                <w:rFonts w:ascii="Arial" w:hAnsi="Arial" w:cs="Arial"/>
                <w:sz w:val="18"/>
                <w:szCs w:val="18"/>
                <w:highlight w:val="yellow"/>
              </w:rPr>
              <w:t>inkl. Trade Finance</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w:t>
            </w:r>
            <w:r w:rsidR="0050402B">
              <w:rPr>
                <w:rFonts w:ascii="Arial" w:hAnsi="Arial" w:cs="Arial"/>
                <w:sz w:val="18"/>
                <w:szCs w:val="18"/>
              </w:rPr>
              <w:t xml:space="preserve"> angewendet wurden</w:t>
            </w:r>
            <w:r w:rsidRPr="00C1307E">
              <w:rPr>
                <w:rFonts w:ascii="Arial" w:hAnsi="Arial" w:cs="Arial"/>
                <w:sz w:val="18"/>
                <w:szCs w:val="18"/>
              </w:rPr>
              <w:t xml:space="preserve">. </w:t>
            </w:r>
          </w:p>
        </w:tc>
        <w:tc>
          <w:tcPr>
            <w:tcW w:w="3382" w:type="dxa"/>
          </w:tcPr>
          <w:p w14:paraId="31254347"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053D1CF" w14:textId="77777777" w:rsidR="004F6D55" w:rsidRPr="00CE3194" w:rsidRDefault="004F6D55" w:rsidP="004F6D5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4F6D55" w:rsidRPr="00CE3194" w14:paraId="7FB35B18" w14:textId="77777777" w:rsidTr="00A828FA">
        <w:tc>
          <w:tcPr>
            <w:tcW w:w="2660" w:type="dxa"/>
          </w:tcPr>
          <w:p w14:paraId="2AA4AF44"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AE49EF9"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F6D55" w:rsidRPr="00CE3194" w14:paraId="22912D6E" w14:textId="77777777" w:rsidTr="00A828FA">
        <w:tc>
          <w:tcPr>
            <w:tcW w:w="2660" w:type="dxa"/>
          </w:tcPr>
          <w:p w14:paraId="1EBAA11B"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8C3462C" w14:textId="77777777" w:rsidR="0050402B" w:rsidRDefault="0050402B" w:rsidP="0050402B">
            <w:pPr>
              <w:jc w:val="both"/>
              <w:rPr>
                <w:rFonts w:ascii="Arial" w:hAnsi="Arial" w:cs="Arial"/>
                <w:i/>
                <w:sz w:val="20"/>
                <w:szCs w:val="20"/>
                <w:highlight w:val="lightGray"/>
              </w:rPr>
            </w:pPr>
          </w:p>
          <w:p w14:paraId="7667FD1E" w14:textId="77777777" w:rsidR="004F6D55"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r w:rsidRPr="00667026">
              <w:rPr>
                <w:rFonts w:ascii="Arial" w:hAnsi="Arial" w:cs="Arial"/>
                <w:i/>
                <w:sz w:val="20"/>
                <w:szCs w:val="20"/>
                <w:highlight w:val="lightGray"/>
              </w:rPr>
              <w:lastRenderedPageBreak/>
              <w:t>Know-How, Interessenskonflikte)</w:t>
            </w:r>
          </w:p>
        </w:tc>
        <w:tc>
          <w:tcPr>
            <w:tcW w:w="6520" w:type="dxa"/>
          </w:tcPr>
          <w:p w14:paraId="0E6660E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08A08B9C"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218A5A8" w14:textId="760F701D"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697EA88"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1D0D4EB5"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Anzahl und Zusammensetzung der internen Ausschüsse sind angemessen;</w:t>
            </w:r>
          </w:p>
        </w:tc>
      </w:tr>
      <w:tr w:rsidR="0074539F" w:rsidRPr="00CE3194" w14:paraId="777FA367" w14:textId="77777777" w:rsidTr="00A828FA">
        <w:tc>
          <w:tcPr>
            <w:tcW w:w="2660" w:type="dxa"/>
          </w:tcPr>
          <w:p w14:paraId="368886DD"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2EAAA514" w14:textId="77777777" w:rsidR="0074539F" w:rsidRPr="00CE3194" w:rsidRDefault="0074539F" w:rsidP="00A828FA">
            <w:pPr>
              <w:jc w:val="both"/>
              <w:rPr>
                <w:rFonts w:ascii="Arial" w:hAnsi="Arial" w:cs="Arial"/>
                <w:i/>
                <w:sz w:val="20"/>
                <w:szCs w:val="20"/>
                <w:highlight w:val="lightGray"/>
              </w:rPr>
            </w:pPr>
          </w:p>
        </w:tc>
        <w:tc>
          <w:tcPr>
            <w:tcW w:w="6520" w:type="dxa"/>
          </w:tcPr>
          <w:p w14:paraId="638BAD1B" w14:textId="0174BFE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007CD189" w14:textId="494D0DA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4F7F1763" w14:textId="2C12C3D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59B107A8"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F6D55" w14:paraId="4EDFDD13" w14:textId="77777777" w:rsidTr="00A828FA">
        <w:tc>
          <w:tcPr>
            <w:tcW w:w="2660" w:type="dxa"/>
          </w:tcPr>
          <w:p w14:paraId="76AC8B6B" w14:textId="77777777" w:rsidR="004F6D55" w:rsidRDefault="004F6D55"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46D8261"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82F9C7B"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592DAF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DE75674"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3C8B7B9" w14:textId="77777777" w:rsidR="004F6D55" w:rsidRPr="005B66F8" w:rsidRDefault="004F6D55"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7EEC6B5D" w14:textId="12F32DC6"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7D30F957" w14:textId="77777777" w:rsidR="004F6D55" w:rsidRDefault="004F6D55" w:rsidP="00CB3EE6">
      <w:pPr>
        <w:jc w:val="both"/>
      </w:pPr>
    </w:p>
    <w:p w14:paraId="5ADA7DD5"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B1A3EB5" w14:textId="77777777" w:rsidR="00E70DF4" w:rsidRDefault="00E70DF4" w:rsidP="00CB3EE6">
      <w:pPr>
        <w:jc w:val="both"/>
      </w:pPr>
    </w:p>
    <w:p w14:paraId="08E44F91" w14:textId="77777777" w:rsidR="004F6D55" w:rsidRPr="006067FE" w:rsidRDefault="004F6D55" w:rsidP="00CB3EE6">
      <w:pPr>
        <w:jc w:val="both"/>
      </w:pPr>
    </w:p>
    <w:p w14:paraId="39CD2ECA" w14:textId="77777777" w:rsidR="006067FE" w:rsidRDefault="006067FE" w:rsidP="006F7AB5">
      <w:pPr>
        <w:pStyle w:val="FINMAGliederungEbene3"/>
      </w:pPr>
      <w:bookmarkStart w:id="23" w:name="_Toc147849878"/>
      <w:r w:rsidRPr="006067FE">
        <w:t>Kreditrisiken / Gegenparteiausfallrisiken aus Lombardkreditgeschäften</w:t>
      </w:r>
      <w:r w:rsidR="00543DCA">
        <w:t xml:space="preserve"> (GR-4)</w:t>
      </w:r>
      <w:bookmarkEnd w:id="23"/>
    </w:p>
    <w:p w14:paraId="0F88CF4E" w14:textId="77777777" w:rsidR="004F6D55" w:rsidRDefault="004F6D55"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F6D55" w:rsidRPr="009872F3" w14:paraId="6CD1DB14" w14:textId="77777777" w:rsidTr="00A828FA">
        <w:trPr>
          <w:trHeight w:val="563"/>
        </w:trPr>
        <w:tc>
          <w:tcPr>
            <w:tcW w:w="1932" w:type="dxa"/>
          </w:tcPr>
          <w:p w14:paraId="0E85A799"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387B5E44"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FDC2DB1"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F6D55" w:rsidRPr="009872F3" w14:paraId="64CB19F8" w14:textId="77777777" w:rsidTr="00A828FA">
        <w:trPr>
          <w:trHeight w:val="698"/>
        </w:trPr>
        <w:tc>
          <w:tcPr>
            <w:tcW w:w="1932" w:type="dxa"/>
          </w:tcPr>
          <w:p w14:paraId="49CE912A" w14:textId="5F0B5546"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4A3DEB0" w14:textId="7777777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DA2C506"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86D7523" w14:textId="77777777" w:rsidR="004F6D55" w:rsidRDefault="004F6D55"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A33803B" w14:textId="77777777" w:rsidR="004F6D55" w:rsidRPr="006749F0" w:rsidRDefault="004F6D55" w:rsidP="00A828FA">
            <w:pPr>
              <w:jc w:val="both"/>
              <w:rPr>
                <w:rFonts w:ascii="Arial" w:hAnsi="Arial" w:cs="Arial"/>
                <w:i/>
                <w:sz w:val="18"/>
                <w:szCs w:val="18"/>
              </w:rPr>
            </w:pPr>
            <w:r w:rsidRPr="006749F0">
              <w:rPr>
                <w:rFonts w:ascii="Arial" w:hAnsi="Arial" w:cs="Arial"/>
                <w:i/>
                <w:sz w:val="18"/>
                <w:szCs w:val="18"/>
                <w:highlight w:val="yellow"/>
              </w:rPr>
              <w:t>Jahr</w:t>
            </w:r>
          </w:p>
        </w:tc>
      </w:tr>
      <w:tr w:rsidR="004F6D55" w:rsidRPr="009872F3" w14:paraId="3500B2E8" w14:textId="77777777" w:rsidTr="00A828FA">
        <w:trPr>
          <w:trHeight w:val="636"/>
        </w:trPr>
        <w:tc>
          <w:tcPr>
            <w:tcW w:w="9180" w:type="dxa"/>
            <w:gridSpan w:val="4"/>
          </w:tcPr>
          <w:p w14:paraId="5EB02452" w14:textId="77777777" w:rsidR="004F6D55" w:rsidRDefault="004F6D55" w:rsidP="00A828FA">
            <w:pPr>
              <w:jc w:val="both"/>
              <w:rPr>
                <w:rFonts w:ascii="Arial" w:hAnsi="Arial" w:cs="Arial"/>
                <w:sz w:val="18"/>
                <w:szCs w:val="18"/>
              </w:rPr>
            </w:pPr>
          </w:p>
          <w:p w14:paraId="266E46D7" w14:textId="77777777" w:rsidR="004F6D55" w:rsidRPr="00F60909" w:rsidRDefault="004F6D55"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FA072E8" w14:textId="022A001E" w:rsidR="004F6D55" w:rsidRPr="007B1593" w:rsidRDefault="004F6D55" w:rsidP="00A828FA">
            <w:pPr>
              <w:jc w:val="both"/>
              <w:rPr>
                <w:rFonts w:ascii="Arial" w:hAnsi="Arial" w:cs="Arial"/>
                <w:sz w:val="18"/>
                <w:szCs w:val="18"/>
                <w:highlight w:val="yellow"/>
              </w:rPr>
            </w:pPr>
            <w:r w:rsidRPr="007B1593">
              <w:rPr>
                <w:rFonts w:ascii="Arial" w:hAnsi="Arial" w:cs="Arial"/>
                <w:sz w:val="18"/>
                <w:szCs w:val="18"/>
                <w:highlight w:val="yellow"/>
              </w:rPr>
              <w:t xml:space="preserve">Art. 7a BankG; Art. 21h BankV; </w:t>
            </w:r>
            <w:r w:rsidR="00301F5D">
              <w:rPr>
                <w:rFonts w:ascii="Arial" w:hAnsi="Arial" w:cs="Arial"/>
                <w:sz w:val="18"/>
                <w:szCs w:val="18"/>
                <w:highlight w:val="yellow"/>
              </w:rPr>
              <w:t xml:space="preserve">Art. </w:t>
            </w:r>
            <w:r w:rsidR="00301F5D" w:rsidRPr="009902D4">
              <w:rPr>
                <w:rFonts w:ascii="Arial" w:hAnsi="Arial" w:cs="Arial"/>
                <w:sz w:val="18"/>
                <w:szCs w:val="18"/>
                <w:highlight w:val="yellow"/>
              </w:rPr>
              <w:t>21r</w:t>
            </w:r>
            <w:r w:rsidR="00301F5D" w:rsidRPr="00BF6946">
              <w:rPr>
                <w:rFonts w:ascii="Arial" w:hAnsi="Arial" w:cs="Arial"/>
                <w:sz w:val="18"/>
                <w:szCs w:val="18"/>
                <w:highlight w:val="yellow"/>
                <w:vertAlign w:val="superscript"/>
              </w:rPr>
              <w:t>bis</w:t>
            </w:r>
            <w:r w:rsidR="00301F5D" w:rsidRPr="009902D4">
              <w:rPr>
                <w:rFonts w:ascii="Arial" w:hAnsi="Arial" w:cs="Arial"/>
                <w:sz w:val="18"/>
                <w:szCs w:val="18"/>
                <w:highlight w:val="yellow"/>
              </w:rPr>
              <w:t xml:space="preserve"> BankV</w:t>
            </w:r>
            <w:r w:rsidR="00301F5D">
              <w:rPr>
                <w:rFonts w:ascii="Arial" w:hAnsi="Arial" w:cs="Arial"/>
                <w:sz w:val="18"/>
                <w:szCs w:val="18"/>
                <w:highlight w:val="yellow"/>
              </w:rPr>
              <w:t>;</w:t>
            </w:r>
            <w:r w:rsidR="00301F5D" w:rsidRPr="00CB3EE6">
              <w:rPr>
                <w:rFonts w:ascii="Arial" w:hAnsi="Arial" w:cs="Arial"/>
                <w:sz w:val="18"/>
                <w:szCs w:val="18"/>
                <w:highlight w:val="yellow"/>
              </w:rPr>
              <w:t xml:space="preserve"> Anhang </w:t>
            </w:r>
            <w:r w:rsidR="00301F5D">
              <w:rPr>
                <w:rFonts w:ascii="Arial" w:hAnsi="Arial" w:cs="Arial"/>
                <w:sz w:val="18"/>
                <w:szCs w:val="18"/>
                <w:highlight w:val="yellow"/>
              </w:rPr>
              <w:t>5</w:t>
            </w:r>
            <w:r w:rsidR="00301F5D" w:rsidRPr="00CB3EE6">
              <w:rPr>
                <w:rFonts w:ascii="Arial" w:hAnsi="Arial" w:cs="Arial"/>
                <w:sz w:val="18"/>
                <w:szCs w:val="18"/>
                <w:highlight w:val="yellow"/>
              </w:rPr>
              <w:t xml:space="preserve"> BankV</w:t>
            </w:r>
            <w:r w:rsidR="00301F5D">
              <w:rPr>
                <w:rFonts w:ascii="Arial" w:hAnsi="Arial" w:cs="Arial"/>
                <w:sz w:val="18"/>
                <w:szCs w:val="18"/>
                <w:highlight w:val="yellow"/>
              </w:rPr>
              <w:t>;</w:t>
            </w:r>
            <w:r w:rsidR="003D18A4" w:rsidRPr="007B1593">
              <w:rPr>
                <w:rFonts w:ascii="Arial" w:hAnsi="Arial" w:cs="Arial"/>
                <w:sz w:val="18"/>
                <w:szCs w:val="18"/>
                <w:highlight w:val="yellow"/>
              </w:rPr>
              <w:t xml:space="preserve"> EBA/GL/2020/06</w:t>
            </w:r>
          </w:p>
          <w:p w14:paraId="79650F16" w14:textId="77777777" w:rsidR="004F6D55" w:rsidRPr="009872F3" w:rsidRDefault="004F6D55"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4F6D55" w:rsidRPr="009872F3" w14:paraId="7BC79EEE" w14:textId="77777777" w:rsidTr="00A828FA">
        <w:trPr>
          <w:trHeight w:val="294"/>
        </w:trPr>
        <w:tc>
          <w:tcPr>
            <w:tcW w:w="9180" w:type="dxa"/>
            <w:gridSpan w:val="4"/>
          </w:tcPr>
          <w:p w14:paraId="76DC481E" w14:textId="77777777" w:rsidR="004F6D55" w:rsidRPr="009872F3" w:rsidRDefault="004F6D55" w:rsidP="00A828FA">
            <w:pPr>
              <w:jc w:val="both"/>
              <w:rPr>
                <w:rFonts w:ascii="Arial" w:hAnsi="Arial" w:cs="Arial"/>
                <w:sz w:val="18"/>
                <w:szCs w:val="18"/>
              </w:rPr>
            </w:pPr>
          </w:p>
        </w:tc>
      </w:tr>
      <w:tr w:rsidR="004F6D55" w:rsidRPr="009872F3" w14:paraId="231F5CA9" w14:textId="77777777" w:rsidTr="00A828FA">
        <w:tc>
          <w:tcPr>
            <w:tcW w:w="5798" w:type="dxa"/>
            <w:gridSpan w:val="3"/>
          </w:tcPr>
          <w:p w14:paraId="3429105D"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Kreditrisiken / Gegenparteiausfallrisiken aus </w:t>
            </w:r>
            <w:r>
              <w:rPr>
                <w:rFonts w:ascii="Arial" w:hAnsi="Arial" w:cs="Arial"/>
                <w:sz w:val="18"/>
                <w:szCs w:val="18"/>
              </w:rPr>
              <w:t>Lombardkreditgeschäften</w:t>
            </w:r>
            <w:r w:rsidRPr="00C1307E">
              <w:rPr>
                <w:rFonts w:ascii="Arial" w:hAnsi="Arial" w:cs="Arial"/>
                <w:sz w:val="18"/>
                <w:szCs w:val="18"/>
              </w:rPr>
              <w:t xml:space="preserve"> angemessen ausgestaltet ist.</w:t>
            </w:r>
          </w:p>
        </w:tc>
        <w:tc>
          <w:tcPr>
            <w:tcW w:w="3382" w:type="dxa"/>
          </w:tcPr>
          <w:p w14:paraId="26659C06" w14:textId="77777777" w:rsidR="004F6D55" w:rsidRPr="00E109DF" w:rsidRDefault="004F6D55"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32310622" w14:textId="77777777" w:rsidTr="00A828FA">
        <w:tc>
          <w:tcPr>
            <w:tcW w:w="5798" w:type="dxa"/>
            <w:gridSpan w:val="3"/>
          </w:tcPr>
          <w:p w14:paraId="05328801"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Kreditrisiken / Gegenparteiausfallrisiken aus </w:t>
            </w:r>
            <w:r>
              <w:rPr>
                <w:rFonts w:ascii="Arial" w:hAnsi="Arial" w:cs="Arial"/>
                <w:sz w:val="18"/>
                <w:szCs w:val="18"/>
              </w:rPr>
              <w:t xml:space="preserve">Lombardkreditgeschäften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E984236"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1AEA2EF7" w14:textId="77777777" w:rsidTr="00A828FA">
        <w:tc>
          <w:tcPr>
            <w:tcW w:w="5798" w:type="dxa"/>
            <w:gridSpan w:val="3"/>
          </w:tcPr>
          <w:p w14:paraId="1DC50B37"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Lombardkreditgeschäften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w:t>
            </w:r>
            <w:r w:rsidR="0050402B">
              <w:rPr>
                <w:rFonts w:ascii="Arial" w:hAnsi="Arial" w:cs="Arial"/>
                <w:sz w:val="18"/>
                <w:szCs w:val="18"/>
              </w:rPr>
              <w:t>fung effektiv angewendet wurden</w:t>
            </w:r>
            <w:r w:rsidRPr="00C1307E">
              <w:rPr>
                <w:rFonts w:ascii="Arial" w:hAnsi="Arial" w:cs="Arial"/>
                <w:sz w:val="18"/>
                <w:szCs w:val="18"/>
              </w:rPr>
              <w:t xml:space="preserve">. </w:t>
            </w:r>
          </w:p>
        </w:tc>
        <w:tc>
          <w:tcPr>
            <w:tcW w:w="3382" w:type="dxa"/>
          </w:tcPr>
          <w:p w14:paraId="2B4BEDAF"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5186BC9" w14:textId="77777777" w:rsidR="004F6D55" w:rsidRPr="00CE3194" w:rsidRDefault="004F6D55" w:rsidP="004F6D5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4F6D55" w:rsidRPr="00CE3194" w14:paraId="64FDD1C8" w14:textId="77777777" w:rsidTr="00A828FA">
        <w:tc>
          <w:tcPr>
            <w:tcW w:w="2660" w:type="dxa"/>
          </w:tcPr>
          <w:p w14:paraId="34EBBE62"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lastRenderedPageBreak/>
              <w:t>Prüfelemente</w:t>
            </w:r>
          </w:p>
        </w:tc>
        <w:tc>
          <w:tcPr>
            <w:tcW w:w="6520" w:type="dxa"/>
          </w:tcPr>
          <w:p w14:paraId="52F39090"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F6D55" w:rsidRPr="00CE3194" w14:paraId="1F3984A7" w14:textId="77777777" w:rsidTr="00A828FA">
        <w:tc>
          <w:tcPr>
            <w:tcW w:w="2660" w:type="dxa"/>
          </w:tcPr>
          <w:p w14:paraId="7865CDF4"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49B03D9" w14:textId="77777777" w:rsidR="0050402B" w:rsidRDefault="0050402B" w:rsidP="0050402B">
            <w:pPr>
              <w:jc w:val="both"/>
              <w:rPr>
                <w:rFonts w:ascii="Arial" w:hAnsi="Arial" w:cs="Arial"/>
                <w:i/>
                <w:sz w:val="20"/>
                <w:szCs w:val="20"/>
                <w:highlight w:val="lightGray"/>
              </w:rPr>
            </w:pPr>
          </w:p>
          <w:p w14:paraId="79EF7F8F" w14:textId="77777777" w:rsidR="004F6D55"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73FD8828"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05D666F"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A2F8C8F" w14:textId="1BD76671"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D303ACB"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E4C4681"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05DBFDC" w14:textId="77777777" w:rsidTr="00A828FA">
        <w:tc>
          <w:tcPr>
            <w:tcW w:w="2660" w:type="dxa"/>
          </w:tcPr>
          <w:p w14:paraId="7CA2C093"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AC2B34D" w14:textId="77777777" w:rsidR="0074539F" w:rsidRPr="00CE3194" w:rsidRDefault="0074539F" w:rsidP="00A828FA">
            <w:pPr>
              <w:jc w:val="both"/>
              <w:rPr>
                <w:rFonts w:ascii="Arial" w:hAnsi="Arial" w:cs="Arial"/>
                <w:i/>
                <w:sz w:val="20"/>
                <w:szCs w:val="20"/>
                <w:highlight w:val="lightGray"/>
              </w:rPr>
            </w:pPr>
          </w:p>
        </w:tc>
        <w:tc>
          <w:tcPr>
            <w:tcW w:w="6520" w:type="dxa"/>
          </w:tcPr>
          <w:p w14:paraId="6A655A07" w14:textId="2BDD6AC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4D3B9C34" w14:textId="3181CEA6"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2E452AF" w14:textId="5BE188B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0C44A43F"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F6D55" w14:paraId="427E0AA8" w14:textId="77777777" w:rsidTr="00A828FA">
        <w:tc>
          <w:tcPr>
            <w:tcW w:w="2660" w:type="dxa"/>
          </w:tcPr>
          <w:p w14:paraId="67962384" w14:textId="77777777" w:rsidR="004F6D55" w:rsidRDefault="004F6D55"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5DD7040"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1B27ECF1"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5B99B0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C7D9F09"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427D236" w14:textId="77777777" w:rsidR="004F6D55" w:rsidRPr="005B66F8" w:rsidRDefault="004F6D55"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1A4ACBED" w14:textId="63B165BD"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786B9469" w14:textId="77777777" w:rsidR="004F6D55" w:rsidRDefault="004F6D55" w:rsidP="00CB3EE6">
      <w:pPr>
        <w:jc w:val="both"/>
      </w:pPr>
    </w:p>
    <w:p w14:paraId="522987FD"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E52DAE4" w14:textId="77777777" w:rsidR="00E70DF4" w:rsidRDefault="00E70DF4" w:rsidP="00CB3EE6">
      <w:pPr>
        <w:jc w:val="both"/>
      </w:pPr>
    </w:p>
    <w:p w14:paraId="6BA41878" w14:textId="77777777" w:rsidR="004F6D55" w:rsidRPr="006067FE" w:rsidRDefault="004F6D55" w:rsidP="00CB3EE6">
      <w:pPr>
        <w:jc w:val="both"/>
      </w:pPr>
    </w:p>
    <w:p w14:paraId="114BA3EA" w14:textId="77777777" w:rsidR="006067FE" w:rsidRDefault="006067FE" w:rsidP="006F7AB5">
      <w:pPr>
        <w:pStyle w:val="FINMAGliederungEbene3"/>
      </w:pPr>
      <w:bookmarkStart w:id="24" w:name="_Toc147849879"/>
      <w:r w:rsidRPr="006067FE">
        <w:t xml:space="preserve">Kreditrisiken / Gegenparteiausfallrisiken aus </w:t>
      </w:r>
      <w:r w:rsidR="00764E6A" w:rsidRPr="002E5C20">
        <w:rPr>
          <w:highlight w:val="yellow"/>
        </w:rPr>
        <w:t>Konsumkrediten und anderen unbesicherten Krediten</w:t>
      </w:r>
      <w:r w:rsidR="00543DCA">
        <w:t xml:space="preserve"> (GR-5)</w:t>
      </w:r>
      <w:bookmarkEnd w:id="24"/>
    </w:p>
    <w:p w14:paraId="1DDC0647" w14:textId="77777777" w:rsidR="004F6D55" w:rsidRDefault="004F6D55"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F6D55" w:rsidRPr="009872F3" w14:paraId="0B14A812" w14:textId="77777777" w:rsidTr="00A828FA">
        <w:trPr>
          <w:trHeight w:val="563"/>
        </w:trPr>
        <w:tc>
          <w:tcPr>
            <w:tcW w:w="1932" w:type="dxa"/>
          </w:tcPr>
          <w:p w14:paraId="1CE98319"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45571D7D"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A132239"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F6D55" w:rsidRPr="009872F3" w14:paraId="6E164CA8" w14:textId="77777777" w:rsidTr="00A828FA">
        <w:trPr>
          <w:trHeight w:val="698"/>
        </w:trPr>
        <w:tc>
          <w:tcPr>
            <w:tcW w:w="1932" w:type="dxa"/>
          </w:tcPr>
          <w:p w14:paraId="32807955" w14:textId="50D33AE4"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5BB6D9A" w14:textId="77777777" w:rsidR="004F6D55" w:rsidRPr="006749F0" w:rsidRDefault="004F6D55"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2685782" w14:textId="77777777" w:rsidR="004F6D55" w:rsidRPr="009872F3" w:rsidRDefault="004F6D55"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7F1D04B" w14:textId="77777777" w:rsidR="004F6D55" w:rsidRDefault="004F6D55"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2D0C4B0" w14:textId="77777777" w:rsidR="004F6D55" w:rsidRPr="006749F0" w:rsidRDefault="004F6D55" w:rsidP="00A828FA">
            <w:pPr>
              <w:jc w:val="both"/>
              <w:rPr>
                <w:rFonts w:ascii="Arial" w:hAnsi="Arial" w:cs="Arial"/>
                <w:i/>
                <w:sz w:val="18"/>
                <w:szCs w:val="18"/>
              </w:rPr>
            </w:pPr>
            <w:r w:rsidRPr="006749F0">
              <w:rPr>
                <w:rFonts w:ascii="Arial" w:hAnsi="Arial" w:cs="Arial"/>
                <w:i/>
                <w:sz w:val="18"/>
                <w:szCs w:val="18"/>
                <w:highlight w:val="yellow"/>
              </w:rPr>
              <w:t>Jahr</w:t>
            </w:r>
          </w:p>
        </w:tc>
      </w:tr>
      <w:tr w:rsidR="004F6D55" w:rsidRPr="009872F3" w14:paraId="64703596" w14:textId="77777777" w:rsidTr="00A828FA">
        <w:trPr>
          <w:trHeight w:val="636"/>
        </w:trPr>
        <w:tc>
          <w:tcPr>
            <w:tcW w:w="9180" w:type="dxa"/>
            <w:gridSpan w:val="4"/>
          </w:tcPr>
          <w:p w14:paraId="6887B620" w14:textId="77777777" w:rsidR="004F6D55" w:rsidRDefault="004F6D55" w:rsidP="00A828FA">
            <w:pPr>
              <w:jc w:val="both"/>
              <w:rPr>
                <w:rFonts w:ascii="Arial" w:hAnsi="Arial" w:cs="Arial"/>
                <w:sz w:val="18"/>
                <w:szCs w:val="18"/>
              </w:rPr>
            </w:pPr>
          </w:p>
          <w:p w14:paraId="3962D573" w14:textId="77777777" w:rsidR="004F6D55" w:rsidRPr="00F60909" w:rsidRDefault="004F6D55"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FA35EDE" w14:textId="33A37FD5" w:rsidR="004F6D55" w:rsidRPr="007B1593" w:rsidRDefault="004F6D55" w:rsidP="00A828FA">
            <w:pPr>
              <w:jc w:val="both"/>
              <w:rPr>
                <w:rFonts w:ascii="Arial" w:hAnsi="Arial" w:cs="Arial"/>
                <w:sz w:val="18"/>
                <w:szCs w:val="18"/>
                <w:highlight w:val="yellow"/>
              </w:rPr>
            </w:pPr>
            <w:r w:rsidRPr="007B1593">
              <w:rPr>
                <w:rFonts w:ascii="Arial" w:hAnsi="Arial" w:cs="Arial"/>
                <w:sz w:val="18"/>
                <w:szCs w:val="18"/>
                <w:highlight w:val="yellow"/>
              </w:rPr>
              <w:t xml:space="preserve">Art. 7a BankG; Art. 21h BankV; </w:t>
            </w:r>
            <w:r w:rsidR="00301F5D">
              <w:rPr>
                <w:rFonts w:ascii="Arial" w:hAnsi="Arial" w:cs="Arial"/>
                <w:sz w:val="18"/>
                <w:szCs w:val="18"/>
                <w:highlight w:val="yellow"/>
              </w:rPr>
              <w:t xml:space="preserve">Art. </w:t>
            </w:r>
            <w:r w:rsidR="00301F5D" w:rsidRPr="009902D4">
              <w:rPr>
                <w:rFonts w:ascii="Arial" w:hAnsi="Arial" w:cs="Arial"/>
                <w:sz w:val="18"/>
                <w:szCs w:val="18"/>
                <w:highlight w:val="yellow"/>
              </w:rPr>
              <w:t>21r</w:t>
            </w:r>
            <w:r w:rsidR="00301F5D" w:rsidRPr="00BF6946">
              <w:rPr>
                <w:rFonts w:ascii="Arial" w:hAnsi="Arial" w:cs="Arial"/>
                <w:sz w:val="18"/>
                <w:szCs w:val="18"/>
                <w:highlight w:val="yellow"/>
                <w:vertAlign w:val="superscript"/>
              </w:rPr>
              <w:t>bis</w:t>
            </w:r>
            <w:r w:rsidR="00301F5D" w:rsidRPr="009902D4">
              <w:rPr>
                <w:rFonts w:ascii="Arial" w:hAnsi="Arial" w:cs="Arial"/>
                <w:sz w:val="18"/>
                <w:szCs w:val="18"/>
                <w:highlight w:val="yellow"/>
              </w:rPr>
              <w:t xml:space="preserve"> BankV</w:t>
            </w:r>
            <w:r w:rsidR="00301F5D">
              <w:rPr>
                <w:rFonts w:ascii="Arial" w:hAnsi="Arial" w:cs="Arial"/>
                <w:sz w:val="18"/>
                <w:szCs w:val="18"/>
                <w:highlight w:val="yellow"/>
              </w:rPr>
              <w:t>;</w:t>
            </w:r>
            <w:r w:rsidR="00301F5D" w:rsidRPr="00CB3EE6">
              <w:rPr>
                <w:rFonts w:ascii="Arial" w:hAnsi="Arial" w:cs="Arial"/>
                <w:sz w:val="18"/>
                <w:szCs w:val="18"/>
                <w:highlight w:val="yellow"/>
              </w:rPr>
              <w:t xml:space="preserve"> Anhang </w:t>
            </w:r>
            <w:r w:rsidR="00301F5D">
              <w:rPr>
                <w:rFonts w:ascii="Arial" w:hAnsi="Arial" w:cs="Arial"/>
                <w:sz w:val="18"/>
                <w:szCs w:val="18"/>
                <w:highlight w:val="yellow"/>
              </w:rPr>
              <w:t>5</w:t>
            </w:r>
            <w:r w:rsidR="00301F5D" w:rsidRPr="00CB3EE6">
              <w:rPr>
                <w:rFonts w:ascii="Arial" w:hAnsi="Arial" w:cs="Arial"/>
                <w:sz w:val="18"/>
                <w:szCs w:val="18"/>
                <w:highlight w:val="yellow"/>
              </w:rPr>
              <w:t xml:space="preserve"> BankV</w:t>
            </w:r>
            <w:r w:rsidR="003D18A4" w:rsidRPr="007B1593">
              <w:rPr>
                <w:rFonts w:ascii="Arial" w:hAnsi="Arial" w:cs="Arial"/>
                <w:sz w:val="18"/>
                <w:szCs w:val="18"/>
                <w:highlight w:val="yellow"/>
              </w:rPr>
              <w:t>; EBA/GL/2020/06</w:t>
            </w:r>
          </w:p>
          <w:p w14:paraId="597B2611" w14:textId="77777777" w:rsidR="004F6D55" w:rsidRPr="009872F3" w:rsidRDefault="004F6D55"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4F6D55" w:rsidRPr="009872F3" w14:paraId="771707B7" w14:textId="77777777" w:rsidTr="00A828FA">
        <w:trPr>
          <w:trHeight w:val="294"/>
        </w:trPr>
        <w:tc>
          <w:tcPr>
            <w:tcW w:w="9180" w:type="dxa"/>
            <w:gridSpan w:val="4"/>
          </w:tcPr>
          <w:p w14:paraId="3FC4AC69" w14:textId="77777777" w:rsidR="004F6D55" w:rsidRPr="009872F3" w:rsidRDefault="004F6D55" w:rsidP="00A828FA">
            <w:pPr>
              <w:jc w:val="both"/>
              <w:rPr>
                <w:rFonts w:ascii="Arial" w:hAnsi="Arial" w:cs="Arial"/>
                <w:sz w:val="18"/>
                <w:szCs w:val="18"/>
              </w:rPr>
            </w:pPr>
          </w:p>
        </w:tc>
      </w:tr>
      <w:tr w:rsidR="004F6D55" w:rsidRPr="009872F3" w14:paraId="0E8D699E" w14:textId="77777777" w:rsidTr="00A828FA">
        <w:tc>
          <w:tcPr>
            <w:tcW w:w="5798" w:type="dxa"/>
            <w:gridSpan w:val="3"/>
          </w:tcPr>
          <w:p w14:paraId="498FF3F0" w14:textId="77777777" w:rsidR="004F6D55" w:rsidRPr="00C1307E" w:rsidRDefault="004F6D5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Kreditrisiken / Gegenparteiausfallrisiken aus </w:t>
            </w:r>
            <w:r w:rsidR="00ED7673" w:rsidRPr="002E5C20">
              <w:rPr>
                <w:rFonts w:ascii="Arial" w:hAnsi="Arial" w:cs="Arial"/>
                <w:sz w:val="18"/>
                <w:szCs w:val="18"/>
                <w:highlight w:val="yellow"/>
              </w:rPr>
              <w:t>Konsumkrediten und anderen</w:t>
            </w:r>
            <w:r w:rsidR="00ED7673">
              <w:rPr>
                <w:rFonts w:ascii="Arial" w:hAnsi="Arial" w:cs="Arial"/>
                <w:sz w:val="18"/>
                <w:szCs w:val="18"/>
              </w:rPr>
              <w:t xml:space="preserve"> unbesicherten Krediten</w:t>
            </w:r>
            <w:r w:rsidRPr="00C1307E">
              <w:rPr>
                <w:rFonts w:ascii="Arial" w:hAnsi="Arial" w:cs="Arial"/>
                <w:sz w:val="18"/>
                <w:szCs w:val="18"/>
              </w:rPr>
              <w:t xml:space="preserve"> angemessen ausgestaltet ist.</w:t>
            </w:r>
          </w:p>
        </w:tc>
        <w:tc>
          <w:tcPr>
            <w:tcW w:w="3382" w:type="dxa"/>
          </w:tcPr>
          <w:p w14:paraId="328E0CCA" w14:textId="77777777" w:rsidR="004F6D55" w:rsidRPr="00E109DF" w:rsidRDefault="004F6D55"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5C228C10" w14:textId="77777777" w:rsidTr="00A828FA">
        <w:tc>
          <w:tcPr>
            <w:tcW w:w="5798" w:type="dxa"/>
            <w:gridSpan w:val="3"/>
          </w:tcPr>
          <w:p w14:paraId="621989C5"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lastRenderedPageBreak/>
              <w:t xml:space="preserve">Bestätigung, dass das Interne Kontrollsystem für das Management von Kreditrisiken / Gegenparteiausfallrisiken aus </w:t>
            </w:r>
            <w:r w:rsidR="00ED7673" w:rsidRPr="002E5C20">
              <w:rPr>
                <w:rFonts w:ascii="Arial" w:hAnsi="Arial" w:cs="Arial"/>
                <w:sz w:val="18"/>
                <w:szCs w:val="18"/>
                <w:highlight w:val="yellow"/>
              </w:rPr>
              <w:t>Konsumkrediten und anderen</w:t>
            </w:r>
            <w:r w:rsidR="00ED7673">
              <w:rPr>
                <w:rFonts w:ascii="Arial" w:hAnsi="Arial" w:cs="Arial"/>
                <w:sz w:val="18"/>
                <w:szCs w:val="18"/>
              </w:rPr>
              <w:t xml:space="preserve"> unbesicherten Krediten</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8C72D53"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F6D55" w:rsidRPr="009872F3" w14:paraId="0052FC85" w14:textId="77777777" w:rsidTr="00A828FA">
        <w:tc>
          <w:tcPr>
            <w:tcW w:w="5798" w:type="dxa"/>
            <w:gridSpan w:val="3"/>
          </w:tcPr>
          <w:p w14:paraId="34642385" w14:textId="77777777" w:rsidR="004F6D55" w:rsidRPr="00C1307E" w:rsidRDefault="004F6D55"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sidR="00ED7673" w:rsidRPr="002E5C20">
              <w:rPr>
                <w:rFonts w:ascii="Arial" w:hAnsi="Arial" w:cs="Arial"/>
                <w:sz w:val="18"/>
                <w:szCs w:val="18"/>
                <w:highlight w:val="yellow"/>
              </w:rPr>
              <w:t>Konsumkrediten und anderen</w:t>
            </w:r>
            <w:r w:rsidR="00ED7673">
              <w:rPr>
                <w:rFonts w:ascii="Arial" w:hAnsi="Arial" w:cs="Arial"/>
                <w:sz w:val="18"/>
                <w:szCs w:val="18"/>
              </w:rPr>
              <w:t xml:space="preserve"> unbesicherten Krediten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w:t>
            </w:r>
            <w:r w:rsidR="0050402B">
              <w:rPr>
                <w:rFonts w:ascii="Arial" w:hAnsi="Arial" w:cs="Arial"/>
                <w:sz w:val="18"/>
                <w:szCs w:val="18"/>
              </w:rPr>
              <w:t>fung effektiv angewendet wurden</w:t>
            </w:r>
            <w:r w:rsidRPr="00C1307E">
              <w:rPr>
                <w:rFonts w:ascii="Arial" w:hAnsi="Arial" w:cs="Arial"/>
                <w:sz w:val="18"/>
                <w:szCs w:val="18"/>
              </w:rPr>
              <w:t xml:space="preserve">. </w:t>
            </w:r>
          </w:p>
        </w:tc>
        <w:tc>
          <w:tcPr>
            <w:tcW w:w="3382" w:type="dxa"/>
          </w:tcPr>
          <w:p w14:paraId="00B379C4" w14:textId="77777777" w:rsidR="004F6D55" w:rsidRPr="009872F3" w:rsidRDefault="004F6D55"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AAE2328" w14:textId="77777777" w:rsidR="004F6D55" w:rsidRPr="00CE3194" w:rsidRDefault="004F6D55" w:rsidP="004F6D5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4F6D55" w:rsidRPr="00CE3194" w14:paraId="298BECB7" w14:textId="77777777" w:rsidTr="00A828FA">
        <w:tc>
          <w:tcPr>
            <w:tcW w:w="2660" w:type="dxa"/>
          </w:tcPr>
          <w:p w14:paraId="55877448"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884CBD1" w14:textId="77777777" w:rsidR="004F6D55" w:rsidRPr="00CE3194" w:rsidRDefault="004F6D55"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4F6D55" w:rsidRPr="00CE3194" w14:paraId="46AF0C2C" w14:textId="77777777" w:rsidTr="00A828FA">
        <w:tc>
          <w:tcPr>
            <w:tcW w:w="2660" w:type="dxa"/>
          </w:tcPr>
          <w:p w14:paraId="7804EF8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06555EB" w14:textId="77777777" w:rsidR="0050402B" w:rsidRDefault="0050402B" w:rsidP="0050402B">
            <w:pPr>
              <w:jc w:val="both"/>
              <w:rPr>
                <w:rFonts w:ascii="Arial" w:hAnsi="Arial" w:cs="Arial"/>
                <w:i/>
                <w:sz w:val="20"/>
                <w:szCs w:val="20"/>
                <w:highlight w:val="lightGray"/>
              </w:rPr>
            </w:pPr>
          </w:p>
          <w:p w14:paraId="7A9E16C6" w14:textId="77777777" w:rsidR="004F6D55"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DDC9441"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23051DD"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2C1535F" w14:textId="6366965F"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DA80CF2"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3058AEA"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5361DE6" w14:textId="77777777" w:rsidTr="00A828FA">
        <w:tc>
          <w:tcPr>
            <w:tcW w:w="2660" w:type="dxa"/>
          </w:tcPr>
          <w:p w14:paraId="4472D3AB"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42F1F3E" w14:textId="77777777" w:rsidR="0074539F" w:rsidRPr="00CE3194" w:rsidRDefault="0074539F" w:rsidP="00A828FA">
            <w:pPr>
              <w:jc w:val="both"/>
              <w:rPr>
                <w:rFonts w:ascii="Arial" w:hAnsi="Arial" w:cs="Arial"/>
                <w:i/>
                <w:sz w:val="20"/>
                <w:szCs w:val="20"/>
                <w:highlight w:val="lightGray"/>
              </w:rPr>
            </w:pPr>
          </w:p>
        </w:tc>
        <w:tc>
          <w:tcPr>
            <w:tcW w:w="6520" w:type="dxa"/>
          </w:tcPr>
          <w:p w14:paraId="1ECE3204" w14:textId="7142A0C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67618889" w14:textId="71A3B385"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23BFDBBE" w14:textId="302ADC9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125DD80D"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4F6D55" w14:paraId="09948845" w14:textId="77777777" w:rsidTr="00A828FA">
        <w:tc>
          <w:tcPr>
            <w:tcW w:w="2660" w:type="dxa"/>
          </w:tcPr>
          <w:p w14:paraId="7825DCB7" w14:textId="77777777" w:rsidR="004F6D55" w:rsidRDefault="004F6D55"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F91425A"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2AB69DC"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508FDBA"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4FABC7D" w14:textId="77777777" w:rsidR="004F6D55" w:rsidRPr="00CE3194" w:rsidRDefault="004F6D55"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452195D" w14:textId="77777777" w:rsidR="004F6D55" w:rsidRPr="005B66F8" w:rsidRDefault="004F6D55"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421DBAD0" w14:textId="34FF5ADD"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223C7637" w14:textId="77777777" w:rsidR="004F6D55" w:rsidRDefault="004F6D55" w:rsidP="00CB3EE6">
      <w:pPr>
        <w:jc w:val="both"/>
      </w:pPr>
    </w:p>
    <w:p w14:paraId="048FE9D6"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00A5FA8" w14:textId="77777777" w:rsidR="00E70DF4" w:rsidRDefault="00E70DF4" w:rsidP="00CB3EE6">
      <w:pPr>
        <w:jc w:val="both"/>
      </w:pPr>
    </w:p>
    <w:p w14:paraId="49046A40" w14:textId="77777777" w:rsidR="004F6D55" w:rsidRPr="006067FE" w:rsidRDefault="004F6D55" w:rsidP="00CB3EE6">
      <w:pPr>
        <w:jc w:val="both"/>
      </w:pPr>
    </w:p>
    <w:p w14:paraId="496CF842" w14:textId="77777777" w:rsidR="000D36E0" w:rsidRPr="006730AC" w:rsidRDefault="006067FE" w:rsidP="006F7AB5">
      <w:pPr>
        <w:pStyle w:val="FINMAGliederungEbene3"/>
        <w:rPr>
          <w:szCs w:val="20"/>
        </w:rPr>
      </w:pPr>
      <w:bookmarkStart w:id="25" w:name="_Toc147849880"/>
      <w:r w:rsidRPr="006067FE">
        <w:t>Kreditrisiken / Gegenparteiausfallrisiken aus Derivattransaktionen</w:t>
      </w:r>
      <w:r w:rsidR="00543DCA">
        <w:t xml:space="preserve"> (GR-6)</w:t>
      </w:r>
      <w:bookmarkEnd w:id="25"/>
    </w:p>
    <w:p w14:paraId="747CE21A" w14:textId="77777777" w:rsidR="00ED7673" w:rsidRDefault="00ED767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ED7673" w:rsidRPr="009872F3" w14:paraId="4A7FA17E" w14:textId="77777777" w:rsidTr="00A828FA">
        <w:trPr>
          <w:trHeight w:val="563"/>
        </w:trPr>
        <w:tc>
          <w:tcPr>
            <w:tcW w:w="1932" w:type="dxa"/>
          </w:tcPr>
          <w:p w14:paraId="75FAEF63"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36BE9131"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7D4D1C1"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D7673" w:rsidRPr="009872F3" w14:paraId="16989DD4" w14:textId="77777777" w:rsidTr="00A828FA">
        <w:trPr>
          <w:trHeight w:val="698"/>
        </w:trPr>
        <w:tc>
          <w:tcPr>
            <w:tcW w:w="1932" w:type="dxa"/>
          </w:tcPr>
          <w:p w14:paraId="1D634A73" w14:textId="52871C36"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52BD1EE" w14:textId="77777777"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D215B1E"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3B18EEE" w14:textId="77777777" w:rsidR="00ED7673" w:rsidRDefault="00ED7673"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DC4EBD8" w14:textId="77777777" w:rsidR="00ED7673" w:rsidRPr="006749F0" w:rsidRDefault="00ED7673" w:rsidP="00A828FA">
            <w:pPr>
              <w:jc w:val="both"/>
              <w:rPr>
                <w:rFonts w:ascii="Arial" w:hAnsi="Arial" w:cs="Arial"/>
                <w:i/>
                <w:sz w:val="18"/>
                <w:szCs w:val="18"/>
              </w:rPr>
            </w:pPr>
            <w:r w:rsidRPr="006749F0">
              <w:rPr>
                <w:rFonts w:ascii="Arial" w:hAnsi="Arial" w:cs="Arial"/>
                <w:i/>
                <w:sz w:val="18"/>
                <w:szCs w:val="18"/>
                <w:highlight w:val="yellow"/>
              </w:rPr>
              <w:t>Jahr</w:t>
            </w:r>
          </w:p>
        </w:tc>
      </w:tr>
      <w:tr w:rsidR="00ED7673" w:rsidRPr="009872F3" w14:paraId="5930CA00" w14:textId="77777777" w:rsidTr="00A828FA">
        <w:trPr>
          <w:trHeight w:val="636"/>
        </w:trPr>
        <w:tc>
          <w:tcPr>
            <w:tcW w:w="9180" w:type="dxa"/>
            <w:gridSpan w:val="4"/>
          </w:tcPr>
          <w:p w14:paraId="77EB981E" w14:textId="77777777" w:rsidR="00ED7673" w:rsidRDefault="00ED7673" w:rsidP="00A828FA">
            <w:pPr>
              <w:jc w:val="both"/>
              <w:rPr>
                <w:rFonts w:ascii="Arial" w:hAnsi="Arial" w:cs="Arial"/>
                <w:sz w:val="18"/>
                <w:szCs w:val="18"/>
              </w:rPr>
            </w:pPr>
          </w:p>
          <w:p w14:paraId="2437A964" w14:textId="77777777" w:rsidR="00ED7673" w:rsidRPr="00F60909" w:rsidRDefault="00ED7673"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66A29CA" w14:textId="226BCCC2" w:rsidR="00ED7673" w:rsidRPr="00CB3EE6" w:rsidRDefault="00ED7673" w:rsidP="00A828FA">
            <w:pPr>
              <w:jc w:val="both"/>
              <w:rPr>
                <w:rFonts w:ascii="Arial" w:hAnsi="Arial" w:cs="Arial"/>
                <w:sz w:val="18"/>
                <w:szCs w:val="18"/>
                <w:highlight w:val="yellow"/>
              </w:rPr>
            </w:pPr>
            <w:r w:rsidRPr="00CB3EE6">
              <w:rPr>
                <w:rFonts w:ascii="Arial" w:hAnsi="Arial" w:cs="Arial"/>
                <w:sz w:val="18"/>
                <w:szCs w:val="18"/>
                <w:highlight w:val="yellow"/>
              </w:rPr>
              <w:t xml:space="preserve">Art. 7a BankG; Art. 21h BankV; Anhang 4.2 BankV; </w:t>
            </w:r>
          </w:p>
          <w:p w14:paraId="31D1D04C" w14:textId="77777777" w:rsidR="00ED7673" w:rsidRPr="009872F3" w:rsidRDefault="00ED7673"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ED7673" w:rsidRPr="009872F3" w14:paraId="1BF9BC33" w14:textId="77777777" w:rsidTr="00A828FA">
        <w:trPr>
          <w:trHeight w:val="294"/>
        </w:trPr>
        <w:tc>
          <w:tcPr>
            <w:tcW w:w="9180" w:type="dxa"/>
            <w:gridSpan w:val="4"/>
          </w:tcPr>
          <w:p w14:paraId="3FC24C66" w14:textId="77777777" w:rsidR="00ED7673" w:rsidRPr="009872F3" w:rsidRDefault="00ED7673" w:rsidP="00A828FA">
            <w:pPr>
              <w:jc w:val="both"/>
              <w:rPr>
                <w:rFonts w:ascii="Arial" w:hAnsi="Arial" w:cs="Arial"/>
                <w:sz w:val="18"/>
                <w:szCs w:val="18"/>
              </w:rPr>
            </w:pPr>
          </w:p>
        </w:tc>
      </w:tr>
      <w:tr w:rsidR="00ED7673" w:rsidRPr="009872F3" w14:paraId="1B3496C7" w14:textId="77777777" w:rsidTr="00A828FA">
        <w:tc>
          <w:tcPr>
            <w:tcW w:w="5798" w:type="dxa"/>
            <w:gridSpan w:val="3"/>
          </w:tcPr>
          <w:p w14:paraId="56B5AD85"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Kreditrisiken / Gegenparteiausfallrisiken </w:t>
            </w:r>
            <w:r>
              <w:rPr>
                <w:rFonts w:ascii="Arial" w:hAnsi="Arial" w:cs="Arial"/>
                <w:sz w:val="18"/>
                <w:szCs w:val="18"/>
              </w:rPr>
              <w:t>aus Derivattransaktionen</w:t>
            </w:r>
            <w:r w:rsidRPr="00C1307E">
              <w:rPr>
                <w:rFonts w:ascii="Arial" w:hAnsi="Arial" w:cs="Arial"/>
                <w:sz w:val="18"/>
                <w:szCs w:val="18"/>
              </w:rPr>
              <w:t xml:space="preserve"> angemessen ausgestaltet ist.</w:t>
            </w:r>
          </w:p>
        </w:tc>
        <w:tc>
          <w:tcPr>
            <w:tcW w:w="3382" w:type="dxa"/>
          </w:tcPr>
          <w:p w14:paraId="12CE9B9D" w14:textId="77777777" w:rsidR="00ED7673" w:rsidRPr="00E109DF" w:rsidRDefault="00ED7673"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2C5EB70D" w14:textId="77777777" w:rsidTr="00A828FA">
        <w:tc>
          <w:tcPr>
            <w:tcW w:w="5798" w:type="dxa"/>
            <w:gridSpan w:val="3"/>
          </w:tcPr>
          <w:p w14:paraId="4B89015F"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Kreditrisiken / Gegenparteiausfallrisiken aus </w:t>
            </w:r>
            <w:r>
              <w:rPr>
                <w:rFonts w:ascii="Arial" w:hAnsi="Arial" w:cs="Arial"/>
                <w:sz w:val="18"/>
                <w:szCs w:val="18"/>
              </w:rPr>
              <w:t xml:space="preserve">Derivattransaktionen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2067260"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7216C160" w14:textId="77777777" w:rsidTr="00A828FA">
        <w:tc>
          <w:tcPr>
            <w:tcW w:w="5798" w:type="dxa"/>
            <w:gridSpan w:val="3"/>
          </w:tcPr>
          <w:p w14:paraId="48A12FF6"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Derivattransaktionen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B9B9B8"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E05718A" w14:textId="77777777" w:rsidR="00ED7673" w:rsidRPr="00CE3194" w:rsidRDefault="00ED7673" w:rsidP="00ED767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D7673" w:rsidRPr="00CE3194" w14:paraId="3748DE6B" w14:textId="77777777" w:rsidTr="00A828FA">
        <w:tc>
          <w:tcPr>
            <w:tcW w:w="2660" w:type="dxa"/>
          </w:tcPr>
          <w:p w14:paraId="61E1AA1A"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4781BC"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D7673" w:rsidRPr="00CE3194" w14:paraId="6E3C6544" w14:textId="77777777" w:rsidTr="00A828FA">
        <w:tc>
          <w:tcPr>
            <w:tcW w:w="2660" w:type="dxa"/>
          </w:tcPr>
          <w:p w14:paraId="01896F8A"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88AB3F" w14:textId="77777777" w:rsidR="0050402B" w:rsidRDefault="0050402B" w:rsidP="0050402B">
            <w:pPr>
              <w:jc w:val="both"/>
              <w:rPr>
                <w:rFonts w:ascii="Arial" w:hAnsi="Arial" w:cs="Arial"/>
                <w:i/>
                <w:sz w:val="20"/>
                <w:szCs w:val="20"/>
                <w:highlight w:val="lightGray"/>
              </w:rPr>
            </w:pPr>
          </w:p>
          <w:p w14:paraId="661E4682" w14:textId="77777777" w:rsidR="00ED7673"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3283DE87"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7FCB56A"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4C86B38" w14:textId="08171D68"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7C5F04E"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1FA09337"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78E4ED5" w14:textId="77777777" w:rsidTr="00A828FA">
        <w:tc>
          <w:tcPr>
            <w:tcW w:w="2660" w:type="dxa"/>
          </w:tcPr>
          <w:p w14:paraId="1E05DC1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1D81D1D" w14:textId="77777777" w:rsidR="0074539F" w:rsidRPr="00CE3194" w:rsidRDefault="0074539F" w:rsidP="00A828FA">
            <w:pPr>
              <w:jc w:val="both"/>
              <w:rPr>
                <w:rFonts w:ascii="Arial" w:hAnsi="Arial" w:cs="Arial"/>
                <w:i/>
                <w:sz w:val="20"/>
                <w:szCs w:val="20"/>
                <w:highlight w:val="lightGray"/>
              </w:rPr>
            </w:pPr>
          </w:p>
        </w:tc>
        <w:tc>
          <w:tcPr>
            <w:tcW w:w="6520" w:type="dxa"/>
          </w:tcPr>
          <w:p w14:paraId="3AE1D06E" w14:textId="23ED044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0405DF36" w14:textId="379C1ECD"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050C686" w14:textId="7B566CE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65DCED73"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ED7673" w14:paraId="6A51374D" w14:textId="77777777" w:rsidTr="00A828FA">
        <w:tc>
          <w:tcPr>
            <w:tcW w:w="2660" w:type="dxa"/>
          </w:tcPr>
          <w:p w14:paraId="59733D75" w14:textId="77777777" w:rsidR="00ED7673" w:rsidRDefault="00ED7673"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509A9EA"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EC84BE0"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513B05B"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F61870D"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2E6D16F" w14:textId="77777777" w:rsidR="00ED7673" w:rsidRPr="005B66F8" w:rsidRDefault="00ED7673"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2B86B818" w14:textId="6165D9D1"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48C362DC" w14:textId="77777777" w:rsidR="00ED7673" w:rsidRDefault="00ED7673" w:rsidP="00CB3EE6">
      <w:pPr>
        <w:jc w:val="both"/>
        <w:rPr>
          <w:rFonts w:cs="Arial"/>
          <w:szCs w:val="20"/>
        </w:rPr>
      </w:pPr>
    </w:p>
    <w:p w14:paraId="0AB45C4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4443E448" w14:textId="77777777" w:rsidR="00E70DF4" w:rsidRDefault="00E70DF4" w:rsidP="00CB3EE6">
      <w:pPr>
        <w:jc w:val="both"/>
        <w:rPr>
          <w:rFonts w:cs="Arial"/>
          <w:szCs w:val="20"/>
        </w:rPr>
      </w:pPr>
    </w:p>
    <w:p w14:paraId="7B99809C" w14:textId="77777777" w:rsidR="00ED7673" w:rsidRPr="006730AC" w:rsidRDefault="00ED7673" w:rsidP="00CB3EE6">
      <w:pPr>
        <w:jc w:val="both"/>
        <w:rPr>
          <w:rFonts w:cs="Arial"/>
          <w:szCs w:val="20"/>
        </w:rPr>
      </w:pPr>
    </w:p>
    <w:p w14:paraId="4AE7D470" w14:textId="77777777" w:rsidR="006067FE" w:rsidRPr="006730AC" w:rsidRDefault="006067FE" w:rsidP="006F7AB5">
      <w:pPr>
        <w:pStyle w:val="FINMAGliederungEbene3"/>
      </w:pPr>
      <w:bookmarkStart w:id="26" w:name="_Toc147849881"/>
      <w:r w:rsidRPr="006067FE">
        <w:t>Kreditrisiken / Gegenparteiausfallrisiken aus Abwicklungs- und Lieferrisiken</w:t>
      </w:r>
      <w:r w:rsidR="00543DCA">
        <w:t xml:space="preserve"> (GR-7)</w:t>
      </w:r>
      <w:bookmarkEnd w:id="26"/>
    </w:p>
    <w:p w14:paraId="3ACD9897" w14:textId="77777777" w:rsidR="00ED7673" w:rsidRDefault="00ED767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ED7673" w:rsidRPr="009872F3" w14:paraId="4BBFF926" w14:textId="77777777" w:rsidTr="00A828FA">
        <w:trPr>
          <w:trHeight w:val="563"/>
        </w:trPr>
        <w:tc>
          <w:tcPr>
            <w:tcW w:w="1932" w:type="dxa"/>
          </w:tcPr>
          <w:p w14:paraId="7C63B2C4"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17CE0836"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61DAE99"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D7673" w:rsidRPr="009872F3" w14:paraId="60F7D5FD" w14:textId="77777777" w:rsidTr="00A828FA">
        <w:trPr>
          <w:trHeight w:val="698"/>
        </w:trPr>
        <w:tc>
          <w:tcPr>
            <w:tcW w:w="1932" w:type="dxa"/>
          </w:tcPr>
          <w:p w14:paraId="1EC61148" w14:textId="2452263A"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2F91AEE7" w14:textId="77777777"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2EFB328"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0B8B3D6" w14:textId="77777777" w:rsidR="00ED7673" w:rsidRDefault="00ED7673"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8D7FC54" w14:textId="77777777" w:rsidR="00ED7673" w:rsidRPr="006749F0" w:rsidRDefault="00ED7673" w:rsidP="00A828FA">
            <w:pPr>
              <w:jc w:val="both"/>
              <w:rPr>
                <w:rFonts w:ascii="Arial" w:hAnsi="Arial" w:cs="Arial"/>
                <w:i/>
                <w:sz w:val="18"/>
                <w:szCs w:val="18"/>
              </w:rPr>
            </w:pPr>
            <w:r w:rsidRPr="006749F0">
              <w:rPr>
                <w:rFonts w:ascii="Arial" w:hAnsi="Arial" w:cs="Arial"/>
                <w:i/>
                <w:sz w:val="18"/>
                <w:szCs w:val="18"/>
                <w:highlight w:val="yellow"/>
              </w:rPr>
              <w:t>Jahr</w:t>
            </w:r>
          </w:p>
        </w:tc>
      </w:tr>
      <w:tr w:rsidR="00ED7673" w:rsidRPr="009872F3" w14:paraId="14979928" w14:textId="77777777" w:rsidTr="00A828FA">
        <w:trPr>
          <w:trHeight w:val="636"/>
        </w:trPr>
        <w:tc>
          <w:tcPr>
            <w:tcW w:w="9180" w:type="dxa"/>
            <w:gridSpan w:val="4"/>
          </w:tcPr>
          <w:p w14:paraId="1ED942F3" w14:textId="77777777" w:rsidR="00ED7673" w:rsidRDefault="00ED7673" w:rsidP="00A828FA">
            <w:pPr>
              <w:jc w:val="both"/>
              <w:rPr>
                <w:rFonts w:ascii="Arial" w:hAnsi="Arial" w:cs="Arial"/>
                <w:sz w:val="18"/>
                <w:szCs w:val="18"/>
              </w:rPr>
            </w:pPr>
          </w:p>
          <w:p w14:paraId="0FEA174F" w14:textId="77777777" w:rsidR="00ED7673" w:rsidRPr="00F60909" w:rsidRDefault="00ED7673" w:rsidP="00A828F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28CD990" w14:textId="77777777" w:rsidR="00ED7673" w:rsidRPr="00CB3EE6" w:rsidRDefault="00ED7673" w:rsidP="00A828FA">
            <w:pPr>
              <w:jc w:val="both"/>
              <w:rPr>
                <w:rFonts w:ascii="Arial" w:hAnsi="Arial" w:cs="Arial"/>
                <w:sz w:val="18"/>
                <w:szCs w:val="18"/>
                <w:highlight w:val="yellow"/>
              </w:rPr>
            </w:pPr>
            <w:r w:rsidRPr="00CB3EE6">
              <w:rPr>
                <w:rFonts w:ascii="Arial" w:hAnsi="Arial" w:cs="Arial"/>
                <w:sz w:val="18"/>
                <w:szCs w:val="18"/>
                <w:highlight w:val="yellow"/>
              </w:rPr>
              <w:t xml:space="preserve">Art. 7a BankG; Art. 21h BankV; </w:t>
            </w:r>
          </w:p>
          <w:p w14:paraId="10833511" w14:textId="77777777" w:rsidR="00ED7673" w:rsidRPr="009872F3" w:rsidRDefault="00ED7673"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 Art. 378 Verordnung (EU)</w:t>
            </w:r>
            <w:r>
              <w:rPr>
                <w:rFonts w:ascii="Arial" w:hAnsi="Arial" w:cs="Arial"/>
                <w:sz w:val="18"/>
                <w:szCs w:val="18"/>
                <w:highlight w:val="yellow"/>
              </w:rPr>
              <w:t xml:space="preserve"> Nr.</w:t>
            </w:r>
            <w:r w:rsidRPr="00CB3EE6">
              <w:rPr>
                <w:rFonts w:ascii="Arial" w:hAnsi="Arial" w:cs="Arial"/>
                <w:sz w:val="18"/>
                <w:szCs w:val="18"/>
                <w:highlight w:val="yellow"/>
              </w:rPr>
              <w:t xml:space="preserve"> 575/2013</w:t>
            </w:r>
          </w:p>
        </w:tc>
      </w:tr>
      <w:tr w:rsidR="00ED7673" w:rsidRPr="009872F3" w14:paraId="764E1D3D" w14:textId="77777777" w:rsidTr="00A828FA">
        <w:trPr>
          <w:trHeight w:val="294"/>
        </w:trPr>
        <w:tc>
          <w:tcPr>
            <w:tcW w:w="9180" w:type="dxa"/>
            <w:gridSpan w:val="4"/>
          </w:tcPr>
          <w:p w14:paraId="16DB4E0E" w14:textId="77777777" w:rsidR="00ED7673" w:rsidRPr="009872F3" w:rsidRDefault="00ED7673" w:rsidP="00A828FA">
            <w:pPr>
              <w:jc w:val="both"/>
              <w:rPr>
                <w:rFonts w:ascii="Arial" w:hAnsi="Arial" w:cs="Arial"/>
                <w:sz w:val="18"/>
                <w:szCs w:val="18"/>
              </w:rPr>
            </w:pPr>
          </w:p>
        </w:tc>
      </w:tr>
      <w:tr w:rsidR="00ED7673" w:rsidRPr="009872F3" w14:paraId="033D09E4" w14:textId="77777777" w:rsidTr="00A828FA">
        <w:tc>
          <w:tcPr>
            <w:tcW w:w="5798" w:type="dxa"/>
            <w:gridSpan w:val="3"/>
          </w:tcPr>
          <w:p w14:paraId="2DC4A92B"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Kreditrisiken / Gegenparteiausfallrisiken </w:t>
            </w:r>
            <w:r>
              <w:rPr>
                <w:rFonts w:ascii="Arial" w:hAnsi="Arial" w:cs="Arial"/>
                <w:sz w:val="18"/>
                <w:szCs w:val="18"/>
              </w:rPr>
              <w:t>aus Abwicklungs- und Lieferrisiken</w:t>
            </w:r>
            <w:r w:rsidRPr="00C1307E">
              <w:rPr>
                <w:rFonts w:ascii="Arial" w:hAnsi="Arial" w:cs="Arial"/>
                <w:sz w:val="18"/>
                <w:szCs w:val="18"/>
              </w:rPr>
              <w:t xml:space="preserve"> angemessen ausgestaltet ist.</w:t>
            </w:r>
          </w:p>
        </w:tc>
        <w:tc>
          <w:tcPr>
            <w:tcW w:w="3382" w:type="dxa"/>
          </w:tcPr>
          <w:p w14:paraId="6C9AA1C6" w14:textId="77777777" w:rsidR="00ED7673" w:rsidRPr="00E109DF" w:rsidRDefault="00ED7673"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2AC5DF7F" w14:textId="77777777" w:rsidTr="00A828FA">
        <w:tc>
          <w:tcPr>
            <w:tcW w:w="5798" w:type="dxa"/>
            <w:gridSpan w:val="3"/>
          </w:tcPr>
          <w:p w14:paraId="57B1251A"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Kreditrisiken / Gegenparteiausfallrisiken aus </w:t>
            </w:r>
            <w:r>
              <w:rPr>
                <w:rFonts w:ascii="Arial" w:hAnsi="Arial" w:cs="Arial"/>
                <w:sz w:val="18"/>
                <w:szCs w:val="18"/>
              </w:rPr>
              <w:t xml:space="preserve">Abwicklungs- und Lieferrisiken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1E935E8"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2D656039" w14:textId="77777777" w:rsidTr="00A828FA">
        <w:tc>
          <w:tcPr>
            <w:tcW w:w="5798" w:type="dxa"/>
            <w:gridSpan w:val="3"/>
          </w:tcPr>
          <w:p w14:paraId="041BD94A"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Pr>
                <w:rFonts w:ascii="Arial" w:hAnsi="Arial" w:cs="Arial"/>
                <w:sz w:val="18"/>
                <w:szCs w:val="18"/>
              </w:rPr>
              <w:t>Abwicklungs- und Lieferrisiken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3B6BB0AB"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52924DA" w14:textId="77777777" w:rsidR="00ED7673" w:rsidRPr="00CE3194" w:rsidRDefault="00ED7673" w:rsidP="00ED767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D7673" w:rsidRPr="00CE3194" w14:paraId="69D46C90" w14:textId="77777777" w:rsidTr="00A828FA">
        <w:tc>
          <w:tcPr>
            <w:tcW w:w="2660" w:type="dxa"/>
          </w:tcPr>
          <w:p w14:paraId="3677973D"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4F1C30C"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D7673" w:rsidRPr="00CE3194" w14:paraId="0F0B6D0A" w14:textId="77777777" w:rsidTr="00A828FA">
        <w:tc>
          <w:tcPr>
            <w:tcW w:w="2660" w:type="dxa"/>
          </w:tcPr>
          <w:p w14:paraId="1555BBEA"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516AD31" w14:textId="77777777" w:rsidR="0050402B" w:rsidRDefault="0050402B" w:rsidP="0050402B">
            <w:pPr>
              <w:jc w:val="both"/>
              <w:rPr>
                <w:rFonts w:ascii="Arial" w:hAnsi="Arial" w:cs="Arial"/>
                <w:i/>
                <w:sz w:val="20"/>
                <w:szCs w:val="20"/>
                <w:highlight w:val="lightGray"/>
              </w:rPr>
            </w:pPr>
          </w:p>
          <w:p w14:paraId="21FEF896" w14:textId="77777777" w:rsidR="00ED7673"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4D93466B"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26014BFE"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ACD0FF0" w14:textId="5D6D344E"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7E93AA9"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97C4261"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9A2DCAB" w14:textId="77777777" w:rsidTr="00A828FA">
        <w:tc>
          <w:tcPr>
            <w:tcW w:w="2660" w:type="dxa"/>
          </w:tcPr>
          <w:p w14:paraId="4462DE6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FFA804A" w14:textId="77777777" w:rsidR="0074539F" w:rsidRPr="00CE3194" w:rsidRDefault="0074539F" w:rsidP="00A828FA">
            <w:pPr>
              <w:jc w:val="both"/>
              <w:rPr>
                <w:rFonts w:ascii="Arial" w:hAnsi="Arial" w:cs="Arial"/>
                <w:i/>
                <w:sz w:val="20"/>
                <w:szCs w:val="20"/>
                <w:highlight w:val="lightGray"/>
              </w:rPr>
            </w:pPr>
          </w:p>
        </w:tc>
        <w:tc>
          <w:tcPr>
            <w:tcW w:w="6520" w:type="dxa"/>
          </w:tcPr>
          <w:p w14:paraId="6818682E" w14:textId="3EA9598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0B6189A0" w14:textId="417C7658"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7E97B98" w14:textId="5ED4D7E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1337401A"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ED7673" w14:paraId="7E92FCCF" w14:textId="77777777" w:rsidTr="00A828FA">
        <w:tc>
          <w:tcPr>
            <w:tcW w:w="2660" w:type="dxa"/>
          </w:tcPr>
          <w:p w14:paraId="07F860F2" w14:textId="77777777" w:rsidR="00ED7673" w:rsidRDefault="00ED7673"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EABC8B4"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F3F8258"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2786BD2"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0CD28E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9C6AC7B" w14:textId="77777777" w:rsidR="00ED7673" w:rsidRPr="005B66F8" w:rsidRDefault="00ED7673"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79A65EE2" w14:textId="0D3B28D2"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lastRenderedPageBreak/>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67F98303" w14:textId="77777777" w:rsidR="00ED7673" w:rsidRDefault="00ED7673" w:rsidP="00CB3EE6">
      <w:pPr>
        <w:jc w:val="both"/>
        <w:rPr>
          <w:rFonts w:cs="Arial"/>
          <w:szCs w:val="20"/>
        </w:rPr>
      </w:pPr>
    </w:p>
    <w:p w14:paraId="6A2406F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32D369D" w14:textId="77777777" w:rsidR="00E70DF4" w:rsidRDefault="00E70DF4" w:rsidP="00CB3EE6">
      <w:pPr>
        <w:jc w:val="both"/>
        <w:rPr>
          <w:rFonts w:cs="Arial"/>
          <w:szCs w:val="20"/>
        </w:rPr>
      </w:pPr>
    </w:p>
    <w:p w14:paraId="7894CD91" w14:textId="77777777" w:rsidR="00ED7673" w:rsidRPr="006730AC" w:rsidRDefault="00ED7673" w:rsidP="00CB3EE6">
      <w:pPr>
        <w:jc w:val="both"/>
        <w:rPr>
          <w:rFonts w:cs="Arial"/>
          <w:szCs w:val="20"/>
        </w:rPr>
      </w:pPr>
    </w:p>
    <w:p w14:paraId="7F9F3E24" w14:textId="77777777" w:rsidR="006067FE" w:rsidRPr="002E5C20" w:rsidRDefault="00764E6A" w:rsidP="006F7AB5">
      <w:pPr>
        <w:pStyle w:val="FINMAGliederungEbene3"/>
        <w:rPr>
          <w:highlight w:val="yellow"/>
        </w:rPr>
      </w:pPr>
      <w:bookmarkStart w:id="27" w:name="_Toc147849882"/>
      <w:r w:rsidRPr="002E5C20">
        <w:rPr>
          <w:highlight w:val="yellow"/>
        </w:rPr>
        <w:t>[</w:t>
      </w:r>
      <w:r w:rsidR="006067FE" w:rsidRPr="002E5C20">
        <w:rPr>
          <w:highlight w:val="yellow"/>
        </w:rPr>
        <w:t>Weitere Kreditrisiken von der Revisionsstelle zu definieren</w:t>
      </w:r>
      <w:r w:rsidRPr="002E5C20">
        <w:rPr>
          <w:highlight w:val="yellow"/>
        </w:rPr>
        <w:t>]</w:t>
      </w:r>
      <w:r w:rsidR="00543DCA" w:rsidRPr="002E5C20">
        <w:rPr>
          <w:highlight w:val="yellow"/>
        </w:rPr>
        <w:t xml:space="preserve"> (GR-8)</w:t>
      </w:r>
      <w:bookmarkEnd w:id="27"/>
    </w:p>
    <w:p w14:paraId="1B1FF5C6" w14:textId="77777777" w:rsidR="00ED7673" w:rsidRDefault="00ED767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ED7673" w:rsidRPr="009872F3" w14:paraId="0D4F746B" w14:textId="77777777" w:rsidTr="00A828FA">
        <w:trPr>
          <w:trHeight w:val="563"/>
        </w:trPr>
        <w:tc>
          <w:tcPr>
            <w:tcW w:w="1932" w:type="dxa"/>
          </w:tcPr>
          <w:p w14:paraId="342468CC"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73D538F7"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5F75A49"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D7673" w:rsidRPr="009872F3" w14:paraId="02D55CDD" w14:textId="77777777" w:rsidTr="00A828FA">
        <w:trPr>
          <w:trHeight w:val="698"/>
        </w:trPr>
        <w:tc>
          <w:tcPr>
            <w:tcW w:w="1932" w:type="dxa"/>
          </w:tcPr>
          <w:p w14:paraId="3C31F4CE" w14:textId="7E91340B"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38944B2" w14:textId="77777777"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41D53E8"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428ACB2" w14:textId="77777777" w:rsidR="00ED7673" w:rsidRDefault="00ED7673"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775F217" w14:textId="77777777" w:rsidR="00ED7673" w:rsidRPr="006749F0" w:rsidRDefault="00ED7673" w:rsidP="00A828FA">
            <w:pPr>
              <w:jc w:val="both"/>
              <w:rPr>
                <w:rFonts w:ascii="Arial" w:hAnsi="Arial" w:cs="Arial"/>
                <w:i/>
                <w:sz w:val="18"/>
                <w:szCs w:val="18"/>
              </w:rPr>
            </w:pPr>
            <w:r w:rsidRPr="006749F0">
              <w:rPr>
                <w:rFonts w:ascii="Arial" w:hAnsi="Arial" w:cs="Arial"/>
                <w:i/>
                <w:sz w:val="18"/>
                <w:szCs w:val="18"/>
                <w:highlight w:val="yellow"/>
              </w:rPr>
              <w:t>Jahr</w:t>
            </w:r>
          </w:p>
        </w:tc>
      </w:tr>
      <w:tr w:rsidR="00ED7673" w:rsidRPr="009872F3" w14:paraId="2B648E6C" w14:textId="77777777" w:rsidTr="00A828FA">
        <w:trPr>
          <w:trHeight w:val="636"/>
        </w:trPr>
        <w:tc>
          <w:tcPr>
            <w:tcW w:w="9180" w:type="dxa"/>
            <w:gridSpan w:val="4"/>
          </w:tcPr>
          <w:p w14:paraId="4E582B2E" w14:textId="77777777" w:rsidR="00ED7673" w:rsidRDefault="00ED7673" w:rsidP="00A828FA">
            <w:pPr>
              <w:jc w:val="both"/>
              <w:rPr>
                <w:rFonts w:ascii="Arial" w:hAnsi="Arial" w:cs="Arial"/>
                <w:sz w:val="18"/>
                <w:szCs w:val="18"/>
              </w:rPr>
            </w:pPr>
          </w:p>
          <w:p w14:paraId="277D5397" w14:textId="77777777" w:rsidR="00ED7673" w:rsidRDefault="00ED7673" w:rsidP="006730AC">
            <w:pPr>
              <w:jc w:val="both"/>
              <w:rPr>
                <w:rFonts w:ascii="Arial" w:hAnsi="Arial" w:cs="Arial"/>
                <w:sz w:val="18"/>
                <w:szCs w:val="18"/>
              </w:rPr>
            </w:pPr>
            <w:r>
              <w:rPr>
                <w:rFonts w:ascii="Arial" w:hAnsi="Arial" w:cs="Arial"/>
                <w:sz w:val="18"/>
                <w:szCs w:val="18"/>
              </w:rPr>
              <w:t>Referenzen:</w:t>
            </w:r>
          </w:p>
          <w:p w14:paraId="0DFC841A" w14:textId="77777777" w:rsidR="00ED7673" w:rsidRPr="009872F3" w:rsidRDefault="00ED7673" w:rsidP="006730AC">
            <w:pPr>
              <w:jc w:val="both"/>
              <w:rPr>
                <w:rFonts w:ascii="Arial" w:hAnsi="Arial" w:cs="Arial"/>
                <w:sz w:val="18"/>
                <w:szCs w:val="18"/>
              </w:rPr>
            </w:pPr>
            <w:r w:rsidRPr="00CB3EE6">
              <w:rPr>
                <w:rFonts w:ascii="Arial" w:hAnsi="Arial" w:cs="Arial"/>
                <w:sz w:val="18"/>
                <w:szCs w:val="18"/>
                <w:highlight w:val="yellow"/>
              </w:rPr>
              <w:t>tbd</w:t>
            </w:r>
          </w:p>
        </w:tc>
      </w:tr>
      <w:tr w:rsidR="00ED7673" w:rsidRPr="009872F3" w14:paraId="0165B3FD" w14:textId="77777777" w:rsidTr="00A828FA">
        <w:trPr>
          <w:trHeight w:val="294"/>
        </w:trPr>
        <w:tc>
          <w:tcPr>
            <w:tcW w:w="9180" w:type="dxa"/>
            <w:gridSpan w:val="4"/>
          </w:tcPr>
          <w:p w14:paraId="4BB888D2" w14:textId="77777777" w:rsidR="00ED7673" w:rsidRPr="009872F3" w:rsidRDefault="00ED7673" w:rsidP="00A828FA">
            <w:pPr>
              <w:jc w:val="both"/>
              <w:rPr>
                <w:rFonts w:ascii="Arial" w:hAnsi="Arial" w:cs="Arial"/>
                <w:sz w:val="18"/>
                <w:szCs w:val="18"/>
              </w:rPr>
            </w:pPr>
          </w:p>
        </w:tc>
      </w:tr>
      <w:tr w:rsidR="00ED7673" w:rsidRPr="009872F3" w14:paraId="3D550115" w14:textId="77777777" w:rsidTr="00A828FA">
        <w:tc>
          <w:tcPr>
            <w:tcW w:w="5798" w:type="dxa"/>
            <w:gridSpan w:val="3"/>
          </w:tcPr>
          <w:p w14:paraId="35B6A044"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Kreditrisiken / Gegenparteiausfallrisiken </w:t>
            </w:r>
            <w:r>
              <w:rPr>
                <w:rFonts w:ascii="Arial" w:hAnsi="Arial" w:cs="Arial"/>
                <w:sz w:val="18"/>
                <w:szCs w:val="18"/>
              </w:rPr>
              <w:t xml:space="preserve">aus </w:t>
            </w:r>
            <w:r w:rsidRPr="00CB3EE6">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A2F22C0" w14:textId="77777777" w:rsidR="00ED7673" w:rsidRPr="00E109DF" w:rsidRDefault="00ED7673"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011867D5" w14:textId="77777777" w:rsidTr="00A828FA">
        <w:tc>
          <w:tcPr>
            <w:tcW w:w="5798" w:type="dxa"/>
            <w:gridSpan w:val="3"/>
          </w:tcPr>
          <w:p w14:paraId="01175A99"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Kreditrisiken / Gegenparteiausfallrisiken aus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7FB5C7F"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1DD3E61A" w14:textId="77777777" w:rsidTr="00A828FA">
        <w:tc>
          <w:tcPr>
            <w:tcW w:w="5798" w:type="dxa"/>
            <w:gridSpan w:val="3"/>
          </w:tcPr>
          <w:p w14:paraId="2054006A"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Bestätigung, dass die Methoden zur Identifikation, Bewertung, Messung, Begrenzung, Überwachung und Steuerung von Kreditrisiken</w:t>
            </w:r>
            <w:r>
              <w:rPr>
                <w:rFonts w:ascii="Arial" w:hAnsi="Arial" w:cs="Arial"/>
                <w:sz w:val="18"/>
                <w:szCs w:val="18"/>
              </w:rPr>
              <w:t xml:space="preserve"> / Gegenparteiausfallrisiken</w:t>
            </w:r>
            <w:r w:rsidRPr="00C1307E">
              <w:rPr>
                <w:rFonts w:ascii="Arial" w:hAnsi="Arial" w:cs="Arial"/>
                <w:sz w:val="18"/>
                <w:szCs w:val="18"/>
              </w:rPr>
              <w:t xml:space="preserve"> aus </w:t>
            </w:r>
            <w:r w:rsidRPr="00276C60">
              <w:rPr>
                <w:rFonts w:ascii="Arial" w:hAnsi="Arial" w:cs="Arial"/>
                <w:sz w:val="18"/>
                <w:szCs w:val="18"/>
                <w:highlight w:val="yellow"/>
              </w:rPr>
              <w:t>[tbd]</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1A0B887"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52F4783" w14:textId="77777777" w:rsidR="00ED7673" w:rsidRPr="00CE3194" w:rsidRDefault="00ED7673" w:rsidP="00ED767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D7673" w:rsidRPr="00CE3194" w14:paraId="65B1A669" w14:textId="77777777" w:rsidTr="00A828FA">
        <w:tc>
          <w:tcPr>
            <w:tcW w:w="2660" w:type="dxa"/>
          </w:tcPr>
          <w:p w14:paraId="61D76526"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F50469D"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D7673" w:rsidRPr="00CE3194" w14:paraId="13F1D080" w14:textId="77777777" w:rsidTr="00A828FA">
        <w:tc>
          <w:tcPr>
            <w:tcW w:w="2660" w:type="dxa"/>
          </w:tcPr>
          <w:p w14:paraId="6B49FEE1"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C3FDCB" w14:textId="77777777" w:rsidR="0050402B" w:rsidRDefault="0050402B" w:rsidP="0050402B">
            <w:pPr>
              <w:jc w:val="both"/>
              <w:rPr>
                <w:rFonts w:ascii="Arial" w:hAnsi="Arial" w:cs="Arial"/>
                <w:i/>
                <w:sz w:val="20"/>
                <w:szCs w:val="20"/>
                <w:highlight w:val="lightGray"/>
              </w:rPr>
            </w:pPr>
          </w:p>
          <w:p w14:paraId="49EC188E" w14:textId="77777777" w:rsidR="00ED7673"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0176E831"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9B642CB"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02D38EA" w14:textId="0DDA0FA9"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1ED6624"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B7433BD"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2867A3EE" w14:textId="77777777" w:rsidTr="00A828FA">
        <w:tc>
          <w:tcPr>
            <w:tcW w:w="2660" w:type="dxa"/>
          </w:tcPr>
          <w:p w14:paraId="3ED8752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1121010" w14:textId="77777777" w:rsidR="0074539F" w:rsidRPr="00CE3194" w:rsidRDefault="0074539F" w:rsidP="00A828FA">
            <w:pPr>
              <w:jc w:val="both"/>
              <w:rPr>
                <w:rFonts w:ascii="Arial" w:hAnsi="Arial" w:cs="Arial"/>
                <w:i/>
                <w:sz w:val="20"/>
                <w:szCs w:val="20"/>
                <w:highlight w:val="lightGray"/>
              </w:rPr>
            </w:pPr>
          </w:p>
        </w:tc>
        <w:tc>
          <w:tcPr>
            <w:tcW w:w="6520" w:type="dxa"/>
          </w:tcPr>
          <w:p w14:paraId="7CFEFB91" w14:textId="0032D0A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5D05EDFF" w14:textId="01977D79"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47884772" w14:textId="2BB52B7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5229CB43"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ED7673" w14:paraId="0968836A" w14:textId="77777777" w:rsidTr="00A828FA">
        <w:tc>
          <w:tcPr>
            <w:tcW w:w="2660" w:type="dxa"/>
          </w:tcPr>
          <w:p w14:paraId="2B08AC17" w14:textId="77777777" w:rsidR="00ED7673" w:rsidRDefault="00ED7673"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6BEC4E7"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F947D86"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Annahmen und Parameter des Risikomanagements werden regelmässig validiert;</w:t>
            </w:r>
          </w:p>
          <w:p w14:paraId="5EA072F1"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C666BA8"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4B79D38" w14:textId="77777777" w:rsidR="00ED7673" w:rsidRPr="005B66F8" w:rsidRDefault="00ED7673"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103CD949" w14:textId="0E331668"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09862E56" w14:textId="77777777" w:rsidR="00ED7673" w:rsidRDefault="00ED7673" w:rsidP="00CB3EE6">
      <w:pPr>
        <w:jc w:val="both"/>
        <w:rPr>
          <w:rFonts w:cs="Arial"/>
          <w:szCs w:val="20"/>
        </w:rPr>
      </w:pPr>
    </w:p>
    <w:p w14:paraId="7BAC4EE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C5B5CC5" w14:textId="77777777" w:rsidR="00ED7673" w:rsidRDefault="00ED7673" w:rsidP="00CB3EE6">
      <w:pPr>
        <w:jc w:val="both"/>
        <w:rPr>
          <w:rFonts w:cs="Arial"/>
          <w:szCs w:val="20"/>
        </w:rPr>
      </w:pPr>
    </w:p>
    <w:p w14:paraId="7802A03E" w14:textId="77777777" w:rsidR="00E70DF4" w:rsidRPr="006730AC" w:rsidRDefault="00E70DF4" w:rsidP="00CB3EE6">
      <w:pPr>
        <w:jc w:val="both"/>
        <w:rPr>
          <w:rFonts w:cs="Arial"/>
          <w:szCs w:val="20"/>
        </w:rPr>
      </w:pPr>
    </w:p>
    <w:p w14:paraId="17CA70F3" w14:textId="77777777" w:rsidR="006067FE" w:rsidRPr="006730AC" w:rsidRDefault="006067FE" w:rsidP="006F7AB5">
      <w:pPr>
        <w:pStyle w:val="FINMAGliederungEbene3"/>
      </w:pPr>
      <w:bookmarkStart w:id="28" w:name="_Toc147849883"/>
      <w:r>
        <w:t>Marktrisiken: Handel von Finanzinstrumenten auf eigene Rechnung</w:t>
      </w:r>
      <w:r w:rsidR="00543DCA">
        <w:t xml:space="preserve"> (GR-9)</w:t>
      </w:r>
      <w:bookmarkEnd w:id="28"/>
    </w:p>
    <w:p w14:paraId="4C5BC8A8" w14:textId="77777777" w:rsidR="00ED7673" w:rsidRDefault="00ED7673"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ED7673" w:rsidRPr="009872F3" w14:paraId="54F99B0B" w14:textId="77777777" w:rsidTr="00A828FA">
        <w:trPr>
          <w:trHeight w:val="563"/>
        </w:trPr>
        <w:tc>
          <w:tcPr>
            <w:tcW w:w="1932" w:type="dxa"/>
          </w:tcPr>
          <w:p w14:paraId="782DBF94"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0E1B75D9"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E84BAA8"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D7673" w:rsidRPr="009872F3" w14:paraId="559CEA80" w14:textId="77777777" w:rsidTr="00A828FA">
        <w:trPr>
          <w:trHeight w:val="698"/>
        </w:trPr>
        <w:tc>
          <w:tcPr>
            <w:tcW w:w="1932" w:type="dxa"/>
          </w:tcPr>
          <w:p w14:paraId="06BDD0F0" w14:textId="781ADEC1"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3B0535CB" w14:textId="77777777" w:rsidR="00ED7673" w:rsidRPr="006749F0" w:rsidRDefault="00ED7673"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1ED85D6" w14:textId="77777777" w:rsidR="00ED7673" w:rsidRPr="009872F3" w:rsidRDefault="00ED7673"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0343B76" w14:textId="77777777" w:rsidR="00ED7673" w:rsidRDefault="00ED7673"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ED9D3BE" w14:textId="77777777" w:rsidR="00ED7673" w:rsidRPr="006749F0" w:rsidRDefault="00ED7673" w:rsidP="00A828FA">
            <w:pPr>
              <w:jc w:val="both"/>
              <w:rPr>
                <w:rFonts w:ascii="Arial" w:hAnsi="Arial" w:cs="Arial"/>
                <w:i/>
                <w:sz w:val="18"/>
                <w:szCs w:val="18"/>
              </w:rPr>
            </w:pPr>
            <w:r w:rsidRPr="006749F0">
              <w:rPr>
                <w:rFonts w:ascii="Arial" w:hAnsi="Arial" w:cs="Arial"/>
                <w:i/>
                <w:sz w:val="18"/>
                <w:szCs w:val="18"/>
                <w:highlight w:val="yellow"/>
              </w:rPr>
              <w:t>Jahr</w:t>
            </w:r>
          </w:p>
        </w:tc>
      </w:tr>
      <w:tr w:rsidR="00ED7673" w:rsidRPr="009872F3" w14:paraId="5E7FFEC8" w14:textId="77777777" w:rsidTr="00A828FA">
        <w:trPr>
          <w:trHeight w:val="636"/>
        </w:trPr>
        <w:tc>
          <w:tcPr>
            <w:tcW w:w="9180" w:type="dxa"/>
            <w:gridSpan w:val="4"/>
          </w:tcPr>
          <w:p w14:paraId="7FDD1F77" w14:textId="77777777" w:rsidR="00ED7673" w:rsidRDefault="00ED7673" w:rsidP="00A828FA">
            <w:pPr>
              <w:jc w:val="both"/>
              <w:rPr>
                <w:rFonts w:ascii="Arial" w:hAnsi="Arial" w:cs="Arial"/>
                <w:sz w:val="18"/>
                <w:szCs w:val="18"/>
              </w:rPr>
            </w:pPr>
          </w:p>
          <w:p w14:paraId="610D18CE" w14:textId="77777777" w:rsidR="00ED7673" w:rsidRDefault="00ED7673" w:rsidP="00A828FA">
            <w:pPr>
              <w:jc w:val="both"/>
              <w:rPr>
                <w:rFonts w:ascii="Arial" w:hAnsi="Arial" w:cs="Arial"/>
                <w:sz w:val="18"/>
                <w:szCs w:val="18"/>
              </w:rPr>
            </w:pPr>
            <w:r>
              <w:rPr>
                <w:rFonts w:ascii="Arial" w:hAnsi="Arial" w:cs="Arial"/>
                <w:sz w:val="18"/>
                <w:szCs w:val="18"/>
              </w:rPr>
              <w:t>Referenzen</w:t>
            </w:r>
            <w:r w:rsidR="000F657D">
              <w:rPr>
                <w:rFonts w:ascii="Arial" w:hAnsi="Arial" w:cs="Arial"/>
                <w:sz w:val="18"/>
                <w:szCs w:val="18"/>
              </w:rPr>
              <w:t xml:space="preserve"> </w:t>
            </w:r>
            <w:r w:rsidR="000F657D" w:rsidRPr="00F60909">
              <w:rPr>
                <w:rFonts w:ascii="Arial" w:hAnsi="Arial" w:cs="Arial"/>
                <w:sz w:val="18"/>
                <w:szCs w:val="18"/>
                <w:highlight w:val="yellow"/>
              </w:rPr>
              <w:t>(demonstrativ; nicht abschliessend</w:t>
            </w:r>
            <w:r>
              <w:rPr>
                <w:rFonts w:ascii="Arial" w:hAnsi="Arial" w:cs="Arial"/>
                <w:sz w:val="18"/>
                <w:szCs w:val="18"/>
              </w:rPr>
              <w:t>:</w:t>
            </w:r>
          </w:p>
          <w:p w14:paraId="4E7D8B59" w14:textId="77777777" w:rsidR="000F657D" w:rsidRPr="00CB3EE6" w:rsidRDefault="000F657D" w:rsidP="00A828FA">
            <w:pPr>
              <w:jc w:val="both"/>
              <w:rPr>
                <w:rFonts w:ascii="Arial" w:hAnsi="Arial" w:cs="Arial"/>
                <w:sz w:val="18"/>
                <w:szCs w:val="18"/>
                <w:highlight w:val="yellow"/>
              </w:rPr>
            </w:pPr>
            <w:r w:rsidRPr="00CB3EE6">
              <w:rPr>
                <w:rFonts w:ascii="Arial" w:hAnsi="Arial" w:cs="Arial"/>
                <w:sz w:val="18"/>
                <w:szCs w:val="18"/>
                <w:highlight w:val="yellow"/>
              </w:rPr>
              <w:t xml:space="preserve">Art. 7a BankG; Art. 21m BankV; Anhang 4.2 BankV; </w:t>
            </w:r>
          </w:p>
          <w:p w14:paraId="4157C07B" w14:textId="77777777" w:rsidR="00ED7673" w:rsidRPr="009872F3" w:rsidRDefault="000F657D"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ED7673" w:rsidRPr="009872F3" w14:paraId="08DE664D" w14:textId="77777777" w:rsidTr="00A828FA">
        <w:trPr>
          <w:trHeight w:val="294"/>
        </w:trPr>
        <w:tc>
          <w:tcPr>
            <w:tcW w:w="9180" w:type="dxa"/>
            <w:gridSpan w:val="4"/>
          </w:tcPr>
          <w:p w14:paraId="6F5E1F29" w14:textId="77777777" w:rsidR="00ED7673" w:rsidRPr="009872F3" w:rsidRDefault="00ED7673" w:rsidP="00A828FA">
            <w:pPr>
              <w:jc w:val="both"/>
              <w:rPr>
                <w:rFonts w:ascii="Arial" w:hAnsi="Arial" w:cs="Arial"/>
                <w:sz w:val="18"/>
                <w:szCs w:val="18"/>
              </w:rPr>
            </w:pPr>
          </w:p>
        </w:tc>
      </w:tr>
      <w:tr w:rsidR="00ED7673" w:rsidRPr="009872F3" w14:paraId="5B92B11D" w14:textId="77777777" w:rsidTr="00A828FA">
        <w:tc>
          <w:tcPr>
            <w:tcW w:w="5798" w:type="dxa"/>
            <w:gridSpan w:val="3"/>
          </w:tcPr>
          <w:p w14:paraId="57075BEE" w14:textId="77777777" w:rsidR="00ED7673" w:rsidRPr="00C1307E" w:rsidRDefault="00ED7673"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Marktrisiken – Handel von Finanzinstrumenten auf eigene Rechnung</w:t>
            </w:r>
            <w:r w:rsidR="000F657D">
              <w:rPr>
                <w:rFonts w:ascii="Arial" w:hAnsi="Arial" w:cs="Arial"/>
                <w:sz w:val="18"/>
                <w:szCs w:val="18"/>
              </w:rPr>
              <w:t xml:space="preserve"> –</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505EAFFF" w14:textId="77777777" w:rsidR="00ED7673" w:rsidRPr="00E109DF" w:rsidRDefault="00ED7673"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7D90C1E2" w14:textId="77777777" w:rsidTr="00A828FA">
        <w:tc>
          <w:tcPr>
            <w:tcW w:w="5798" w:type="dxa"/>
            <w:gridSpan w:val="3"/>
          </w:tcPr>
          <w:p w14:paraId="25A17975"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0F657D">
              <w:rPr>
                <w:rFonts w:ascii="Arial" w:hAnsi="Arial" w:cs="Arial"/>
                <w:sz w:val="18"/>
                <w:szCs w:val="18"/>
              </w:rPr>
              <w:t xml:space="preserve">Marktrisiken – Handel von Finanzinstrumenten auf eigene Rechnung –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EBD41C4"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D7673" w:rsidRPr="009872F3" w14:paraId="691D9B24" w14:textId="77777777" w:rsidTr="00A828FA">
        <w:tc>
          <w:tcPr>
            <w:tcW w:w="5798" w:type="dxa"/>
            <w:gridSpan w:val="3"/>
          </w:tcPr>
          <w:p w14:paraId="356AF875" w14:textId="77777777" w:rsidR="00ED7673" w:rsidRPr="00C1307E" w:rsidRDefault="00ED7673" w:rsidP="00A828F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0F657D">
              <w:rPr>
                <w:rFonts w:ascii="Arial" w:hAnsi="Arial" w:cs="Arial"/>
                <w:sz w:val="18"/>
                <w:szCs w:val="18"/>
              </w:rPr>
              <w:t xml:space="preserve">Marktrisiken – Handel von Finanzinstrumenten auf eigene Rechnung –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3CA75FF" w14:textId="77777777" w:rsidR="00ED7673" w:rsidRPr="009872F3" w:rsidRDefault="00ED7673"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FD5964F" w14:textId="77777777" w:rsidR="00ED7673" w:rsidRPr="00CE3194" w:rsidRDefault="00ED7673" w:rsidP="00ED7673">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ED7673" w:rsidRPr="00CE3194" w14:paraId="0A4CAFE7" w14:textId="77777777" w:rsidTr="00A828FA">
        <w:tc>
          <w:tcPr>
            <w:tcW w:w="2660" w:type="dxa"/>
          </w:tcPr>
          <w:p w14:paraId="2FF4338F"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66ACD24" w14:textId="77777777" w:rsidR="00ED7673" w:rsidRPr="00CE3194" w:rsidRDefault="00ED7673"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ED7673" w:rsidRPr="00CE3194" w14:paraId="7042338D" w14:textId="77777777" w:rsidTr="00A828FA">
        <w:tc>
          <w:tcPr>
            <w:tcW w:w="2660" w:type="dxa"/>
          </w:tcPr>
          <w:p w14:paraId="3B04F1E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7C03116" w14:textId="77777777" w:rsidR="0050402B" w:rsidRDefault="0050402B" w:rsidP="0050402B">
            <w:pPr>
              <w:jc w:val="both"/>
              <w:rPr>
                <w:rFonts w:ascii="Arial" w:hAnsi="Arial" w:cs="Arial"/>
                <w:i/>
                <w:sz w:val="20"/>
                <w:szCs w:val="20"/>
                <w:highlight w:val="lightGray"/>
              </w:rPr>
            </w:pPr>
          </w:p>
          <w:p w14:paraId="3327E57F" w14:textId="77777777" w:rsidR="00ED7673"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C9BFE1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276ED69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22A9DAB" w14:textId="3A74EA31"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7EF81EA"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A57AAD9"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BF317D7" w14:textId="77777777" w:rsidTr="00A828FA">
        <w:tc>
          <w:tcPr>
            <w:tcW w:w="2660" w:type="dxa"/>
          </w:tcPr>
          <w:p w14:paraId="36C09791"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5836C85" w14:textId="77777777" w:rsidR="0074539F" w:rsidRPr="00CE3194" w:rsidRDefault="0074539F" w:rsidP="00A828FA">
            <w:pPr>
              <w:jc w:val="both"/>
              <w:rPr>
                <w:rFonts w:ascii="Arial" w:hAnsi="Arial" w:cs="Arial"/>
                <w:i/>
                <w:sz w:val="20"/>
                <w:szCs w:val="20"/>
                <w:highlight w:val="lightGray"/>
              </w:rPr>
            </w:pPr>
          </w:p>
        </w:tc>
        <w:tc>
          <w:tcPr>
            <w:tcW w:w="6520" w:type="dxa"/>
          </w:tcPr>
          <w:p w14:paraId="6DE6F1CC" w14:textId="5903FA8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4FD703E3" w14:textId="324924A8"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6BD0125" w14:textId="3B10061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1BE1AE94"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ED7673" w14:paraId="352E561E" w14:textId="77777777" w:rsidTr="00A828FA">
        <w:tc>
          <w:tcPr>
            <w:tcW w:w="2660" w:type="dxa"/>
          </w:tcPr>
          <w:p w14:paraId="77E67628" w14:textId="77777777" w:rsidR="00ED7673" w:rsidRDefault="00ED7673" w:rsidP="00A828F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5F4FE1AD"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1691A18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BEDD523"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E16828C" w14:textId="77777777" w:rsidR="00ED7673" w:rsidRPr="00CE3194" w:rsidRDefault="00ED7673"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08F8FF5" w14:textId="77777777" w:rsidR="00ED7673" w:rsidRPr="005B66F8" w:rsidRDefault="00ED7673"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609AFED0" w14:textId="49581AFF"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4DAA8D98" w14:textId="77777777" w:rsidR="00ED7673" w:rsidRDefault="00ED7673" w:rsidP="00CB3EE6">
      <w:pPr>
        <w:jc w:val="both"/>
        <w:rPr>
          <w:rFonts w:cs="Arial"/>
          <w:szCs w:val="20"/>
        </w:rPr>
      </w:pPr>
    </w:p>
    <w:p w14:paraId="2306F21D"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C82F99B" w14:textId="77777777" w:rsidR="00E70DF4" w:rsidRDefault="00E70DF4" w:rsidP="00CB3EE6">
      <w:pPr>
        <w:jc w:val="both"/>
        <w:rPr>
          <w:rFonts w:cs="Arial"/>
          <w:szCs w:val="20"/>
        </w:rPr>
      </w:pPr>
    </w:p>
    <w:p w14:paraId="27AE9C8E" w14:textId="77777777" w:rsidR="00ED7673" w:rsidRPr="006730AC" w:rsidRDefault="00ED7673" w:rsidP="00CB3EE6">
      <w:pPr>
        <w:jc w:val="both"/>
        <w:rPr>
          <w:rFonts w:cs="Arial"/>
          <w:szCs w:val="20"/>
        </w:rPr>
      </w:pPr>
    </w:p>
    <w:p w14:paraId="70B8C6FA" w14:textId="77777777" w:rsidR="006067FE" w:rsidRPr="006730AC" w:rsidRDefault="006067FE" w:rsidP="006F7AB5">
      <w:pPr>
        <w:pStyle w:val="FINMAGliederungEbene3"/>
      </w:pPr>
      <w:bookmarkStart w:id="29" w:name="_Toc147849884"/>
      <w:r>
        <w:t>Marktrisiken: Zinsänderungsrisiken (Bankenbuch)</w:t>
      </w:r>
      <w:r w:rsidR="00543DCA">
        <w:t xml:space="preserve"> (GR-10)</w:t>
      </w:r>
      <w:bookmarkEnd w:id="29"/>
    </w:p>
    <w:p w14:paraId="7BB66B63" w14:textId="77777777" w:rsidR="00FB4F0F" w:rsidRDefault="00FB4F0F"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FB4F0F" w:rsidRPr="009872F3" w14:paraId="58501EDA" w14:textId="77777777" w:rsidTr="00A828FA">
        <w:trPr>
          <w:trHeight w:val="563"/>
        </w:trPr>
        <w:tc>
          <w:tcPr>
            <w:tcW w:w="1932" w:type="dxa"/>
          </w:tcPr>
          <w:p w14:paraId="2042BDDC" w14:textId="77777777" w:rsidR="00FB4F0F" w:rsidRPr="009872F3" w:rsidRDefault="00FB4F0F"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3B7A755E" w14:textId="77777777" w:rsidR="00FB4F0F" w:rsidRPr="009872F3" w:rsidRDefault="00FB4F0F"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3F565D2" w14:textId="77777777" w:rsidR="00FB4F0F" w:rsidRPr="009872F3" w:rsidRDefault="00FB4F0F"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FB4F0F" w:rsidRPr="009872F3" w14:paraId="1E53BF7E" w14:textId="77777777" w:rsidTr="00A828FA">
        <w:trPr>
          <w:trHeight w:val="698"/>
        </w:trPr>
        <w:tc>
          <w:tcPr>
            <w:tcW w:w="1932" w:type="dxa"/>
          </w:tcPr>
          <w:p w14:paraId="14BC6AD0" w14:textId="39E09C22" w:rsidR="00FB4F0F" w:rsidRPr="006749F0" w:rsidRDefault="00FB4F0F"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B5A6A55" w14:textId="77777777" w:rsidR="00FB4F0F" w:rsidRPr="006749F0" w:rsidRDefault="00FB4F0F"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6ADFE44" w14:textId="77777777" w:rsidR="00FB4F0F" w:rsidRPr="009872F3" w:rsidRDefault="00FB4F0F"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C006A2C" w14:textId="77777777" w:rsidR="00FB4F0F" w:rsidRDefault="00FB4F0F"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6F5CA04" w14:textId="77777777" w:rsidR="00FB4F0F" w:rsidRPr="006749F0" w:rsidRDefault="00FB4F0F" w:rsidP="00A828FA">
            <w:pPr>
              <w:jc w:val="both"/>
              <w:rPr>
                <w:rFonts w:ascii="Arial" w:hAnsi="Arial" w:cs="Arial"/>
                <w:i/>
                <w:sz w:val="18"/>
                <w:szCs w:val="18"/>
              </w:rPr>
            </w:pPr>
            <w:r w:rsidRPr="006749F0">
              <w:rPr>
                <w:rFonts w:ascii="Arial" w:hAnsi="Arial" w:cs="Arial"/>
                <w:i/>
                <w:sz w:val="18"/>
                <w:szCs w:val="18"/>
                <w:highlight w:val="yellow"/>
              </w:rPr>
              <w:t>Jahr</w:t>
            </w:r>
          </w:p>
        </w:tc>
      </w:tr>
      <w:tr w:rsidR="00FB4F0F" w:rsidRPr="009872F3" w14:paraId="395771AA" w14:textId="77777777" w:rsidTr="00A828FA">
        <w:trPr>
          <w:trHeight w:val="636"/>
        </w:trPr>
        <w:tc>
          <w:tcPr>
            <w:tcW w:w="9180" w:type="dxa"/>
            <w:gridSpan w:val="4"/>
          </w:tcPr>
          <w:p w14:paraId="0DE5F58E" w14:textId="77777777" w:rsidR="00FB4F0F" w:rsidRDefault="00FB4F0F" w:rsidP="00A828FA">
            <w:pPr>
              <w:jc w:val="both"/>
              <w:rPr>
                <w:rFonts w:ascii="Arial" w:hAnsi="Arial" w:cs="Arial"/>
                <w:sz w:val="18"/>
                <w:szCs w:val="18"/>
              </w:rPr>
            </w:pPr>
          </w:p>
          <w:p w14:paraId="4A0A0594" w14:textId="77777777" w:rsidR="00FB4F0F" w:rsidRDefault="00FB4F0F" w:rsidP="00A828F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BA1CD8C" w14:textId="0A9717AF" w:rsidR="00FB4F0F" w:rsidRPr="009872F3" w:rsidRDefault="00FB4F0F" w:rsidP="003D18A4">
            <w:pPr>
              <w:jc w:val="both"/>
              <w:rPr>
                <w:rFonts w:ascii="Arial" w:hAnsi="Arial" w:cs="Arial"/>
                <w:sz w:val="18"/>
                <w:szCs w:val="18"/>
              </w:rPr>
            </w:pPr>
            <w:r w:rsidRPr="00A72EFF">
              <w:rPr>
                <w:rFonts w:ascii="Arial" w:hAnsi="Arial" w:cs="Arial"/>
                <w:sz w:val="18"/>
                <w:szCs w:val="18"/>
                <w:highlight w:val="yellow"/>
              </w:rPr>
              <w:t xml:space="preserve">Art. 7a BankG; Art. 21m BankV; Art. 21n BankV; </w:t>
            </w:r>
            <w:r w:rsidR="00A14FB3" w:rsidRPr="00A72EFF">
              <w:rPr>
                <w:rFonts w:ascii="Arial" w:hAnsi="Arial" w:cs="Arial"/>
                <w:sz w:val="18"/>
                <w:szCs w:val="18"/>
                <w:highlight w:val="yellow"/>
              </w:rPr>
              <w:t>Art. 21s BankV</w:t>
            </w:r>
            <w:r w:rsidR="00301F5D" w:rsidRPr="00A72EFF">
              <w:rPr>
                <w:rFonts w:ascii="Arial" w:hAnsi="Arial" w:cs="Arial"/>
                <w:sz w:val="18"/>
                <w:szCs w:val="18"/>
                <w:highlight w:val="yellow"/>
              </w:rPr>
              <w:t xml:space="preserve">; </w:t>
            </w:r>
            <w:r w:rsidRPr="00A72EFF">
              <w:rPr>
                <w:rFonts w:ascii="Arial" w:hAnsi="Arial" w:cs="Arial"/>
                <w:sz w:val="18"/>
                <w:szCs w:val="18"/>
                <w:highlight w:val="yellow"/>
              </w:rPr>
              <w:t xml:space="preserve">Anhang 4.2 BankV; </w:t>
            </w:r>
            <w:r w:rsidR="00310057" w:rsidRPr="00A72EFF">
              <w:rPr>
                <w:rFonts w:ascii="Arial" w:hAnsi="Arial" w:cs="Arial"/>
                <w:sz w:val="18"/>
                <w:szCs w:val="18"/>
                <w:highlight w:val="yellow"/>
              </w:rPr>
              <w:t>EBA/GL/2018/02</w:t>
            </w:r>
            <w:r w:rsidR="003E60B1" w:rsidRPr="00A72EFF">
              <w:rPr>
                <w:rFonts w:ascii="Arial" w:hAnsi="Arial" w:cs="Arial"/>
                <w:sz w:val="18"/>
                <w:szCs w:val="18"/>
                <w:highlight w:val="yellow"/>
              </w:rPr>
              <w:t xml:space="preserve">; </w:t>
            </w:r>
            <w:r w:rsidRPr="00CB3EE6">
              <w:rPr>
                <w:rFonts w:ascii="Arial" w:hAnsi="Arial" w:cs="Arial"/>
                <w:sz w:val="18"/>
                <w:szCs w:val="18"/>
                <w:highlight w:val="yellow"/>
              </w:rPr>
              <w:t>FMA-Mitteilung 2017/4 (inkl. regulatorische Grundlagen im Anhang)</w:t>
            </w:r>
          </w:p>
        </w:tc>
      </w:tr>
      <w:tr w:rsidR="00FB4F0F" w:rsidRPr="009872F3" w14:paraId="0B5420CF" w14:textId="77777777" w:rsidTr="00A828FA">
        <w:trPr>
          <w:trHeight w:val="294"/>
        </w:trPr>
        <w:tc>
          <w:tcPr>
            <w:tcW w:w="9180" w:type="dxa"/>
            <w:gridSpan w:val="4"/>
          </w:tcPr>
          <w:p w14:paraId="6AB05FB2" w14:textId="77777777" w:rsidR="00FB4F0F" w:rsidRPr="009872F3" w:rsidRDefault="00FB4F0F" w:rsidP="00A828FA">
            <w:pPr>
              <w:jc w:val="both"/>
              <w:rPr>
                <w:rFonts w:ascii="Arial" w:hAnsi="Arial" w:cs="Arial"/>
                <w:sz w:val="18"/>
                <w:szCs w:val="18"/>
              </w:rPr>
            </w:pPr>
          </w:p>
        </w:tc>
      </w:tr>
      <w:tr w:rsidR="00FB4F0F" w:rsidRPr="009872F3" w14:paraId="1946A22F" w14:textId="77777777" w:rsidTr="00A828FA">
        <w:tc>
          <w:tcPr>
            <w:tcW w:w="5798" w:type="dxa"/>
            <w:gridSpan w:val="3"/>
          </w:tcPr>
          <w:p w14:paraId="357B6351" w14:textId="30EC764E" w:rsidR="00FB4F0F" w:rsidRPr="00C1307E" w:rsidRDefault="00FB4F0F" w:rsidP="009E4C10">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Zinsänderungsrisiken (Bankenbuch) </w:t>
            </w:r>
            <w:r w:rsidRPr="00C1307E">
              <w:rPr>
                <w:rFonts w:ascii="Arial" w:hAnsi="Arial" w:cs="Arial"/>
                <w:sz w:val="18"/>
                <w:szCs w:val="18"/>
              </w:rPr>
              <w:t>angemessen ausgestaltet ist.</w:t>
            </w:r>
          </w:p>
        </w:tc>
        <w:tc>
          <w:tcPr>
            <w:tcW w:w="3382" w:type="dxa"/>
          </w:tcPr>
          <w:p w14:paraId="599DE427" w14:textId="77777777" w:rsidR="00FB4F0F" w:rsidRPr="00E109DF" w:rsidRDefault="00FB4F0F"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B4F0F" w:rsidRPr="009872F3" w14:paraId="50FB35E1" w14:textId="77777777" w:rsidTr="00A828FA">
        <w:tc>
          <w:tcPr>
            <w:tcW w:w="5798" w:type="dxa"/>
            <w:gridSpan w:val="3"/>
          </w:tcPr>
          <w:p w14:paraId="45C89BC6" w14:textId="1D12859A" w:rsidR="00FB4F0F" w:rsidRPr="00C1307E" w:rsidRDefault="00FB4F0F" w:rsidP="009E4C10">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Zinsänderungsrisiken (Bankenbuch)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C0CC556" w14:textId="77777777" w:rsidR="00FB4F0F" w:rsidRPr="009872F3" w:rsidRDefault="00FB4F0F"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B4F0F" w:rsidRPr="009872F3" w14:paraId="6E1BF884" w14:textId="77777777" w:rsidTr="00A828FA">
        <w:tc>
          <w:tcPr>
            <w:tcW w:w="5798" w:type="dxa"/>
            <w:gridSpan w:val="3"/>
          </w:tcPr>
          <w:p w14:paraId="504ED713" w14:textId="0EF48A96" w:rsidR="00FB4F0F" w:rsidRPr="00C1307E" w:rsidRDefault="00FB4F0F" w:rsidP="009E4C10">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Zinsänderungsrisiken (Bankenbuch)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B9DC1AD" w14:textId="77777777" w:rsidR="00FB4F0F" w:rsidRPr="009872F3" w:rsidRDefault="00FB4F0F"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219C4BB" w14:textId="77777777" w:rsidR="00FB4F0F" w:rsidRPr="00CE3194" w:rsidRDefault="00FB4F0F" w:rsidP="00FB4F0F">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FB4F0F" w:rsidRPr="00CE3194" w14:paraId="2FF19C10" w14:textId="77777777" w:rsidTr="00A828FA">
        <w:tc>
          <w:tcPr>
            <w:tcW w:w="2660" w:type="dxa"/>
          </w:tcPr>
          <w:p w14:paraId="719D1F9C" w14:textId="77777777" w:rsidR="00FB4F0F" w:rsidRPr="00CE3194" w:rsidRDefault="00FB4F0F"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D2902B" w14:textId="77777777" w:rsidR="00FB4F0F" w:rsidRPr="00CE3194" w:rsidRDefault="00FB4F0F"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FB4F0F" w:rsidRPr="00CE3194" w14:paraId="36D5B119" w14:textId="77777777" w:rsidTr="00A828FA">
        <w:tc>
          <w:tcPr>
            <w:tcW w:w="2660" w:type="dxa"/>
          </w:tcPr>
          <w:p w14:paraId="62FCCE81"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78B09A6" w14:textId="77777777" w:rsidR="0050402B" w:rsidRDefault="0050402B" w:rsidP="0050402B">
            <w:pPr>
              <w:jc w:val="both"/>
              <w:rPr>
                <w:rFonts w:ascii="Arial" w:hAnsi="Arial" w:cs="Arial"/>
                <w:i/>
                <w:sz w:val="20"/>
                <w:szCs w:val="20"/>
                <w:highlight w:val="lightGray"/>
              </w:rPr>
            </w:pPr>
          </w:p>
          <w:p w14:paraId="4BFDF687" w14:textId="77777777" w:rsidR="00FB4F0F"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r w:rsidRPr="00667026">
              <w:rPr>
                <w:rFonts w:ascii="Arial" w:hAnsi="Arial" w:cs="Arial"/>
                <w:i/>
                <w:sz w:val="20"/>
                <w:szCs w:val="20"/>
                <w:highlight w:val="lightGray"/>
              </w:rPr>
              <w:lastRenderedPageBreak/>
              <w:t>Know-How, Interessenskonflikte)</w:t>
            </w:r>
          </w:p>
        </w:tc>
        <w:tc>
          <w:tcPr>
            <w:tcW w:w="6520" w:type="dxa"/>
          </w:tcPr>
          <w:p w14:paraId="68E76EFC"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1199A080"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DAF1801" w14:textId="2E80B540"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138BF78"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9164806"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Anzahl und Zusammensetzung der internen Ausschüsse sind angemessen;</w:t>
            </w:r>
          </w:p>
        </w:tc>
      </w:tr>
      <w:tr w:rsidR="0074539F" w:rsidRPr="00CE3194" w14:paraId="3FB6800D" w14:textId="77777777" w:rsidTr="00A828FA">
        <w:tc>
          <w:tcPr>
            <w:tcW w:w="2660" w:type="dxa"/>
          </w:tcPr>
          <w:p w14:paraId="3EF7D849"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453137F2" w14:textId="77777777" w:rsidR="0074539F" w:rsidRPr="00CE3194" w:rsidRDefault="0074539F" w:rsidP="00A828FA">
            <w:pPr>
              <w:jc w:val="both"/>
              <w:rPr>
                <w:rFonts w:ascii="Arial" w:hAnsi="Arial" w:cs="Arial"/>
                <w:i/>
                <w:sz w:val="20"/>
                <w:szCs w:val="20"/>
                <w:highlight w:val="lightGray"/>
              </w:rPr>
            </w:pPr>
          </w:p>
        </w:tc>
        <w:tc>
          <w:tcPr>
            <w:tcW w:w="6520" w:type="dxa"/>
          </w:tcPr>
          <w:p w14:paraId="0C3C0713" w14:textId="10D1CAF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75E8144E" w14:textId="1AB631C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35FDB36" w14:textId="6AEC345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6F698F97"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FB4F0F" w14:paraId="10C1992C" w14:textId="77777777" w:rsidTr="00A828FA">
        <w:tc>
          <w:tcPr>
            <w:tcW w:w="2660" w:type="dxa"/>
          </w:tcPr>
          <w:p w14:paraId="575B57A6" w14:textId="77777777" w:rsidR="00FB4F0F" w:rsidRDefault="00FB4F0F"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63E6ED8"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42F31C2"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194986D"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CA842DF" w14:textId="77777777" w:rsidR="00FB4F0F" w:rsidRPr="00CE3194" w:rsidRDefault="00FB4F0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C3E04C4" w14:textId="77777777" w:rsidR="00FB4F0F" w:rsidRPr="005B66F8" w:rsidRDefault="00FB4F0F"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3E1A4479" w14:textId="35745E30"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6E1DDDD6" w14:textId="77777777" w:rsidR="00FB4F0F" w:rsidRDefault="00FB4F0F" w:rsidP="00CB3EE6">
      <w:pPr>
        <w:jc w:val="both"/>
        <w:rPr>
          <w:rFonts w:cs="Arial"/>
          <w:szCs w:val="20"/>
        </w:rPr>
      </w:pPr>
    </w:p>
    <w:p w14:paraId="0AD44512"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C6A6D6D" w14:textId="77777777" w:rsidR="00E70DF4" w:rsidRDefault="00E70DF4" w:rsidP="00CB3EE6">
      <w:pPr>
        <w:jc w:val="both"/>
        <w:rPr>
          <w:rFonts w:cs="Arial"/>
          <w:szCs w:val="20"/>
        </w:rPr>
      </w:pPr>
    </w:p>
    <w:p w14:paraId="69F4B6AD" w14:textId="77777777" w:rsidR="00FB4F0F" w:rsidRPr="006730AC" w:rsidRDefault="00FB4F0F" w:rsidP="00CB3EE6">
      <w:pPr>
        <w:jc w:val="both"/>
        <w:rPr>
          <w:rFonts w:cs="Arial"/>
          <w:szCs w:val="20"/>
        </w:rPr>
      </w:pPr>
    </w:p>
    <w:p w14:paraId="6C110102" w14:textId="77777777" w:rsidR="006067FE" w:rsidRPr="006730AC" w:rsidRDefault="006067FE" w:rsidP="006F7AB5">
      <w:pPr>
        <w:pStyle w:val="FINMAGliederungEbene3"/>
      </w:pPr>
      <w:bookmarkStart w:id="30" w:name="_Toc147849885"/>
      <w:r>
        <w:t>Marktrisiken Zinsänderungsrisiken (Handelsbuch)</w:t>
      </w:r>
      <w:r w:rsidR="00543DCA">
        <w:t xml:space="preserve"> (GR-11)</w:t>
      </w:r>
      <w:bookmarkEnd w:id="30"/>
    </w:p>
    <w:p w14:paraId="636094B9" w14:textId="77777777" w:rsidR="00FB4F0F" w:rsidRDefault="00FB4F0F"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28FA" w:rsidRPr="009872F3" w14:paraId="578FB693" w14:textId="77777777" w:rsidTr="00A828FA">
        <w:trPr>
          <w:trHeight w:val="563"/>
        </w:trPr>
        <w:tc>
          <w:tcPr>
            <w:tcW w:w="1932" w:type="dxa"/>
          </w:tcPr>
          <w:p w14:paraId="0B3665BC"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40E99FAF"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D9FD3DD"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28FA" w:rsidRPr="009872F3" w14:paraId="122282CB" w14:textId="77777777" w:rsidTr="00A828FA">
        <w:trPr>
          <w:trHeight w:val="698"/>
        </w:trPr>
        <w:tc>
          <w:tcPr>
            <w:tcW w:w="1932" w:type="dxa"/>
          </w:tcPr>
          <w:p w14:paraId="3F5C17D1" w14:textId="78D28E4D"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4B0A94C7" w14:textId="77777777"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FFA66B0"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4426A51" w14:textId="77777777" w:rsidR="00A828FA" w:rsidRDefault="00A828FA"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2F59359" w14:textId="77777777" w:rsidR="00A828FA" w:rsidRPr="006749F0" w:rsidRDefault="00A828FA" w:rsidP="00A828FA">
            <w:pPr>
              <w:jc w:val="both"/>
              <w:rPr>
                <w:rFonts w:ascii="Arial" w:hAnsi="Arial" w:cs="Arial"/>
                <w:i/>
                <w:sz w:val="18"/>
                <w:szCs w:val="18"/>
              </w:rPr>
            </w:pPr>
            <w:r w:rsidRPr="006749F0">
              <w:rPr>
                <w:rFonts w:ascii="Arial" w:hAnsi="Arial" w:cs="Arial"/>
                <w:i/>
                <w:sz w:val="18"/>
                <w:szCs w:val="18"/>
                <w:highlight w:val="yellow"/>
              </w:rPr>
              <w:t>Jahr</w:t>
            </w:r>
          </w:p>
        </w:tc>
      </w:tr>
      <w:tr w:rsidR="00A828FA" w:rsidRPr="009872F3" w14:paraId="0DA72231" w14:textId="77777777" w:rsidTr="00A828FA">
        <w:trPr>
          <w:trHeight w:val="636"/>
        </w:trPr>
        <w:tc>
          <w:tcPr>
            <w:tcW w:w="9180" w:type="dxa"/>
            <w:gridSpan w:val="4"/>
          </w:tcPr>
          <w:p w14:paraId="510067D5" w14:textId="77777777" w:rsidR="00A828FA" w:rsidRDefault="00A828FA" w:rsidP="00A828FA">
            <w:pPr>
              <w:jc w:val="both"/>
              <w:rPr>
                <w:rFonts w:ascii="Arial" w:hAnsi="Arial" w:cs="Arial"/>
                <w:sz w:val="18"/>
                <w:szCs w:val="18"/>
              </w:rPr>
            </w:pPr>
          </w:p>
          <w:p w14:paraId="179C382A" w14:textId="77777777" w:rsidR="00A828FA" w:rsidRDefault="00A828FA" w:rsidP="00A828F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9FF9940" w14:textId="7C9229DC" w:rsidR="00A828FA" w:rsidRPr="009872F3" w:rsidRDefault="00A828FA" w:rsidP="00A828FA">
            <w:pPr>
              <w:jc w:val="both"/>
              <w:rPr>
                <w:rFonts w:ascii="Arial" w:hAnsi="Arial" w:cs="Arial"/>
                <w:sz w:val="18"/>
                <w:szCs w:val="18"/>
              </w:rPr>
            </w:pPr>
            <w:r w:rsidRPr="00CB3EE6">
              <w:rPr>
                <w:rFonts w:ascii="Arial" w:hAnsi="Arial" w:cs="Arial"/>
                <w:sz w:val="18"/>
                <w:szCs w:val="18"/>
                <w:highlight w:val="yellow"/>
              </w:rPr>
              <w:t xml:space="preserve">Art. 7a BankG; Art. 21m BankV; Anhang 4.2 BankV; </w:t>
            </w:r>
            <w:r w:rsidR="003E60B1">
              <w:rPr>
                <w:rFonts w:ascii="Arial" w:hAnsi="Arial" w:cs="Arial"/>
                <w:sz w:val="18"/>
                <w:szCs w:val="18"/>
                <w:highlight w:val="yellow"/>
              </w:rPr>
              <w:t xml:space="preserve">VO (EU) Nr. 575/2013 Art. 94, Art. 102 ff; </w:t>
            </w:r>
            <w:r w:rsidRPr="00CB3EE6">
              <w:rPr>
                <w:rFonts w:ascii="Arial" w:hAnsi="Arial" w:cs="Arial"/>
                <w:sz w:val="18"/>
                <w:szCs w:val="18"/>
                <w:highlight w:val="yellow"/>
              </w:rPr>
              <w:t>FMA-Mitteilung 2017/4 (inkl. regulatorische Grundlagen im Anhang)</w:t>
            </w:r>
          </w:p>
        </w:tc>
      </w:tr>
      <w:tr w:rsidR="00A828FA" w:rsidRPr="009872F3" w14:paraId="64C56CEE" w14:textId="77777777" w:rsidTr="00A828FA">
        <w:trPr>
          <w:trHeight w:val="294"/>
        </w:trPr>
        <w:tc>
          <w:tcPr>
            <w:tcW w:w="9180" w:type="dxa"/>
            <w:gridSpan w:val="4"/>
          </w:tcPr>
          <w:p w14:paraId="5FD76187" w14:textId="77777777" w:rsidR="00A828FA" w:rsidRPr="009872F3" w:rsidRDefault="00A828FA" w:rsidP="00A828FA">
            <w:pPr>
              <w:jc w:val="both"/>
              <w:rPr>
                <w:rFonts w:ascii="Arial" w:hAnsi="Arial" w:cs="Arial"/>
                <w:sz w:val="18"/>
                <w:szCs w:val="18"/>
              </w:rPr>
            </w:pPr>
          </w:p>
        </w:tc>
      </w:tr>
      <w:tr w:rsidR="00A828FA" w:rsidRPr="009872F3" w14:paraId="31E37E37" w14:textId="77777777" w:rsidTr="00A828FA">
        <w:tc>
          <w:tcPr>
            <w:tcW w:w="5798" w:type="dxa"/>
            <w:gridSpan w:val="3"/>
          </w:tcPr>
          <w:p w14:paraId="04F0CE17" w14:textId="41C86A60" w:rsidR="00A828FA" w:rsidRPr="00C1307E" w:rsidRDefault="00A828FA" w:rsidP="009E4C10">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Zinsänderungsrisiken (Handelsbuch) </w:t>
            </w:r>
            <w:r w:rsidRPr="00C1307E">
              <w:rPr>
                <w:rFonts w:ascii="Arial" w:hAnsi="Arial" w:cs="Arial"/>
                <w:sz w:val="18"/>
                <w:szCs w:val="18"/>
              </w:rPr>
              <w:t>angemessen ausgestaltet ist.</w:t>
            </w:r>
          </w:p>
        </w:tc>
        <w:tc>
          <w:tcPr>
            <w:tcW w:w="3382" w:type="dxa"/>
          </w:tcPr>
          <w:p w14:paraId="251F03DA" w14:textId="77777777" w:rsidR="00A828FA" w:rsidRPr="00E109DF" w:rsidRDefault="00A828FA"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084C9F27" w14:textId="77777777" w:rsidTr="00A828FA">
        <w:tc>
          <w:tcPr>
            <w:tcW w:w="5798" w:type="dxa"/>
            <w:gridSpan w:val="3"/>
          </w:tcPr>
          <w:p w14:paraId="7F6DCA69" w14:textId="3141C7C6"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Zinsänderungsrisiken (Handelsbuch)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1FB1475"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5F8B27ED" w14:textId="77777777" w:rsidTr="00A828FA">
        <w:tc>
          <w:tcPr>
            <w:tcW w:w="5798" w:type="dxa"/>
            <w:gridSpan w:val="3"/>
          </w:tcPr>
          <w:p w14:paraId="7E825C0D" w14:textId="4399D09E" w:rsidR="00A828FA" w:rsidRPr="00C1307E" w:rsidRDefault="00A828FA" w:rsidP="009E4C10">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Zinsänderungsrisiken (Handelsbuch)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126A76"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887A0FC" w14:textId="77777777" w:rsidR="00A828FA" w:rsidRPr="00CE3194" w:rsidRDefault="00A828FA" w:rsidP="00A828FA">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28FA" w:rsidRPr="00CE3194" w14:paraId="5451D93F" w14:textId="77777777" w:rsidTr="00A828FA">
        <w:tc>
          <w:tcPr>
            <w:tcW w:w="2660" w:type="dxa"/>
          </w:tcPr>
          <w:p w14:paraId="0637E759"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B3084A"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28FA" w:rsidRPr="00CE3194" w14:paraId="79789655" w14:textId="77777777" w:rsidTr="00A828FA">
        <w:tc>
          <w:tcPr>
            <w:tcW w:w="2660" w:type="dxa"/>
          </w:tcPr>
          <w:p w14:paraId="630821F9"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A0C305D" w14:textId="77777777" w:rsidR="0050402B" w:rsidRDefault="0050402B" w:rsidP="0050402B">
            <w:pPr>
              <w:jc w:val="both"/>
              <w:rPr>
                <w:rFonts w:ascii="Arial" w:hAnsi="Arial" w:cs="Arial"/>
                <w:i/>
                <w:sz w:val="20"/>
                <w:szCs w:val="20"/>
                <w:highlight w:val="lightGray"/>
              </w:rPr>
            </w:pPr>
          </w:p>
          <w:p w14:paraId="50A830A2" w14:textId="77777777" w:rsidR="00A828FA"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lastRenderedPageBreak/>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5F5E9050"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49D3489E"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wirksame interne Eskalationsmechanismen;</w:t>
            </w:r>
          </w:p>
          <w:p w14:paraId="4995C365" w14:textId="02A1ED3E"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175C60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6E3B715B"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C069BA5" w14:textId="77777777" w:rsidTr="00A828FA">
        <w:tc>
          <w:tcPr>
            <w:tcW w:w="2660" w:type="dxa"/>
          </w:tcPr>
          <w:p w14:paraId="222C38D6"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158D2A42" w14:textId="77777777" w:rsidR="0074539F" w:rsidRPr="00CE3194" w:rsidRDefault="0074539F" w:rsidP="00A828FA">
            <w:pPr>
              <w:jc w:val="both"/>
              <w:rPr>
                <w:rFonts w:ascii="Arial" w:hAnsi="Arial" w:cs="Arial"/>
                <w:i/>
                <w:sz w:val="20"/>
                <w:szCs w:val="20"/>
                <w:highlight w:val="lightGray"/>
              </w:rPr>
            </w:pPr>
          </w:p>
        </w:tc>
        <w:tc>
          <w:tcPr>
            <w:tcW w:w="6520" w:type="dxa"/>
          </w:tcPr>
          <w:p w14:paraId="639AE883" w14:textId="3ECBB55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48D6CED1" w14:textId="19171700"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3C910F9" w14:textId="25DA2CA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039D13A0"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28FA" w14:paraId="551762E2" w14:textId="77777777" w:rsidTr="00A828FA">
        <w:tc>
          <w:tcPr>
            <w:tcW w:w="2660" w:type="dxa"/>
          </w:tcPr>
          <w:p w14:paraId="648DDD75" w14:textId="77777777" w:rsidR="00A828FA" w:rsidRDefault="00A828FA"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175CD83"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F59E5A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6CCAB1D"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4CD30C7"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6E737FE" w14:textId="77777777" w:rsidR="00A828FA" w:rsidRPr="005B66F8" w:rsidRDefault="00A828FA"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7ED539CD" w14:textId="5B56F136"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7D396A37" w14:textId="77777777" w:rsidR="00FB4F0F" w:rsidRDefault="00FB4F0F" w:rsidP="00CB3EE6">
      <w:pPr>
        <w:jc w:val="both"/>
        <w:rPr>
          <w:rFonts w:cs="Arial"/>
          <w:szCs w:val="20"/>
        </w:rPr>
      </w:pPr>
    </w:p>
    <w:p w14:paraId="1EACB25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6241D4D2" w14:textId="77777777" w:rsidR="00E70DF4" w:rsidRDefault="00E70DF4" w:rsidP="00CB3EE6">
      <w:pPr>
        <w:jc w:val="both"/>
        <w:rPr>
          <w:rFonts w:cs="Arial"/>
          <w:szCs w:val="20"/>
        </w:rPr>
      </w:pPr>
    </w:p>
    <w:p w14:paraId="128E5EBF" w14:textId="77777777" w:rsidR="00FB4F0F" w:rsidRPr="006730AC" w:rsidRDefault="00FB4F0F" w:rsidP="00CB3EE6">
      <w:pPr>
        <w:jc w:val="both"/>
        <w:rPr>
          <w:rFonts w:cs="Arial"/>
          <w:szCs w:val="20"/>
        </w:rPr>
      </w:pPr>
    </w:p>
    <w:p w14:paraId="7AD592C9" w14:textId="77777777" w:rsidR="006067FE" w:rsidRPr="006730AC" w:rsidRDefault="006067FE" w:rsidP="006F7AB5">
      <w:pPr>
        <w:pStyle w:val="FINMAGliederungEbene3"/>
      </w:pPr>
      <w:bookmarkStart w:id="31" w:name="_Toc147849886"/>
      <w:r>
        <w:t>Marktrisiken: Preisänderungsrisiken (insb. Wertpapiere und Beteiligungen, Rohstoffe, Edelmetalle, virtuelle Währungen)</w:t>
      </w:r>
      <w:r w:rsidR="00543DCA">
        <w:t xml:space="preserve"> (GR-12)</w:t>
      </w:r>
      <w:bookmarkEnd w:id="31"/>
    </w:p>
    <w:p w14:paraId="6E6D1B35" w14:textId="77777777" w:rsidR="00A828FA" w:rsidRDefault="00A828FA"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28FA" w:rsidRPr="009872F3" w14:paraId="6571FD45" w14:textId="77777777" w:rsidTr="00A828FA">
        <w:trPr>
          <w:trHeight w:val="563"/>
        </w:trPr>
        <w:tc>
          <w:tcPr>
            <w:tcW w:w="1932" w:type="dxa"/>
          </w:tcPr>
          <w:p w14:paraId="6AB9B98F"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7210A625"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3C2DBAC"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28FA" w:rsidRPr="009872F3" w14:paraId="6A66B052" w14:textId="77777777" w:rsidTr="00A828FA">
        <w:trPr>
          <w:trHeight w:val="698"/>
        </w:trPr>
        <w:tc>
          <w:tcPr>
            <w:tcW w:w="1932" w:type="dxa"/>
          </w:tcPr>
          <w:p w14:paraId="610E2B36" w14:textId="40AA2AE4"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779CAD13" w14:textId="77777777"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0A8B8C6"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3C55BF8" w14:textId="77777777" w:rsidR="00A828FA" w:rsidRDefault="00A828FA"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5662357" w14:textId="77777777" w:rsidR="00A828FA" w:rsidRPr="006749F0" w:rsidRDefault="00A828FA" w:rsidP="00A828FA">
            <w:pPr>
              <w:jc w:val="both"/>
              <w:rPr>
                <w:rFonts w:ascii="Arial" w:hAnsi="Arial" w:cs="Arial"/>
                <w:i/>
                <w:sz w:val="18"/>
                <w:szCs w:val="18"/>
              </w:rPr>
            </w:pPr>
            <w:r w:rsidRPr="006749F0">
              <w:rPr>
                <w:rFonts w:ascii="Arial" w:hAnsi="Arial" w:cs="Arial"/>
                <w:i/>
                <w:sz w:val="18"/>
                <w:szCs w:val="18"/>
                <w:highlight w:val="yellow"/>
              </w:rPr>
              <w:t>Jahr</w:t>
            </w:r>
          </w:p>
        </w:tc>
      </w:tr>
      <w:tr w:rsidR="00A828FA" w:rsidRPr="009872F3" w14:paraId="403D9CCF" w14:textId="77777777" w:rsidTr="00A828FA">
        <w:trPr>
          <w:trHeight w:val="636"/>
        </w:trPr>
        <w:tc>
          <w:tcPr>
            <w:tcW w:w="9180" w:type="dxa"/>
            <w:gridSpan w:val="4"/>
          </w:tcPr>
          <w:p w14:paraId="00873367" w14:textId="77777777" w:rsidR="00A828FA" w:rsidRDefault="00A828FA" w:rsidP="00A828FA">
            <w:pPr>
              <w:jc w:val="both"/>
              <w:rPr>
                <w:rFonts w:ascii="Arial" w:hAnsi="Arial" w:cs="Arial"/>
                <w:sz w:val="18"/>
                <w:szCs w:val="18"/>
              </w:rPr>
            </w:pPr>
          </w:p>
          <w:p w14:paraId="5DCBA253" w14:textId="77777777" w:rsidR="00A828FA" w:rsidRDefault="00A828FA" w:rsidP="00A828F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81F34ED" w14:textId="0E5CDEED" w:rsidR="00A828FA" w:rsidRPr="00276C60" w:rsidRDefault="00A828FA" w:rsidP="00A828FA">
            <w:pPr>
              <w:jc w:val="both"/>
              <w:rPr>
                <w:rFonts w:ascii="Arial" w:hAnsi="Arial" w:cs="Arial"/>
                <w:sz w:val="18"/>
                <w:szCs w:val="18"/>
                <w:highlight w:val="yellow"/>
              </w:rPr>
            </w:pPr>
            <w:r w:rsidRPr="00276C60">
              <w:rPr>
                <w:rFonts w:ascii="Arial" w:hAnsi="Arial" w:cs="Arial"/>
                <w:sz w:val="18"/>
                <w:szCs w:val="18"/>
                <w:highlight w:val="yellow"/>
              </w:rPr>
              <w:t xml:space="preserve">Art. 7a BankG; Art. 21m BankV; Anhang 4.2 BankV; </w:t>
            </w:r>
          </w:p>
          <w:p w14:paraId="103E472F" w14:textId="77777777" w:rsidR="00A828FA" w:rsidRPr="009872F3" w:rsidRDefault="00A828FA" w:rsidP="00A828FA">
            <w:pPr>
              <w:jc w:val="both"/>
              <w:rPr>
                <w:rFonts w:ascii="Arial" w:hAnsi="Arial" w:cs="Arial"/>
                <w:sz w:val="18"/>
                <w:szCs w:val="18"/>
              </w:rPr>
            </w:pPr>
            <w:r w:rsidRPr="00276C60">
              <w:rPr>
                <w:rFonts w:ascii="Arial" w:hAnsi="Arial" w:cs="Arial"/>
                <w:sz w:val="18"/>
                <w:szCs w:val="18"/>
                <w:highlight w:val="yellow"/>
              </w:rPr>
              <w:t>FMA-Mitteilung 2017/4 (inkl. regulatorische Grundlagen im Anhang)</w:t>
            </w:r>
          </w:p>
        </w:tc>
      </w:tr>
      <w:tr w:rsidR="00A828FA" w:rsidRPr="009872F3" w14:paraId="4A95F37B" w14:textId="77777777" w:rsidTr="00A828FA">
        <w:trPr>
          <w:trHeight w:val="294"/>
        </w:trPr>
        <w:tc>
          <w:tcPr>
            <w:tcW w:w="9180" w:type="dxa"/>
            <w:gridSpan w:val="4"/>
          </w:tcPr>
          <w:p w14:paraId="16B576A9" w14:textId="77777777" w:rsidR="00A828FA" w:rsidRPr="009872F3" w:rsidRDefault="00A828FA" w:rsidP="00A828FA">
            <w:pPr>
              <w:jc w:val="both"/>
              <w:rPr>
                <w:rFonts w:ascii="Arial" w:hAnsi="Arial" w:cs="Arial"/>
                <w:sz w:val="18"/>
                <w:szCs w:val="18"/>
              </w:rPr>
            </w:pPr>
          </w:p>
        </w:tc>
      </w:tr>
      <w:tr w:rsidR="00A828FA" w:rsidRPr="009872F3" w14:paraId="00D70380" w14:textId="77777777" w:rsidTr="00A828FA">
        <w:tc>
          <w:tcPr>
            <w:tcW w:w="5798" w:type="dxa"/>
            <w:gridSpan w:val="3"/>
          </w:tcPr>
          <w:p w14:paraId="75AA9776" w14:textId="1B0E971F"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9E4C10" w:rsidRPr="009E4C10">
              <w:rPr>
                <w:rFonts w:ascii="Arial" w:hAnsi="Arial" w:cs="Arial"/>
                <w:sz w:val="18"/>
                <w:szCs w:val="18"/>
              </w:rPr>
              <w:t>Preisänderungsrisiken (insb. Wertpapiere und Beteiligungen, Rohstoffe, Edelmetalle, virtuelle Währungen)</w:t>
            </w:r>
            <w:r w:rsidRPr="00C1307E">
              <w:rPr>
                <w:rFonts w:ascii="Arial" w:hAnsi="Arial" w:cs="Arial"/>
                <w:sz w:val="18"/>
                <w:szCs w:val="18"/>
              </w:rPr>
              <w:t>angemessen ausgestaltet ist.</w:t>
            </w:r>
          </w:p>
        </w:tc>
        <w:tc>
          <w:tcPr>
            <w:tcW w:w="3382" w:type="dxa"/>
          </w:tcPr>
          <w:p w14:paraId="2C818BA5" w14:textId="77777777" w:rsidR="00A828FA" w:rsidRPr="00E109DF" w:rsidRDefault="00A828FA"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1B14FB9C" w14:textId="77777777" w:rsidTr="00A828FA">
        <w:tc>
          <w:tcPr>
            <w:tcW w:w="5798" w:type="dxa"/>
            <w:gridSpan w:val="3"/>
          </w:tcPr>
          <w:p w14:paraId="53ADEEB6" w14:textId="3CFC9617" w:rsidR="00A828FA" w:rsidRPr="00C1307E" w:rsidRDefault="00A828FA" w:rsidP="00A828F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9E4C10" w:rsidRPr="009E4C10">
              <w:rPr>
                <w:rFonts w:ascii="Arial" w:hAnsi="Arial" w:cs="Arial"/>
                <w:sz w:val="18"/>
                <w:szCs w:val="18"/>
              </w:rPr>
              <w:t>Preisänderungsrisiken (insb. Wertpapiere und Beteiligungen, Rohstoffe, Edelmetalle, virtuelle Währungen)</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2AB9236"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06112D4B" w14:textId="77777777" w:rsidTr="00A828FA">
        <w:tc>
          <w:tcPr>
            <w:tcW w:w="5798" w:type="dxa"/>
            <w:gridSpan w:val="3"/>
          </w:tcPr>
          <w:p w14:paraId="0F0548EC" w14:textId="4116BFA1" w:rsidR="00A828FA" w:rsidRPr="00C1307E" w:rsidRDefault="00A828FA" w:rsidP="00A828FA">
            <w:pPr>
              <w:jc w:val="both"/>
              <w:rPr>
                <w:rFonts w:ascii="Arial" w:hAnsi="Arial" w:cs="Arial"/>
                <w:sz w:val="18"/>
                <w:szCs w:val="18"/>
              </w:rPr>
            </w:pPr>
            <w:r w:rsidRPr="00C1307E">
              <w:rPr>
                <w:rFonts w:ascii="Arial" w:hAnsi="Arial" w:cs="Arial"/>
                <w:sz w:val="18"/>
                <w:szCs w:val="18"/>
              </w:rPr>
              <w:lastRenderedPageBreak/>
              <w:t xml:space="preserve">Bestätigung, dass die Methoden zur Identifikation, Bewertung, Messung, Begrenzung, Überwachung und Steuerung von </w:t>
            </w:r>
            <w:r w:rsidR="009E4C10" w:rsidRPr="009E4C10">
              <w:rPr>
                <w:rFonts w:ascii="Arial" w:hAnsi="Arial" w:cs="Arial"/>
                <w:sz w:val="18"/>
                <w:szCs w:val="18"/>
              </w:rPr>
              <w:t>Preisänderungsrisiken (insb. Wertpapiere und Beteiligungen, Rohstoffe, Edelmetalle, virtuelle Währungen)</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8CB3084"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C035AF4" w14:textId="77777777" w:rsidR="00A828FA" w:rsidRPr="00CE3194" w:rsidRDefault="00A828FA" w:rsidP="00A828FA">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28FA" w:rsidRPr="00CE3194" w14:paraId="19E142DA" w14:textId="77777777" w:rsidTr="00A828FA">
        <w:tc>
          <w:tcPr>
            <w:tcW w:w="2660" w:type="dxa"/>
          </w:tcPr>
          <w:p w14:paraId="07C53223"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2126FB"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28FA" w:rsidRPr="00CE3194" w14:paraId="13F74EC4" w14:textId="77777777" w:rsidTr="00A828FA">
        <w:tc>
          <w:tcPr>
            <w:tcW w:w="2660" w:type="dxa"/>
          </w:tcPr>
          <w:p w14:paraId="71CE6C99"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7292DC2" w14:textId="77777777" w:rsidR="0050402B" w:rsidRDefault="0050402B" w:rsidP="0050402B">
            <w:pPr>
              <w:jc w:val="both"/>
              <w:rPr>
                <w:rFonts w:ascii="Arial" w:hAnsi="Arial" w:cs="Arial"/>
                <w:i/>
                <w:sz w:val="20"/>
                <w:szCs w:val="20"/>
                <w:highlight w:val="lightGray"/>
              </w:rPr>
            </w:pPr>
          </w:p>
          <w:p w14:paraId="21CD2ED7" w14:textId="77777777" w:rsidR="00A828FA"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578AACE5"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E17AF45"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DABE15A" w14:textId="560B26E5"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5F11A20"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3D843523"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1E0C1EA2" w14:textId="77777777" w:rsidTr="00A828FA">
        <w:tc>
          <w:tcPr>
            <w:tcW w:w="2660" w:type="dxa"/>
          </w:tcPr>
          <w:p w14:paraId="119580E2"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7E231D" w14:textId="77777777" w:rsidR="0074539F" w:rsidRPr="00CE3194" w:rsidRDefault="0074539F" w:rsidP="00A828FA">
            <w:pPr>
              <w:jc w:val="both"/>
              <w:rPr>
                <w:rFonts w:ascii="Arial" w:hAnsi="Arial" w:cs="Arial"/>
                <w:i/>
                <w:sz w:val="20"/>
                <w:szCs w:val="20"/>
                <w:highlight w:val="lightGray"/>
              </w:rPr>
            </w:pPr>
          </w:p>
        </w:tc>
        <w:tc>
          <w:tcPr>
            <w:tcW w:w="6520" w:type="dxa"/>
          </w:tcPr>
          <w:p w14:paraId="1515CE2E" w14:textId="30DC8D8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0093687F" w14:textId="23246E42"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21C82F0" w14:textId="47A68D8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0AD810E0"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28FA" w14:paraId="628A6411" w14:textId="77777777" w:rsidTr="00A828FA">
        <w:tc>
          <w:tcPr>
            <w:tcW w:w="2660" w:type="dxa"/>
          </w:tcPr>
          <w:p w14:paraId="51FFDFFD" w14:textId="77777777" w:rsidR="00A828FA" w:rsidRDefault="00A828FA"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040D8C5"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2C8D648"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DD16464"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505412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96AC95D" w14:textId="77777777" w:rsidR="00A828FA" w:rsidRPr="005B66F8" w:rsidRDefault="00A828FA"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75A1FD96" w14:textId="47E5A211"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722DD4B0" w14:textId="77777777" w:rsidR="00A828FA" w:rsidRDefault="00A828FA" w:rsidP="00CB3EE6">
      <w:pPr>
        <w:jc w:val="both"/>
        <w:rPr>
          <w:rFonts w:cs="Arial"/>
          <w:szCs w:val="20"/>
        </w:rPr>
      </w:pPr>
    </w:p>
    <w:p w14:paraId="63454F15"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74F7CF3D" w14:textId="77777777" w:rsidR="00E70DF4" w:rsidRDefault="00E70DF4" w:rsidP="00CB3EE6">
      <w:pPr>
        <w:jc w:val="both"/>
        <w:rPr>
          <w:rFonts w:cs="Arial"/>
          <w:szCs w:val="20"/>
        </w:rPr>
      </w:pPr>
    </w:p>
    <w:p w14:paraId="61D6459A" w14:textId="77777777" w:rsidR="00A828FA" w:rsidRPr="006730AC" w:rsidRDefault="00A828FA" w:rsidP="00CB3EE6">
      <w:pPr>
        <w:jc w:val="both"/>
        <w:rPr>
          <w:rFonts w:cs="Arial"/>
          <w:szCs w:val="20"/>
        </w:rPr>
      </w:pPr>
    </w:p>
    <w:p w14:paraId="74391B41" w14:textId="77777777" w:rsidR="006067FE" w:rsidRPr="006730AC" w:rsidRDefault="006067FE" w:rsidP="006F7AB5">
      <w:pPr>
        <w:pStyle w:val="FINMAGliederungEbene3"/>
      </w:pPr>
      <w:bookmarkStart w:id="32" w:name="_Toc147849887"/>
      <w:r>
        <w:t>Marktrisiken: Wechselkursrisiken</w:t>
      </w:r>
      <w:r w:rsidR="00543DCA">
        <w:t xml:space="preserve"> (GR-13)</w:t>
      </w:r>
      <w:bookmarkEnd w:id="32"/>
    </w:p>
    <w:p w14:paraId="4DD7858C" w14:textId="77777777" w:rsidR="00A828FA" w:rsidRDefault="00A828FA"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28FA" w:rsidRPr="009872F3" w14:paraId="053D6205" w14:textId="77777777" w:rsidTr="00A828FA">
        <w:trPr>
          <w:trHeight w:val="563"/>
        </w:trPr>
        <w:tc>
          <w:tcPr>
            <w:tcW w:w="1932" w:type="dxa"/>
          </w:tcPr>
          <w:p w14:paraId="602B2C4A"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Nettorisiko</w:t>
            </w:r>
          </w:p>
        </w:tc>
        <w:tc>
          <w:tcPr>
            <w:tcW w:w="2145" w:type="dxa"/>
          </w:tcPr>
          <w:p w14:paraId="734F0A51"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A4BB3CC"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28FA" w:rsidRPr="009872F3" w14:paraId="2CB2E2DA" w14:textId="77777777" w:rsidTr="00A828FA">
        <w:trPr>
          <w:trHeight w:val="698"/>
        </w:trPr>
        <w:tc>
          <w:tcPr>
            <w:tcW w:w="1932" w:type="dxa"/>
          </w:tcPr>
          <w:p w14:paraId="1EE6032E" w14:textId="5B3C3DAD"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7914B960" w14:textId="77777777" w:rsidR="00A828FA" w:rsidRPr="006749F0" w:rsidRDefault="00A828FA" w:rsidP="00A828F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B188486" w14:textId="77777777" w:rsidR="00A828FA" w:rsidRPr="009872F3" w:rsidRDefault="00A828FA" w:rsidP="00A828F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6A0CAD7" w14:textId="77777777" w:rsidR="00A828FA" w:rsidRDefault="00A828FA" w:rsidP="00A828F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19282DB" w14:textId="77777777" w:rsidR="00A828FA" w:rsidRPr="006749F0" w:rsidRDefault="00A828FA" w:rsidP="00A828FA">
            <w:pPr>
              <w:jc w:val="both"/>
              <w:rPr>
                <w:rFonts w:ascii="Arial" w:hAnsi="Arial" w:cs="Arial"/>
                <w:i/>
                <w:sz w:val="18"/>
                <w:szCs w:val="18"/>
              </w:rPr>
            </w:pPr>
            <w:r w:rsidRPr="006749F0">
              <w:rPr>
                <w:rFonts w:ascii="Arial" w:hAnsi="Arial" w:cs="Arial"/>
                <w:i/>
                <w:sz w:val="18"/>
                <w:szCs w:val="18"/>
                <w:highlight w:val="yellow"/>
              </w:rPr>
              <w:t>Jahr</w:t>
            </w:r>
          </w:p>
        </w:tc>
      </w:tr>
      <w:tr w:rsidR="00A828FA" w:rsidRPr="009872F3" w14:paraId="53306514" w14:textId="77777777" w:rsidTr="00A828FA">
        <w:trPr>
          <w:trHeight w:val="636"/>
        </w:trPr>
        <w:tc>
          <w:tcPr>
            <w:tcW w:w="9180" w:type="dxa"/>
            <w:gridSpan w:val="4"/>
          </w:tcPr>
          <w:p w14:paraId="65B5901F" w14:textId="77777777" w:rsidR="00A828FA" w:rsidRDefault="00A828FA" w:rsidP="00A828FA">
            <w:pPr>
              <w:jc w:val="both"/>
              <w:rPr>
                <w:rFonts w:ascii="Arial" w:hAnsi="Arial" w:cs="Arial"/>
                <w:sz w:val="18"/>
                <w:szCs w:val="18"/>
              </w:rPr>
            </w:pPr>
          </w:p>
          <w:p w14:paraId="0166E7AE" w14:textId="77777777" w:rsidR="00A828FA" w:rsidRDefault="00A828FA" w:rsidP="00A828F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3D2BFB2" w14:textId="77777777" w:rsidR="00996F3A" w:rsidRPr="00CB3EE6" w:rsidRDefault="00996F3A" w:rsidP="00A828FA">
            <w:pPr>
              <w:jc w:val="both"/>
              <w:rPr>
                <w:rFonts w:ascii="Arial" w:hAnsi="Arial" w:cs="Arial"/>
                <w:sz w:val="18"/>
                <w:szCs w:val="18"/>
                <w:highlight w:val="yellow"/>
              </w:rPr>
            </w:pPr>
            <w:r w:rsidRPr="00CB3EE6">
              <w:rPr>
                <w:rFonts w:ascii="Arial" w:hAnsi="Arial" w:cs="Arial"/>
                <w:sz w:val="18"/>
                <w:szCs w:val="18"/>
                <w:highlight w:val="yellow"/>
              </w:rPr>
              <w:t xml:space="preserve">Art. 7a BankG; Art. 21m BankV; Anhang 4.2 BankV; </w:t>
            </w:r>
          </w:p>
          <w:p w14:paraId="2711066E" w14:textId="77777777" w:rsidR="00A828FA" w:rsidRPr="009872F3" w:rsidRDefault="00996F3A" w:rsidP="00A828FA">
            <w:pPr>
              <w:jc w:val="both"/>
              <w:rPr>
                <w:rFonts w:ascii="Arial" w:hAnsi="Arial" w:cs="Arial"/>
                <w:sz w:val="18"/>
                <w:szCs w:val="18"/>
              </w:rPr>
            </w:pPr>
            <w:r w:rsidRPr="00CB3EE6">
              <w:rPr>
                <w:rFonts w:ascii="Arial" w:hAnsi="Arial" w:cs="Arial"/>
                <w:sz w:val="18"/>
                <w:szCs w:val="18"/>
                <w:highlight w:val="yellow"/>
              </w:rPr>
              <w:t>FMA-Mitteilung 2017/4 (inkl. regulatorische Grundlagen im Anhang)</w:t>
            </w:r>
          </w:p>
        </w:tc>
      </w:tr>
      <w:tr w:rsidR="00A828FA" w:rsidRPr="009872F3" w14:paraId="3267CAA9" w14:textId="77777777" w:rsidTr="00A828FA">
        <w:trPr>
          <w:trHeight w:val="294"/>
        </w:trPr>
        <w:tc>
          <w:tcPr>
            <w:tcW w:w="9180" w:type="dxa"/>
            <w:gridSpan w:val="4"/>
          </w:tcPr>
          <w:p w14:paraId="02A2962C" w14:textId="77777777" w:rsidR="00A828FA" w:rsidRPr="009872F3" w:rsidRDefault="00A828FA" w:rsidP="00A828FA">
            <w:pPr>
              <w:jc w:val="both"/>
              <w:rPr>
                <w:rFonts w:ascii="Arial" w:hAnsi="Arial" w:cs="Arial"/>
                <w:sz w:val="18"/>
                <w:szCs w:val="18"/>
              </w:rPr>
            </w:pPr>
          </w:p>
        </w:tc>
      </w:tr>
      <w:tr w:rsidR="00A828FA" w:rsidRPr="009872F3" w14:paraId="3411D672" w14:textId="77777777" w:rsidTr="00A828FA">
        <w:tc>
          <w:tcPr>
            <w:tcW w:w="5798" w:type="dxa"/>
            <w:gridSpan w:val="3"/>
          </w:tcPr>
          <w:p w14:paraId="52D68379" w14:textId="0147D742" w:rsidR="00A828FA" w:rsidRPr="00C1307E" w:rsidRDefault="00A828FA" w:rsidP="00DF1664">
            <w:pPr>
              <w:jc w:val="both"/>
              <w:rPr>
                <w:rFonts w:ascii="Arial" w:hAnsi="Arial" w:cs="Arial"/>
                <w:sz w:val="18"/>
                <w:szCs w:val="18"/>
              </w:rPr>
            </w:pPr>
            <w:r w:rsidRPr="00C1307E">
              <w:rPr>
                <w:rFonts w:ascii="Arial" w:hAnsi="Arial" w:cs="Arial"/>
                <w:sz w:val="18"/>
                <w:szCs w:val="18"/>
              </w:rPr>
              <w:lastRenderedPageBreak/>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Wechselkursrisiken </w:t>
            </w:r>
            <w:r w:rsidRPr="00C1307E">
              <w:rPr>
                <w:rFonts w:ascii="Arial" w:hAnsi="Arial" w:cs="Arial"/>
                <w:sz w:val="18"/>
                <w:szCs w:val="18"/>
              </w:rPr>
              <w:t>angemessen ausgestaltet ist.</w:t>
            </w:r>
          </w:p>
        </w:tc>
        <w:tc>
          <w:tcPr>
            <w:tcW w:w="3382" w:type="dxa"/>
          </w:tcPr>
          <w:p w14:paraId="0A7E8DC8" w14:textId="77777777" w:rsidR="00A828FA" w:rsidRPr="00E109DF" w:rsidRDefault="00A828FA" w:rsidP="00A828F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4221DD86" w14:textId="77777777" w:rsidTr="00A828FA">
        <w:tc>
          <w:tcPr>
            <w:tcW w:w="5798" w:type="dxa"/>
            <w:gridSpan w:val="3"/>
          </w:tcPr>
          <w:p w14:paraId="2B5CB45F" w14:textId="40B1DFE2"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Wechselkursrisiken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E807C00"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28FA" w:rsidRPr="009872F3" w14:paraId="3284EA4B" w14:textId="77777777" w:rsidTr="00A828FA">
        <w:tc>
          <w:tcPr>
            <w:tcW w:w="5798" w:type="dxa"/>
            <w:gridSpan w:val="3"/>
          </w:tcPr>
          <w:p w14:paraId="283C2922" w14:textId="68A720D5" w:rsidR="00A828FA" w:rsidRPr="00C1307E" w:rsidRDefault="00A828FA" w:rsidP="00DF1664">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996F3A">
              <w:rPr>
                <w:rFonts w:ascii="Arial" w:hAnsi="Arial" w:cs="Arial"/>
                <w:sz w:val="18"/>
                <w:szCs w:val="18"/>
              </w:rPr>
              <w:t>Wechselkursrisiken</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2702D3D2" w14:textId="77777777" w:rsidR="00A828FA" w:rsidRPr="009872F3" w:rsidRDefault="00A828FA" w:rsidP="00A828F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01D1245" w14:textId="77777777" w:rsidR="00A828FA" w:rsidRPr="00CE3194" w:rsidRDefault="00A828FA" w:rsidP="00A828FA">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28FA" w:rsidRPr="00CE3194" w14:paraId="0B596695" w14:textId="77777777" w:rsidTr="00A828FA">
        <w:tc>
          <w:tcPr>
            <w:tcW w:w="2660" w:type="dxa"/>
          </w:tcPr>
          <w:p w14:paraId="66529E6E"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A94D91A" w14:textId="77777777" w:rsidR="00A828FA" w:rsidRPr="00CE3194" w:rsidRDefault="00A828FA" w:rsidP="00A828F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28FA" w:rsidRPr="00CE3194" w14:paraId="4921B18D" w14:textId="77777777" w:rsidTr="00A828FA">
        <w:tc>
          <w:tcPr>
            <w:tcW w:w="2660" w:type="dxa"/>
          </w:tcPr>
          <w:p w14:paraId="7FC11514"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D528DE3" w14:textId="77777777" w:rsidR="0050402B" w:rsidRDefault="0050402B" w:rsidP="0050402B">
            <w:pPr>
              <w:jc w:val="both"/>
              <w:rPr>
                <w:rFonts w:ascii="Arial" w:hAnsi="Arial" w:cs="Arial"/>
                <w:i/>
                <w:sz w:val="20"/>
                <w:szCs w:val="20"/>
                <w:highlight w:val="lightGray"/>
              </w:rPr>
            </w:pPr>
          </w:p>
          <w:p w14:paraId="531A0D6A" w14:textId="77777777" w:rsidR="00A828FA"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29816E15"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568D58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1D5455D" w14:textId="5B904CAF"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6DD2AAAB"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5EA5091"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261EF0DB" w14:textId="77777777" w:rsidTr="00A828FA">
        <w:tc>
          <w:tcPr>
            <w:tcW w:w="2660" w:type="dxa"/>
          </w:tcPr>
          <w:p w14:paraId="2CA5572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5E0C257D" w14:textId="77777777" w:rsidR="0074539F" w:rsidRPr="00CE3194" w:rsidRDefault="0074539F" w:rsidP="00A828FA">
            <w:pPr>
              <w:jc w:val="both"/>
              <w:rPr>
                <w:rFonts w:ascii="Arial" w:hAnsi="Arial" w:cs="Arial"/>
                <w:i/>
                <w:sz w:val="20"/>
                <w:szCs w:val="20"/>
                <w:highlight w:val="lightGray"/>
              </w:rPr>
            </w:pPr>
          </w:p>
        </w:tc>
        <w:tc>
          <w:tcPr>
            <w:tcW w:w="6520" w:type="dxa"/>
          </w:tcPr>
          <w:p w14:paraId="13071576" w14:textId="2C16F9B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11CF1CAC" w14:textId="49DAAAD8"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18BACED" w14:textId="64D8EF1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7D341F">
              <w:rPr>
                <w:rFonts w:cs="Arial"/>
                <w:i/>
                <w:szCs w:val="20"/>
                <w:highlight w:val="lightGray"/>
              </w:rPr>
              <w:t>gewährleisten</w:t>
            </w:r>
            <w:r w:rsidRPr="00CE3194">
              <w:rPr>
                <w:rFonts w:cs="Arial"/>
                <w:i/>
                <w:szCs w:val="20"/>
                <w:highlight w:val="lightGray"/>
              </w:rPr>
              <w:t xml:space="preserve"> ein angemessenes Dokumentations- und Archivierungswesen;</w:t>
            </w:r>
          </w:p>
          <w:p w14:paraId="7675F402" w14:textId="77777777" w:rsidR="0074539F" w:rsidRPr="00CE3194" w:rsidRDefault="0074539F"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28FA" w14:paraId="46ED3651" w14:textId="77777777" w:rsidTr="00A828FA">
        <w:tc>
          <w:tcPr>
            <w:tcW w:w="2660" w:type="dxa"/>
          </w:tcPr>
          <w:p w14:paraId="0C0ACC6A" w14:textId="77777777" w:rsidR="00A828FA" w:rsidRDefault="00A828FA" w:rsidP="00A828F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550C398"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66C63D3"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73E8C0B"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58F352C" w14:textId="77777777" w:rsidR="00A828FA" w:rsidRPr="00CE3194" w:rsidRDefault="00A828FA" w:rsidP="00A828F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AD17A09" w14:textId="77777777" w:rsidR="00A828FA" w:rsidRPr="005B66F8" w:rsidRDefault="00A828FA" w:rsidP="00A828F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71F7B525" w14:textId="150D6E12" w:rsidR="00916839" w:rsidRDefault="00916839" w:rsidP="00A828F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15498E3B" w14:textId="77777777" w:rsidR="00A828FA" w:rsidRDefault="00A828FA" w:rsidP="00CB3EE6">
      <w:pPr>
        <w:jc w:val="both"/>
        <w:rPr>
          <w:rFonts w:cs="Arial"/>
          <w:szCs w:val="20"/>
        </w:rPr>
      </w:pPr>
    </w:p>
    <w:p w14:paraId="41E227E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C20B04B" w14:textId="77777777" w:rsidR="00E70DF4" w:rsidRDefault="00E70DF4" w:rsidP="00CB3EE6">
      <w:pPr>
        <w:jc w:val="both"/>
        <w:rPr>
          <w:rFonts w:cs="Arial"/>
          <w:szCs w:val="20"/>
        </w:rPr>
      </w:pPr>
    </w:p>
    <w:p w14:paraId="2D17E0A6" w14:textId="77777777" w:rsidR="00A828FA" w:rsidRPr="006730AC" w:rsidRDefault="00A828FA" w:rsidP="00CB3EE6">
      <w:pPr>
        <w:jc w:val="both"/>
        <w:rPr>
          <w:rFonts w:cs="Arial"/>
          <w:szCs w:val="20"/>
        </w:rPr>
      </w:pPr>
    </w:p>
    <w:p w14:paraId="08120B03" w14:textId="77777777" w:rsidR="006067FE" w:rsidRPr="006730AC" w:rsidRDefault="006067FE" w:rsidP="006F7AB5">
      <w:pPr>
        <w:pStyle w:val="FINMAGliederungEbene3"/>
      </w:pPr>
      <w:bookmarkStart w:id="33" w:name="_Toc147849888"/>
      <w:r>
        <w:t>Marktrisiken: Risiken aus Credit valuation adjustments (CVA)</w:t>
      </w:r>
      <w:r w:rsidR="00543DCA">
        <w:t xml:space="preserve"> (GR-14)</w:t>
      </w:r>
      <w:bookmarkEnd w:id="33"/>
    </w:p>
    <w:p w14:paraId="373D293D" w14:textId="77777777" w:rsidR="00996F3A" w:rsidRDefault="00996F3A"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2AC68A29" w14:textId="77777777" w:rsidTr="00DB5BE8">
        <w:trPr>
          <w:trHeight w:val="563"/>
        </w:trPr>
        <w:tc>
          <w:tcPr>
            <w:tcW w:w="1932" w:type="dxa"/>
          </w:tcPr>
          <w:p w14:paraId="4063D703"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513C5D5D"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3D6995F"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054C5F9D" w14:textId="77777777" w:rsidTr="00DB5BE8">
        <w:trPr>
          <w:trHeight w:val="698"/>
        </w:trPr>
        <w:tc>
          <w:tcPr>
            <w:tcW w:w="1932" w:type="dxa"/>
          </w:tcPr>
          <w:p w14:paraId="1DAF06A9" w14:textId="3116EF50"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5E9F4AF9"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00C1A89"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B62B8B6"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554E7C5"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4F5D2DCF" w14:textId="77777777" w:rsidTr="00DB5BE8">
        <w:trPr>
          <w:trHeight w:val="636"/>
        </w:trPr>
        <w:tc>
          <w:tcPr>
            <w:tcW w:w="9180" w:type="dxa"/>
            <w:gridSpan w:val="4"/>
          </w:tcPr>
          <w:p w14:paraId="5DFCC4DA" w14:textId="77777777" w:rsidR="00A84BF6" w:rsidRDefault="00A84BF6" w:rsidP="00DB5BE8">
            <w:pPr>
              <w:jc w:val="both"/>
              <w:rPr>
                <w:rFonts w:ascii="Arial" w:hAnsi="Arial" w:cs="Arial"/>
                <w:sz w:val="18"/>
                <w:szCs w:val="18"/>
              </w:rPr>
            </w:pPr>
          </w:p>
          <w:p w14:paraId="4518CF96" w14:textId="77777777" w:rsidR="00A84BF6" w:rsidRDefault="00A84BF6"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3E09903" w14:textId="77777777" w:rsidR="00A84BF6" w:rsidRPr="00CB3EE6" w:rsidRDefault="00A84BF6" w:rsidP="00DB5BE8">
            <w:pPr>
              <w:jc w:val="both"/>
              <w:rPr>
                <w:rFonts w:ascii="Arial" w:hAnsi="Arial" w:cs="Arial"/>
                <w:sz w:val="18"/>
                <w:szCs w:val="18"/>
                <w:highlight w:val="yellow"/>
              </w:rPr>
            </w:pPr>
            <w:r w:rsidRPr="00CB3EE6">
              <w:rPr>
                <w:rFonts w:ascii="Arial" w:hAnsi="Arial" w:cs="Arial"/>
                <w:sz w:val="18"/>
                <w:szCs w:val="18"/>
                <w:highlight w:val="yellow"/>
              </w:rPr>
              <w:t xml:space="preserve">Art. 7a BankG; Art. 21m BankV; Anhang 4.2 BankV; </w:t>
            </w:r>
          </w:p>
          <w:p w14:paraId="3A5AFB08" w14:textId="77777777" w:rsidR="00A84BF6" w:rsidRPr="009872F3" w:rsidRDefault="00A84BF6" w:rsidP="00DB5BE8">
            <w:pPr>
              <w:jc w:val="both"/>
              <w:rPr>
                <w:rFonts w:ascii="Arial" w:hAnsi="Arial" w:cs="Arial"/>
                <w:sz w:val="18"/>
                <w:szCs w:val="18"/>
              </w:rPr>
            </w:pPr>
            <w:r w:rsidRPr="00CB3EE6">
              <w:rPr>
                <w:rFonts w:ascii="Arial" w:hAnsi="Arial" w:cs="Arial"/>
                <w:sz w:val="18"/>
                <w:szCs w:val="18"/>
                <w:highlight w:val="yellow"/>
              </w:rPr>
              <w:t xml:space="preserve">FMA-Mitteilung 2017/4 (inkl. regulatorische Grundlagen im Anhang); Art. 381 Verordnung (EU) </w:t>
            </w:r>
            <w:r>
              <w:rPr>
                <w:rFonts w:ascii="Arial" w:hAnsi="Arial" w:cs="Arial"/>
                <w:sz w:val="18"/>
                <w:szCs w:val="18"/>
                <w:highlight w:val="yellow"/>
              </w:rPr>
              <w:t xml:space="preserve">Nr. </w:t>
            </w:r>
            <w:r w:rsidRPr="00CB3EE6">
              <w:rPr>
                <w:rFonts w:ascii="Arial" w:hAnsi="Arial" w:cs="Arial"/>
                <w:sz w:val="18"/>
                <w:szCs w:val="18"/>
                <w:highlight w:val="yellow"/>
              </w:rPr>
              <w:t>575/2013</w:t>
            </w:r>
          </w:p>
        </w:tc>
      </w:tr>
      <w:tr w:rsidR="00A84BF6" w:rsidRPr="009872F3" w14:paraId="2A7C892D" w14:textId="77777777" w:rsidTr="00DB5BE8">
        <w:trPr>
          <w:trHeight w:val="294"/>
        </w:trPr>
        <w:tc>
          <w:tcPr>
            <w:tcW w:w="9180" w:type="dxa"/>
            <w:gridSpan w:val="4"/>
          </w:tcPr>
          <w:p w14:paraId="44B3381D" w14:textId="77777777" w:rsidR="00A84BF6" w:rsidRPr="009872F3" w:rsidRDefault="00A84BF6" w:rsidP="00DB5BE8">
            <w:pPr>
              <w:jc w:val="both"/>
              <w:rPr>
                <w:rFonts w:ascii="Arial" w:hAnsi="Arial" w:cs="Arial"/>
                <w:sz w:val="18"/>
                <w:szCs w:val="18"/>
              </w:rPr>
            </w:pPr>
          </w:p>
        </w:tc>
      </w:tr>
      <w:tr w:rsidR="00A84BF6" w:rsidRPr="009872F3" w14:paraId="4F11EC3B" w14:textId="77777777" w:rsidTr="00DB5BE8">
        <w:tc>
          <w:tcPr>
            <w:tcW w:w="5798" w:type="dxa"/>
            <w:gridSpan w:val="3"/>
          </w:tcPr>
          <w:p w14:paraId="06A7589F" w14:textId="114331EC" w:rsidR="00A84BF6" w:rsidRPr="00C1307E" w:rsidRDefault="00A84BF6" w:rsidP="00DF1664">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Risiken aus Credit valuation adjustments (CVA) </w:t>
            </w:r>
            <w:r w:rsidRPr="00C1307E">
              <w:rPr>
                <w:rFonts w:ascii="Arial" w:hAnsi="Arial" w:cs="Arial"/>
                <w:sz w:val="18"/>
                <w:szCs w:val="18"/>
              </w:rPr>
              <w:t>angemessen ausgestaltet ist.</w:t>
            </w:r>
          </w:p>
        </w:tc>
        <w:tc>
          <w:tcPr>
            <w:tcW w:w="3382" w:type="dxa"/>
          </w:tcPr>
          <w:p w14:paraId="5CFF73FF"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34FE894D" w14:textId="77777777" w:rsidTr="002E5C20">
        <w:trPr>
          <w:trHeight w:val="628"/>
        </w:trPr>
        <w:tc>
          <w:tcPr>
            <w:tcW w:w="5798" w:type="dxa"/>
            <w:gridSpan w:val="3"/>
          </w:tcPr>
          <w:p w14:paraId="7DA0712A" w14:textId="56B1C745" w:rsidR="00A84BF6" w:rsidRPr="00C1307E" w:rsidRDefault="00A84BF6" w:rsidP="00DF1664">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Risiken aus Credit valuation adjustments (CVA)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F226161"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4212BE5A" w14:textId="77777777" w:rsidTr="00DB5BE8">
        <w:tc>
          <w:tcPr>
            <w:tcW w:w="5798" w:type="dxa"/>
            <w:gridSpan w:val="3"/>
          </w:tcPr>
          <w:p w14:paraId="23E61841" w14:textId="301F2F3A" w:rsidR="00A84BF6" w:rsidRPr="00C1307E" w:rsidRDefault="00A84BF6" w:rsidP="00DF1664">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Risiken aus Credit valuation adjustments (CVA)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D3D41D1"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1D4AD9"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19C226C" w14:textId="77777777" w:rsidTr="00DB5BE8">
        <w:tc>
          <w:tcPr>
            <w:tcW w:w="2660" w:type="dxa"/>
          </w:tcPr>
          <w:p w14:paraId="52CD63F6"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C80BB3F"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16B2606D" w14:textId="77777777" w:rsidTr="00DB5BE8">
        <w:tc>
          <w:tcPr>
            <w:tcW w:w="2660" w:type="dxa"/>
          </w:tcPr>
          <w:p w14:paraId="3DE16E77"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C578DEC" w14:textId="77777777" w:rsidR="0050402B" w:rsidRDefault="0050402B" w:rsidP="0050402B">
            <w:pPr>
              <w:jc w:val="both"/>
              <w:rPr>
                <w:rFonts w:ascii="Arial" w:hAnsi="Arial" w:cs="Arial"/>
                <w:i/>
                <w:sz w:val="20"/>
                <w:szCs w:val="20"/>
                <w:highlight w:val="lightGray"/>
              </w:rPr>
            </w:pPr>
          </w:p>
          <w:p w14:paraId="15EC3D2D" w14:textId="77777777" w:rsidR="00A84BF6"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22F3A1CB"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792B64B"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52685B5F" w14:textId="71584DC4"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8863CBB"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20D49705"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0A3D65A" w14:textId="77777777" w:rsidTr="00DB5BE8">
        <w:tc>
          <w:tcPr>
            <w:tcW w:w="2660" w:type="dxa"/>
          </w:tcPr>
          <w:p w14:paraId="542A059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B267E4C" w14:textId="77777777" w:rsidR="0074539F" w:rsidRPr="00CE3194" w:rsidRDefault="0074539F" w:rsidP="00DB5BE8">
            <w:pPr>
              <w:jc w:val="both"/>
              <w:rPr>
                <w:rFonts w:ascii="Arial" w:hAnsi="Arial" w:cs="Arial"/>
                <w:i/>
                <w:sz w:val="20"/>
                <w:szCs w:val="20"/>
                <w:highlight w:val="lightGray"/>
              </w:rPr>
            </w:pPr>
          </w:p>
        </w:tc>
        <w:tc>
          <w:tcPr>
            <w:tcW w:w="6520" w:type="dxa"/>
          </w:tcPr>
          <w:p w14:paraId="3EC82C23" w14:textId="4C3C9EA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2051FE61" w14:textId="63AC5C4D"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498838B" w14:textId="665DD8CD"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69FB16BA"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6AC19942" w14:textId="77777777" w:rsidTr="00DB5BE8">
        <w:tc>
          <w:tcPr>
            <w:tcW w:w="2660" w:type="dxa"/>
          </w:tcPr>
          <w:p w14:paraId="08633369"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0B7E828"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A523C66"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FE3BDD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EF5CD93"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DE4CE8A" w14:textId="77777777" w:rsidR="00A84BF6" w:rsidRPr="005B66F8" w:rsidRDefault="00A84BF6"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26DC414B" w14:textId="1112EBAC"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20216FF7" w14:textId="77777777" w:rsidR="00996F3A" w:rsidRDefault="00996F3A" w:rsidP="00CB3EE6">
      <w:pPr>
        <w:jc w:val="both"/>
        <w:rPr>
          <w:rFonts w:cs="Arial"/>
          <w:szCs w:val="20"/>
        </w:rPr>
      </w:pPr>
    </w:p>
    <w:p w14:paraId="3DD11B4A"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A10C771" w14:textId="77777777" w:rsidR="00E70DF4" w:rsidRDefault="00E70DF4" w:rsidP="00CB3EE6">
      <w:pPr>
        <w:jc w:val="both"/>
        <w:rPr>
          <w:rFonts w:cs="Arial"/>
          <w:szCs w:val="20"/>
        </w:rPr>
      </w:pPr>
    </w:p>
    <w:p w14:paraId="10C00090" w14:textId="77777777" w:rsidR="00996F3A" w:rsidRPr="006730AC" w:rsidRDefault="00996F3A" w:rsidP="00CB3EE6">
      <w:pPr>
        <w:jc w:val="both"/>
        <w:rPr>
          <w:rFonts w:cs="Arial"/>
          <w:szCs w:val="20"/>
        </w:rPr>
      </w:pPr>
    </w:p>
    <w:p w14:paraId="30E244DE" w14:textId="77777777" w:rsidR="006067FE" w:rsidRPr="002E5C20" w:rsidRDefault="00764E6A" w:rsidP="006F7AB5">
      <w:pPr>
        <w:pStyle w:val="FINMAGliederungEbene3"/>
        <w:rPr>
          <w:highlight w:val="yellow"/>
        </w:rPr>
      </w:pPr>
      <w:bookmarkStart w:id="34" w:name="_Toc147849889"/>
      <w:r w:rsidRPr="002E5C20">
        <w:rPr>
          <w:highlight w:val="yellow"/>
        </w:rPr>
        <w:t>[</w:t>
      </w:r>
      <w:r w:rsidR="006067FE" w:rsidRPr="002E5C20">
        <w:rPr>
          <w:highlight w:val="yellow"/>
        </w:rPr>
        <w:t>Weitere Marktrisiken von der Revisionsstelle zu definieren</w:t>
      </w:r>
      <w:r w:rsidRPr="002E5C20">
        <w:rPr>
          <w:highlight w:val="yellow"/>
        </w:rPr>
        <w:t>]</w:t>
      </w:r>
      <w:r w:rsidR="00543DCA" w:rsidRPr="002E5C20">
        <w:rPr>
          <w:highlight w:val="yellow"/>
        </w:rPr>
        <w:t xml:space="preserve"> (GR-15)</w:t>
      </w:r>
      <w:bookmarkEnd w:id="34"/>
    </w:p>
    <w:p w14:paraId="7378C718"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35D84550" w14:textId="77777777" w:rsidTr="00DB5BE8">
        <w:trPr>
          <w:trHeight w:val="563"/>
        </w:trPr>
        <w:tc>
          <w:tcPr>
            <w:tcW w:w="1932" w:type="dxa"/>
          </w:tcPr>
          <w:p w14:paraId="7B7AEABC"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358C3ACA"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FB82109"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7382E6B0" w14:textId="77777777" w:rsidTr="00DB5BE8">
        <w:trPr>
          <w:trHeight w:val="698"/>
        </w:trPr>
        <w:tc>
          <w:tcPr>
            <w:tcW w:w="1932" w:type="dxa"/>
          </w:tcPr>
          <w:p w14:paraId="44E7EF3F" w14:textId="57E7A541"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0D20DEB"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56CB587"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67CEEFC"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1E90573"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00A648D3" w14:textId="77777777" w:rsidTr="00DB5BE8">
        <w:trPr>
          <w:trHeight w:val="636"/>
        </w:trPr>
        <w:tc>
          <w:tcPr>
            <w:tcW w:w="9180" w:type="dxa"/>
            <w:gridSpan w:val="4"/>
          </w:tcPr>
          <w:p w14:paraId="7FD8ECF0" w14:textId="77777777" w:rsidR="00A84BF6" w:rsidRDefault="00A84BF6" w:rsidP="00DB5BE8">
            <w:pPr>
              <w:jc w:val="both"/>
              <w:rPr>
                <w:rFonts w:ascii="Arial" w:hAnsi="Arial" w:cs="Arial"/>
                <w:sz w:val="18"/>
                <w:szCs w:val="18"/>
              </w:rPr>
            </w:pPr>
          </w:p>
          <w:p w14:paraId="4006AEE5"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5B705CD5" w14:textId="77777777" w:rsidR="00A84BF6" w:rsidRPr="009872F3" w:rsidRDefault="00A84BF6" w:rsidP="00DB5BE8">
            <w:pPr>
              <w:jc w:val="both"/>
              <w:rPr>
                <w:rFonts w:ascii="Arial" w:hAnsi="Arial" w:cs="Arial"/>
                <w:sz w:val="18"/>
                <w:szCs w:val="18"/>
              </w:rPr>
            </w:pPr>
            <w:r w:rsidRPr="00276C60">
              <w:rPr>
                <w:rFonts w:ascii="Arial" w:hAnsi="Arial" w:cs="Arial"/>
                <w:sz w:val="18"/>
                <w:szCs w:val="18"/>
                <w:highlight w:val="yellow"/>
              </w:rPr>
              <w:t>tbd</w:t>
            </w:r>
          </w:p>
        </w:tc>
      </w:tr>
      <w:tr w:rsidR="00A84BF6" w:rsidRPr="009872F3" w14:paraId="0C13D568" w14:textId="77777777" w:rsidTr="00DB5BE8">
        <w:trPr>
          <w:trHeight w:val="294"/>
        </w:trPr>
        <w:tc>
          <w:tcPr>
            <w:tcW w:w="9180" w:type="dxa"/>
            <w:gridSpan w:val="4"/>
          </w:tcPr>
          <w:p w14:paraId="06447A48" w14:textId="77777777" w:rsidR="00A84BF6" w:rsidRPr="009872F3" w:rsidRDefault="00A84BF6" w:rsidP="00DB5BE8">
            <w:pPr>
              <w:jc w:val="both"/>
              <w:rPr>
                <w:rFonts w:ascii="Arial" w:hAnsi="Arial" w:cs="Arial"/>
                <w:sz w:val="18"/>
                <w:szCs w:val="18"/>
              </w:rPr>
            </w:pPr>
          </w:p>
        </w:tc>
      </w:tr>
      <w:tr w:rsidR="00A84BF6" w:rsidRPr="009872F3" w14:paraId="5D953F0F" w14:textId="77777777" w:rsidTr="00DB5BE8">
        <w:tc>
          <w:tcPr>
            <w:tcW w:w="5798" w:type="dxa"/>
            <w:gridSpan w:val="3"/>
          </w:tcPr>
          <w:p w14:paraId="6FEEAD0F" w14:textId="77777777" w:rsidR="00A84BF6" w:rsidRPr="00C1307E" w:rsidRDefault="00A84BF6"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Marktrisiken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27214D0"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5831E6A1" w14:textId="77777777" w:rsidTr="00DB5BE8">
        <w:tc>
          <w:tcPr>
            <w:tcW w:w="5798" w:type="dxa"/>
            <w:gridSpan w:val="3"/>
          </w:tcPr>
          <w:p w14:paraId="41A117F0"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Marktrisiken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C2024D5"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785E4DFC" w14:textId="77777777" w:rsidTr="00DB5BE8">
        <w:tc>
          <w:tcPr>
            <w:tcW w:w="5798" w:type="dxa"/>
            <w:gridSpan w:val="3"/>
          </w:tcPr>
          <w:p w14:paraId="0D6993DF"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Marktrisiken - </w:t>
            </w:r>
            <w:r w:rsidRPr="00276C60">
              <w:rPr>
                <w:rFonts w:ascii="Arial" w:hAnsi="Arial" w:cs="Arial"/>
                <w:sz w:val="18"/>
                <w:szCs w:val="18"/>
                <w:highlight w:val="yellow"/>
              </w:rPr>
              <w:t>tbd]</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265A7C46"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4E2C477"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4920404" w14:textId="77777777" w:rsidTr="00DB5BE8">
        <w:tc>
          <w:tcPr>
            <w:tcW w:w="2660" w:type="dxa"/>
          </w:tcPr>
          <w:p w14:paraId="1A97F641"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2CEDA1A"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0B2D2C2D" w14:textId="77777777" w:rsidTr="00DB5BE8">
        <w:tc>
          <w:tcPr>
            <w:tcW w:w="2660" w:type="dxa"/>
          </w:tcPr>
          <w:p w14:paraId="50B0EEDC"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EC84CDB" w14:textId="77777777" w:rsidR="0050402B" w:rsidRDefault="0050402B" w:rsidP="0050402B">
            <w:pPr>
              <w:jc w:val="both"/>
              <w:rPr>
                <w:rFonts w:ascii="Arial" w:hAnsi="Arial" w:cs="Arial"/>
                <w:i/>
                <w:sz w:val="20"/>
                <w:szCs w:val="20"/>
                <w:highlight w:val="lightGray"/>
              </w:rPr>
            </w:pPr>
          </w:p>
          <w:p w14:paraId="55394CB7" w14:textId="77777777" w:rsidR="00A84BF6"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240FC8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225483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B4F8EFD" w14:textId="395320B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62D5E2B"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58284C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0E75477A" w14:textId="77777777" w:rsidTr="00DB5BE8">
        <w:tc>
          <w:tcPr>
            <w:tcW w:w="2660" w:type="dxa"/>
          </w:tcPr>
          <w:p w14:paraId="5F04785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9887738" w14:textId="77777777" w:rsidR="0074539F" w:rsidRPr="00CE3194" w:rsidRDefault="0074539F" w:rsidP="00DB5BE8">
            <w:pPr>
              <w:jc w:val="both"/>
              <w:rPr>
                <w:rFonts w:ascii="Arial" w:hAnsi="Arial" w:cs="Arial"/>
                <w:i/>
                <w:sz w:val="20"/>
                <w:szCs w:val="20"/>
                <w:highlight w:val="lightGray"/>
              </w:rPr>
            </w:pPr>
          </w:p>
        </w:tc>
        <w:tc>
          <w:tcPr>
            <w:tcW w:w="6520" w:type="dxa"/>
          </w:tcPr>
          <w:p w14:paraId="1352773D" w14:textId="7CEC149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5DB5151B" w14:textId="451AEA11"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6F7A49F" w14:textId="349262F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65732C3F"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5697C24D" w14:textId="77777777" w:rsidTr="00DB5BE8">
        <w:tc>
          <w:tcPr>
            <w:tcW w:w="2660" w:type="dxa"/>
          </w:tcPr>
          <w:p w14:paraId="4443DDF3"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AA689D1"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2020F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4104C65"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04F6403"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22EFAC1" w14:textId="77777777" w:rsidR="00A84BF6" w:rsidRPr="005B66F8" w:rsidRDefault="00A84BF6"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00BC65BD" w14:textId="430FDB34"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Pr="00055C14">
              <w:rPr>
                <w:rFonts w:cs="Arial"/>
                <w:i/>
                <w:szCs w:val="20"/>
                <w:highlight w:val="lightGray"/>
              </w:rPr>
              <w:t xml:space="preserve"> mit ein</w:t>
            </w:r>
          </w:p>
        </w:tc>
      </w:tr>
    </w:tbl>
    <w:p w14:paraId="1705E67E" w14:textId="77777777" w:rsidR="00A84BF6" w:rsidRDefault="00A84BF6" w:rsidP="00CB3EE6">
      <w:pPr>
        <w:jc w:val="both"/>
        <w:rPr>
          <w:rFonts w:cs="Arial"/>
          <w:szCs w:val="20"/>
        </w:rPr>
      </w:pPr>
    </w:p>
    <w:p w14:paraId="586838C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1561ACE" w14:textId="77777777" w:rsidR="00E70DF4" w:rsidRDefault="00E70DF4" w:rsidP="00CB3EE6">
      <w:pPr>
        <w:jc w:val="both"/>
        <w:rPr>
          <w:rFonts w:cs="Arial"/>
          <w:szCs w:val="20"/>
        </w:rPr>
      </w:pPr>
    </w:p>
    <w:p w14:paraId="4F4F30BE" w14:textId="77777777" w:rsidR="00A84BF6" w:rsidRPr="006730AC" w:rsidRDefault="00A84BF6" w:rsidP="00CB3EE6">
      <w:pPr>
        <w:jc w:val="both"/>
        <w:rPr>
          <w:rFonts w:cs="Arial"/>
          <w:szCs w:val="20"/>
        </w:rPr>
      </w:pPr>
    </w:p>
    <w:p w14:paraId="2C0DD60C" w14:textId="77777777" w:rsidR="006067FE" w:rsidRPr="006730AC" w:rsidRDefault="006067FE" w:rsidP="006F7AB5">
      <w:pPr>
        <w:pStyle w:val="FINMAGliederungEbene3"/>
      </w:pPr>
      <w:bookmarkStart w:id="35" w:name="_Toc147849890"/>
      <w:r w:rsidRPr="00CB3EE6">
        <w:t xml:space="preserve">Operationelle Risiken im Zusammenhang mit </w:t>
      </w:r>
      <w:r w:rsidR="00A84BF6" w:rsidRPr="00CB3EE6">
        <w:t xml:space="preserve">dem Brokerage und Depotgeschäft für Kunden inkl. </w:t>
      </w:r>
      <w:r w:rsidRPr="00CB3EE6">
        <w:t>„Execution-only“ Geschäft</w:t>
      </w:r>
      <w:r w:rsidR="00DF1664">
        <w:t>en</w:t>
      </w:r>
      <w:r w:rsidR="00295664">
        <w:t xml:space="preserve"> für Kunden</w:t>
      </w:r>
      <w:r w:rsidR="00543DCA" w:rsidRPr="00CB3EE6">
        <w:t xml:space="preserve"> </w:t>
      </w:r>
      <w:r w:rsidR="00543DCA" w:rsidRPr="006730AC">
        <w:t>(GR-16)</w:t>
      </w:r>
      <w:bookmarkEnd w:id="35"/>
    </w:p>
    <w:p w14:paraId="29D948DA" w14:textId="77777777" w:rsidR="00A84BF6" w:rsidRPr="00CB3EE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9930B9" w:rsidRPr="009872F3" w14:paraId="36AC8FA7" w14:textId="77777777" w:rsidTr="00DB5BE8">
        <w:trPr>
          <w:trHeight w:val="563"/>
        </w:trPr>
        <w:tc>
          <w:tcPr>
            <w:tcW w:w="1932" w:type="dxa"/>
          </w:tcPr>
          <w:p w14:paraId="0FCC9968" w14:textId="77777777" w:rsidR="009930B9" w:rsidRPr="009872F3" w:rsidRDefault="009930B9"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3725E5D3" w14:textId="77777777" w:rsidR="009930B9" w:rsidRPr="009872F3" w:rsidRDefault="009930B9"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3EEAE96" w14:textId="77777777" w:rsidR="009930B9" w:rsidRPr="009872F3" w:rsidRDefault="009930B9"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9930B9" w:rsidRPr="009872F3" w14:paraId="6FFBE596" w14:textId="77777777" w:rsidTr="00DB5BE8">
        <w:trPr>
          <w:trHeight w:val="698"/>
        </w:trPr>
        <w:tc>
          <w:tcPr>
            <w:tcW w:w="1932" w:type="dxa"/>
          </w:tcPr>
          <w:p w14:paraId="150FC75F" w14:textId="6CBB9C9B" w:rsidR="009930B9" w:rsidRPr="006749F0" w:rsidRDefault="009930B9"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96048DA" w14:textId="77777777" w:rsidR="009930B9" w:rsidRPr="006749F0" w:rsidRDefault="009930B9"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DD795A9" w14:textId="77777777" w:rsidR="009930B9" w:rsidRPr="009872F3" w:rsidRDefault="009930B9"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2952C4A" w14:textId="77777777" w:rsidR="009930B9" w:rsidRDefault="009930B9"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FD1000D" w14:textId="77777777" w:rsidR="009930B9" w:rsidRPr="006749F0" w:rsidRDefault="009930B9" w:rsidP="00DB5BE8">
            <w:pPr>
              <w:jc w:val="both"/>
              <w:rPr>
                <w:rFonts w:ascii="Arial" w:hAnsi="Arial" w:cs="Arial"/>
                <w:i/>
                <w:sz w:val="18"/>
                <w:szCs w:val="18"/>
              </w:rPr>
            </w:pPr>
            <w:r w:rsidRPr="006749F0">
              <w:rPr>
                <w:rFonts w:ascii="Arial" w:hAnsi="Arial" w:cs="Arial"/>
                <w:i/>
                <w:sz w:val="18"/>
                <w:szCs w:val="18"/>
                <w:highlight w:val="yellow"/>
              </w:rPr>
              <w:t>Jahr</w:t>
            </w:r>
          </w:p>
        </w:tc>
      </w:tr>
      <w:tr w:rsidR="009930B9" w:rsidRPr="009872F3" w14:paraId="5C0D3DA7" w14:textId="77777777" w:rsidTr="00DB5BE8">
        <w:trPr>
          <w:trHeight w:val="636"/>
        </w:trPr>
        <w:tc>
          <w:tcPr>
            <w:tcW w:w="9180" w:type="dxa"/>
            <w:gridSpan w:val="4"/>
          </w:tcPr>
          <w:p w14:paraId="2DA396CA" w14:textId="77777777" w:rsidR="009930B9" w:rsidRDefault="009930B9" w:rsidP="00DB5BE8">
            <w:pPr>
              <w:jc w:val="both"/>
              <w:rPr>
                <w:rFonts w:ascii="Arial" w:hAnsi="Arial" w:cs="Arial"/>
                <w:sz w:val="18"/>
                <w:szCs w:val="18"/>
              </w:rPr>
            </w:pPr>
          </w:p>
          <w:p w14:paraId="77DCA16A" w14:textId="77777777" w:rsidR="009930B9" w:rsidRDefault="009930B9"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6295E22" w14:textId="1BE0E345" w:rsidR="000B1ED2" w:rsidRPr="009872F3" w:rsidRDefault="000B1ED2" w:rsidP="00DB5BE8">
            <w:pPr>
              <w:jc w:val="both"/>
              <w:rPr>
                <w:rFonts w:ascii="Arial" w:hAnsi="Arial" w:cs="Arial"/>
                <w:sz w:val="18"/>
                <w:szCs w:val="18"/>
              </w:rPr>
            </w:pPr>
            <w:r w:rsidRPr="00CB3EE6">
              <w:rPr>
                <w:rFonts w:ascii="Arial" w:hAnsi="Arial" w:cs="Arial"/>
                <w:sz w:val="18"/>
                <w:szCs w:val="18"/>
                <w:highlight w:val="yellow"/>
              </w:rPr>
              <w:t>Art. 7a BankG; Art. 8a ff BankG; Art. 21o BankV, Anhang 7.</w:t>
            </w:r>
            <w:r w:rsidR="00325C5D">
              <w:rPr>
                <w:rFonts w:ascii="Arial" w:hAnsi="Arial" w:cs="Arial"/>
                <w:sz w:val="18"/>
                <w:szCs w:val="18"/>
                <w:highlight w:val="yellow"/>
              </w:rPr>
              <w:t>1 BankV</w:t>
            </w:r>
            <w:r w:rsidRPr="00CB3EE6">
              <w:rPr>
                <w:rFonts w:ascii="Arial" w:hAnsi="Arial" w:cs="Arial"/>
                <w:sz w:val="18"/>
                <w:szCs w:val="18"/>
                <w:highlight w:val="yellow"/>
              </w:rPr>
              <w:t>; FMA-Mitteilung 2017/4 (inkl. regulatorische Grundlagen im Anhang)</w:t>
            </w:r>
          </w:p>
        </w:tc>
      </w:tr>
      <w:tr w:rsidR="009930B9" w:rsidRPr="009872F3" w14:paraId="2A0E89AE" w14:textId="77777777" w:rsidTr="00DB5BE8">
        <w:trPr>
          <w:trHeight w:val="294"/>
        </w:trPr>
        <w:tc>
          <w:tcPr>
            <w:tcW w:w="9180" w:type="dxa"/>
            <w:gridSpan w:val="4"/>
          </w:tcPr>
          <w:p w14:paraId="030320D0" w14:textId="77777777" w:rsidR="009930B9" w:rsidRPr="009872F3" w:rsidRDefault="009930B9" w:rsidP="00DB5BE8">
            <w:pPr>
              <w:jc w:val="both"/>
              <w:rPr>
                <w:rFonts w:ascii="Arial" w:hAnsi="Arial" w:cs="Arial"/>
                <w:sz w:val="18"/>
                <w:szCs w:val="18"/>
              </w:rPr>
            </w:pPr>
          </w:p>
        </w:tc>
      </w:tr>
      <w:tr w:rsidR="009930B9" w:rsidRPr="009872F3" w14:paraId="00BA7BE4" w14:textId="77777777" w:rsidTr="00DB5BE8">
        <w:tc>
          <w:tcPr>
            <w:tcW w:w="5798" w:type="dxa"/>
            <w:gridSpan w:val="3"/>
          </w:tcPr>
          <w:p w14:paraId="0AC4A1F2" w14:textId="1D822DAE" w:rsidR="009930B9" w:rsidRPr="00C1307E" w:rsidRDefault="009930B9"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DF1664">
              <w:rPr>
                <w:rFonts w:ascii="Arial" w:hAnsi="Arial" w:cs="Arial"/>
                <w:sz w:val="18"/>
                <w:szCs w:val="18"/>
              </w:rPr>
              <w:t>o</w:t>
            </w:r>
            <w:r>
              <w:rPr>
                <w:rFonts w:ascii="Arial" w:hAnsi="Arial" w:cs="Arial"/>
                <w:sz w:val="18"/>
                <w:szCs w:val="18"/>
              </w:rPr>
              <w:t>perationellen Risiken im Zusammenhang mit dem Brokerage und Depotgeschäft für Kunden inkl. „Execution-only“ Geschäft</w:t>
            </w:r>
            <w:r w:rsidR="00DF1664">
              <w:rPr>
                <w:rFonts w:ascii="Arial" w:hAnsi="Arial" w:cs="Arial"/>
                <w:sz w:val="18"/>
                <w:szCs w:val="18"/>
              </w:rPr>
              <w:t>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4858134" w14:textId="77777777" w:rsidR="009930B9" w:rsidRPr="00E109DF" w:rsidRDefault="009930B9"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930B9" w:rsidRPr="009872F3" w14:paraId="3F0C77F0" w14:textId="77777777" w:rsidTr="00DB5BE8">
        <w:tc>
          <w:tcPr>
            <w:tcW w:w="5798" w:type="dxa"/>
            <w:gridSpan w:val="3"/>
          </w:tcPr>
          <w:p w14:paraId="0D2F7EB2" w14:textId="261F1E57" w:rsidR="009930B9" w:rsidRPr="00C1307E" w:rsidRDefault="009930B9"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DF1664">
              <w:rPr>
                <w:rFonts w:ascii="Arial" w:hAnsi="Arial" w:cs="Arial"/>
                <w:sz w:val="18"/>
                <w:szCs w:val="18"/>
              </w:rPr>
              <w:t>o</w:t>
            </w:r>
            <w:r>
              <w:rPr>
                <w:rFonts w:ascii="Arial" w:hAnsi="Arial" w:cs="Arial"/>
                <w:sz w:val="18"/>
                <w:szCs w:val="18"/>
              </w:rPr>
              <w:t>perationellen Risiken im Zusammenhang mit dem Brokerage und Depotgeschäft für Kunden inkl. „Execution-only“ Geschäft</w:t>
            </w:r>
            <w:r w:rsidR="00DF1664">
              <w:rPr>
                <w:rFonts w:ascii="Arial" w:hAnsi="Arial" w:cs="Arial"/>
                <w:sz w:val="18"/>
                <w:szCs w:val="18"/>
              </w:rPr>
              <w:t>en</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21C343A" w14:textId="77777777" w:rsidR="009930B9" w:rsidRPr="009872F3" w:rsidRDefault="009930B9"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930B9" w:rsidRPr="009872F3" w14:paraId="22AB6388" w14:textId="77777777" w:rsidTr="00DB5BE8">
        <w:tc>
          <w:tcPr>
            <w:tcW w:w="5798" w:type="dxa"/>
            <w:gridSpan w:val="3"/>
          </w:tcPr>
          <w:p w14:paraId="5C6212C5" w14:textId="12DBB6F1" w:rsidR="009930B9" w:rsidRPr="00C1307E" w:rsidRDefault="009930B9"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DF1664">
              <w:rPr>
                <w:rFonts w:ascii="Arial" w:hAnsi="Arial" w:cs="Arial"/>
                <w:sz w:val="18"/>
                <w:szCs w:val="18"/>
              </w:rPr>
              <w:t>o</w:t>
            </w:r>
            <w:r w:rsidR="000B1ED2">
              <w:rPr>
                <w:rFonts w:ascii="Arial" w:hAnsi="Arial" w:cs="Arial"/>
                <w:sz w:val="18"/>
                <w:szCs w:val="18"/>
              </w:rPr>
              <w:t>perationellen Risiken im Zusammenhang mit dem Brokerage und Depotgeschäft für Kunden inkl. „Execution-only“ Geschäft</w:t>
            </w:r>
            <w:r w:rsidR="00DF1664">
              <w:rPr>
                <w:rFonts w:ascii="Arial" w:hAnsi="Arial" w:cs="Arial"/>
                <w:sz w:val="18"/>
                <w:szCs w:val="18"/>
              </w:rPr>
              <w:t>en</w:t>
            </w:r>
            <w:r w:rsidR="000B1ED2">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3976EE94" w14:textId="77777777" w:rsidR="009930B9" w:rsidRPr="009872F3" w:rsidRDefault="009930B9"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41621FD" w14:textId="77777777" w:rsidR="009930B9" w:rsidRPr="00CE3194" w:rsidRDefault="009930B9" w:rsidP="009930B9">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9930B9" w:rsidRPr="00CE3194" w14:paraId="741A72D4" w14:textId="77777777" w:rsidTr="00DB5BE8">
        <w:tc>
          <w:tcPr>
            <w:tcW w:w="2660" w:type="dxa"/>
          </w:tcPr>
          <w:p w14:paraId="0022A8A0" w14:textId="77777777" w:rsidR="009930B9" w:rsidRPr="00CE3194" w:rsidRDefault="009930B9"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CABC110" w14:textId="77777777" w:rsidR="009930B9" w:rsidRPr="00CE3194" w:rsidRDefault="009930B9"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9930B9" w:rsidRPr="00CE3194" w14:paraId="7F5DD9F7" w14:textId="77777777" w:rsidTr="00DB5BE8">
        <w:tc>
          <w:tcPr>
            <w:tcW w:w="2660" w:type="dxa"/>
          </w:tcPr>
          <w:p w14:paraId="35B42C7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C19EDF3" w14:textId="77777777" w:rsidR="0050402B" w:rsidRDefault="0050402B" w:rsidP="0050402B">
            <w:pPr>
              <w:jc w:val="both"/>
              <w:rPr>
                <w:rFonts w:ascii="Arial" w:hAnsi="Arial" w:cs="Arial"/>
                <w:i/>
                <w:sz w:val="20"/>
                <w:szCs w:val="20"/>
                <w:highlight w:val="lightGray"/>
              </w:rPr>
            </w:pPr>
          </w:p>
          <w:p w14:paraId="69CA69A1" w14:textId="77777777" w:rsidR="009930B9"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54323FA"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BC7E32B"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E62CF0C" w14:textId="6EEC9BCA"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3FADE4D0"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D2FD728"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13E3BB40" w14:textId="77777777" w:rsidTr="00DB5BE8">
        <w:tc>
          <w:tcPr>
            <w:tcW w:w="2660" w:type="dxa"/>
          </w:tcPr>
          <w:p w14:paraId="4E7FE106"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AE88C9B" w14:textId="77777777" w:rsidR="0074539F" w:rsidRPr="00CE3194" w:rsidRDefault="0074539F" w:rsidP="00DB5BE8">
            <w:pPr>
              <w:jc w:val="both"/>
              <w:rPr>
                <w:rFonts w:ascii="Arial" w:hAnsi="Arial" w:cs="Arial"/>
                <w:i/>
                <w:sz w:val="20"/>
                <w:szCs w:val="20"/>
                <w:highlight w:val="lightGray"/>
              </w:rPr>
            </w:pPr>
          </w:p>
        </w:tc>
        <w:tc>
          <w:tcPr>
            <w:tcW w:w="6520" w:type="dxa"/>
          </w:tcPr>
          <w:p w14:paraId="6666DF96" w14:textId="6A42D29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139C7010" w14:textId="06217558"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383BEDF" w14:textId="4C9F661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03E5F89"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9930B9" w14:paraId="3F6134A6" w14:textId="77777777" w:rsidTr="00DB5BE8">
        <w:tc>
          <w:tcPr>
            <w:tcW w:w="2660" w:type="dxa"/>
          </w:tcPr>
          <w:p w14:paraId="22934DBC" w14:textId="77777777" w:rsidR="009930B9" w:rsidRDefault="009930B9"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819E3B7"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441A2B8"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50C525F"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verwendeten Daten sind von hoher Aktualität und Qualität;</w:t>
            </w:r>
          </w:p>
          <w:p w14:paraId="04C0E513" w14:textId="77777777" w:rsidR="009930B9" w:rsidRPr="00CE3194" w:rsidRDefault="009930B9"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08EE84C" w14:textId="77777777" w:rsidR="009930B9" w:rsidRPr="005B66F8" w:rsidRDefault="009930B9"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7720C637" w14:textId="161F0D91"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0F2DAA23" w14:textId="77777777" w:rsidR="00A84BF6" w:rsidRDefault="00A84BF6" w:rsidP="00CB3EE6">
      <w:pPr>
        <w:jc w:val="both"/>
        <w:rPr>
          <w:rFonts w:cs="Arial"/>
          <w:szCs w:val="20"/>
          <w:highlight w:val="cyan"/>
        </w:rPr>
      </w:pPr>
    </w:p>
    <w:p w14:paraId="65E4AE6B"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104376F" w14:textId="77777777" w:rsidR="00A84BF6" w:rsidRDefault="00A84BF6" w:rsidP="00CB3EE6">
      <w:pPr>
        <w:jc w:val="both"/>
        <w:rPr>
          <w:rFonts w:cs="Arial"/>
          <w:szCs w:val="20"/>
          <w:highlight w:val="cyan"/>
        </w:rPr>
      </w:pPr>
    </w:p>
    <w:p w14:paraId="69CF5AC3" w14:textId="77777777" w:rsidR="00E70DF4" w:rsidRPr="006730AC" w:rsidRDefault="00E70DF4" w:rsidP="00CB3EE6">
      <w:pPr>
        <w:jc w:val="both"/>
        <w:rPr>
          <w:rFonts w:cs="Arial"/>
          <w:szCs w:val="20"/>
          <w:highlight w:val="cyan"/>
        </w:rPr>
      </w:pPr>
    </w:p>
    <w:p w14:paraId="52D9E8F1" w14:textId="77777777" w:rsidR="006067FE" w:rsidRPr="006730AC" w:rsidRDefault="006067FE" w:rsidP="006F7AB5">
      <w:pPr>
        <w:pStyle w:val="FINMAGliederungEbene3"/>
      </w:pPr>
      <w:bookmarkStart w:id="36" w:name="_Toc147849891"/>
      <w:r>
        <w:t>Operationelle Risiken im Zusammenhang mit der Anlageberatung für Kunden</w:t>
      </w:r>
      <w:r w:rsidR="00543DCA">
        <w:t xml:space="preserve"> (GR-17)</w:t>
      </w:r>
      <w:bookmarkEnd w:id="36"/>
    </w:p>
    <w:p w14:paraId="0CCA5A4B" w14:textId="77777777" w:rsidR="000B1ED2" w:rsidRDefault="000B1ED2"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B1ED2" w:rsidRPr="009872F3" w14:paraId="3B0150CF" w14:textId="77777777" w:rsidTr="00DB5BE8">
        <w:trPr>
          <w:trHeight w:val="563"/>
        </w:trPr>
        <w:tc>
          <w:tcPr>
            <w:tcW w:w="1932" w:type="dxa"/>
          </w:tcPr>
          <w:p w14:paraId="49F6A292"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15C7A524"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7171159"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B1ED2" w:rsidRPr="009872F3" w14:paraId="1C6B721A" w14:textId="77777777" w:rsidTr="00DB5BE8">
        <w:trPr>
          <w:trHeight w:val="698"/>
        </w:trPr>
        <w:tc>
          <w:tcPr>
            <w:tcW w:w="1932" w:type="dxa"/>
          </w:tcPr>
          <w:p w14:paraId="3C85E7FF" w14:textId="7473D905"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7821F075" w14:textId="77777777"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912BC01"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EC343CF" w14:textId="77777777" w:rsidR="000B1ED2" w:rsidRDefault="000B1ED2"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40D470C" w14:textId="77777777" w:rsidR="000B1ED2" w:rsidRPr="006749F0" w:rsidRDefault="000B1ED2" w:rsidP="00DB5BE8">
            <w:pPr>
              <w:jc w:val="both"/>
              <w:rPr>
                <w:rFonts w:ascii="Arial" w:hAnsi="Arial" w:cs="Arial"/>
                <w:i/>
                <w:sz w:val="18"/>
                <w:szCs w:val="18"/>
              </w:rPr>
            </w:pPr>
            <w:r w:rsidRPr="006749F0">
              <w:rPr>
                <w:rFonts w:ascii="Arial" w:hAnsi="Arial" w:cs="Arial"/>
                <w:i/>
                <w:sz w:val="18"/>
                <w:szCs w:val="18"/>
                <w:highlight w:val="yellow"/>
              </w:rPr>
              <w:t>Jahr</w:t>
            </w:r>
          </w:p>
        </w:tc>
      </w:tr>
      <w:tr w:rsidR="000B1ED2" w:rsidRPr="009872F3" w14:paraId="660156C3" w14:textId="77777777" w:rsidTr="00DB5BE8">
        <w:trPr>
          <w:trHeight w:val="636"/>
        </w:trPr>
        <w:tc>
          <w:tcPr>
            <w:tcW w:w="9180" w:type="dxa"/>
            <w:gridSpan w:val="4"/>
          </w:tcPr>
          <w:p w14:paraId="610501A5" w14:textId="77777777" w:rsidR="000B1ED2" w:rsidRDefault="000B1ED2" w:rsidP="00DB5BE8">
            <w:pPr>
              <w:jc w:val="both"/>
              <w:rPr>
                <w:rFonts w:ascii="Arial" w:hAnsi="Arial" w:cs="Arial"/>
                <w:sz w:val="18"/>
                <w:szCs w:val="18"/>
              </w:rPr>
            </w:pPr>
          </w:p>
          <w:p w14:paraId="181D0B9C" w14:textId="77777777" w:rsidR="000B1ED2" w:rsidRDefault="000B1ED2"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2D530C08" w14:textId="0D7D36E3" w:rsidR="000B1ED2" w:rsidRPr="009872F3" w:rsidRDefault="000B1ED2" w:rsidP="00DB5BE8">
            <w:pPr>
              <w:jc w:val="both"/>
              <w:rPr>
                <w:rFonts w:ascii="Arial" w:hAnsi="Arial" w:cs="Arial"/>
                <w:sz w:val="18"/>
                <w:szCs w:val="18"/>
              </w:rPr>
            </w:pPr>
            <w:r w:rsidRPr="00CB3EE6">
              <w:rPr>
                <w:rFonts w:ascii="Arial" w:hAnsi="Arial" w:cs="Arial"/>
                <w:sz w:val="18"/>
                <w:szCs w:val="18"/>
                <w:highlight w:val="yellow"/>
              </w:rPr>
              <w:t>Art. 7a BankG; Art. 8a ff BankG; Art. 21o BankV, Anhang 7.</w:t>
            </w:r>
            <w:r w:rsidR="00325C5D">
              <w:rPr>
                <w:rFonts w:ascii="Arial" w:hAnsi="Arial" w:cs="Arial"/>
                <w:sz w:val="18"/>
                <w:szCs w:val="18"/>
                <w:highlight w:val="yellow"/>
              </w:rPr>
              <w:t>1</w:t>
            </w:r>
            <w:r w:rsidRPr="00CB3EE6">
              <w:rPr>
                <w:rFonts w:ascii="Arial" w:hAnsi="Arial" w:cs="Arial"/>
                <w:sz w:val="18"/>
                <w:szCs w:val="18"/>
                <w:highlight w:val="yellow"/>
              </w:rPr>
              <w:t xml:space="preserve"> BankV; FMA-Mitteilung 2017/4</w:t>
            </w:r>
          </w:p>
        </w:tc>
      </w:tr>
      <w:tr w:rsidR="000B1ED2" w:rsidRPr="009872F3" w14:paraId="76C28814" w14:textId="77777777" w:rsidTr="00DB5BE8">
        <w:trPr>
          <w:trHeight w:val="294"/>
        </w:trPr>
        <w:tc>
          <w:tcPr>
            <w:tcW w:w="9180" w:type="dxa"/>
            <w:gridSpan w:val="4"/>
          </w:tcPr>
          <w:p w14:paraId="5C6A5818" w14:textId="77777777" w:rsidR="000B1ED2" w:rsidRPr="009872F3" w:rsidRDefault="000B1ED2" w:rsidP="00DB5BE8">
            <w:pPr>
              <w:jc w:val="both"/>
              <w:rPr>
                <w:rFonts w:ascii="Arial" w:hAnsi="Arial" w:cs="Arial"/>
                <w:sz w:val="18"/>
                <w:szCs w:val="18"/>
              </w:rPr>
            </w:pPr>
          </w:p>
        </w:tc>
      </w:tr>
      <w:tr w:rsidR="000B1ED2" w:rsidRPr="009872F3" w14:paraId="26897849" w14:textId="77777777" w:rsidTr="00DB5BE8">
        <w:tc>
          <w:tcPr>
            <w:tcW w:w="5798" w:type="dxa"/>
            <w:gridSpan w:val="3"/>
          </w:tcPr>
          <w:p w14:paraId="1FEB4EAB" w14:textId="1205EC08" w:rsidR="000B1ED2" w:rsidRPr="00C1307E" w:rsidRDefault="000B1ED2" w:rsidP="00DF1664">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DF1664">
              <w:rPr>
                <w:rFonts w:ascii="Arial" w:hAnsi="Arial" w:cs="Arial"/>
                <w:sz w:val="18"/>
                <w:szCs w:val="18"/>
              </w:rPr>
              <w:t>o</w:t>
            </w:r>
            <w:r>
              <w:rPr>
                <w:rFonts w:ascii="Arial" w:hAnsi="Arial" w:cs="Arial"/>
                <w:sz w:val="18"/>
                <w:szCs w:val="18"/>
              </w:rPr>
              <w:t xml:space="preserve">perationellen Risiken im Zusammenhang mit der Anlageberatung für Kunden </w:t>
            </w:r>
            <w:r w:rsidRPr="00C1307E">
              <w:rPr>
                <w:rFonts w:ascii="Arial" w:hAnsi="Arial" w:cs="Arial"/>
                <w:sz w:val="18"/>
                <w:szCs w:val="18"/>
              </w:rPr>
              <w:t>angemessen ausgestaltet ist.</w:t>
            </w:r>
          </w:p>
        </w:tc>
        <w:tc>
          <w:tcPr>
            <w:tcW w:w="3382" w:type="dxa"/>
          </w:tcPr>
          <w:p w14:paraId="2135C313" w14:textId="77777777" w:rsidR="000B1ED2" w:rsidRPr="00E109DF" w:rsidRDefault="000B1ED2"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799E5D11" w14:textId="77777777" w:rsidTr="00DB5BE8">
        <w:tc>
          <w:tcPr>
            <w:tcW w:w="5798" w:type="dxa"/>
            <w:gridSpan w:val="3"/>
          </w:tcPr>
          <w:p w14:paraId="02D84DD5" w14:textId="083CB664" w:rsidR="000B1ED2" w:rsidRPr="00C1307E" w:rsidRDefault="000B1ED2"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DF1664">
              <w:rPr>
                <w:rFonts w:ascii="Arial" w:hAnsi="Arial" w:cs="Arial"/>
                <w:sz w:val="18"/>
                <w:szCs w:val="18"/>
              </w:rPr>
              <w:t>o</w:t>
            </w:r>
            <w:r>
              <w:rPr>
                <w:rFonts w:ascii="Arial" w:hAnsi="Arial" w:cs="Arial"/>
                <w:sz w:val="18"/>
                <w:szCs w:val="18"/>
              </w:rPr>
              <w:t>perationellen Risiken im Zusammenhang mit der Anlageberatung für Kunden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F2E9888"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5F72D41D" w14:textId="77777777" w:rsidTr="00DB5BE8">
        <w:tc>
          <w:tcPr>
            <w:tcW w:w="5798" w:type="dxa"/>
            <w:gridSpan w:val="3"/>
          </w:tcPr>
          <w:p w14:paraId="4B6546D7" w14:textId="1C2DD8BF" w:rsidR="000B1ED2" w:rsidRPr="00C1307E" w:rsidRDefault="000B1ED2"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DF1664">
              <w:rPr>
                <w:rFonts w:ascii="Arial" w:hAnsi="Arial" w:cs="Arial"/>
                <w:sz w:val="18"/>
                <w:szCs w:val="18"/>
              </w:rPr>
              <w:t>o</w:t>
            </w:r>
            <w:r>
              <w:rPr>
                <w:rFonts w:ascii="Arial" w:hAnsi="Arial" w:cs="Arial"/>
                <w:sz w:val="18"/>
                <w:szCs w:val="18"/>
              </w:rPr>
              <w:t>perationellen Risiken im Zusammenhang mit der Anlageberatung für Kunden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75B9514"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340510C" w14:textId="77777777" w:rsidR="000B1ED2" w:rsidRPr="00CE3194" w:rsidRDefault="000B1ED2" w:rsidP="000B1ED2">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B1ED2" w:rsidRPr="00CE3194" w14:paraId="0828D3AA" w14:textId="77777777" w:rsidTr="00DB5BE8">
        <w:tc>
          <w:tcPr>
            <w:tcW w:w="2660" w:type="dxa"/>
          </w:tcPr>
          <w:p w14:paraId="65722481"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6EF5F53"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B1ED2" w:rsidRPr="00CE3194" w14:paraId="79E1A336" w14:textId="77777777" w:rsidTr="00DB5BE8">
        <w:tc>
          <w:tcPr>
            <w:tcW w:w="2660" w:type="dxa"/>
          </w:tcPr>
          <w:p w14:paraId="214CD270"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B31D693" w14:textId="77777777" w:rsidR="0050402B" w:rsidRDefault="0050402B" w:rsidP="0050402B">
            <w:pPr>
              <w:jc w:val="both"/>
              <w:rPr>
                <w:rFonts w:ascii="Arial" w:hAnsi="Arial" w:cs="Arial"/>
                <w:i/>
                <w:sz w:val="20"/>
                <w:szCs w:val="20"/>
                <w:highlight w:val="lightGray"/>
              </w:rPr>
            </w:pPr>
          </w:p>
          <w:p w14:paraId="62018E9B" w14:textId="77777777" w:rsidR="000B1ED2"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70C8BBE7"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FDD86D3"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508A3ADF" w14:textId="1A1C783E"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62015E44"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698A4E1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587A8D63" w14:textId="77777777" w:rsidTr="00DB5BE8">
        <w:tc>
          <w:tcPr>
            <w:tcW w:w="2660" w:type="dxa"/>
          </w:tcPr>
          <w:p w14:paraId="603F41EE"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75D13647" w14:textId="77777777" w:rsidR="0074539F" w:rsidRPr="00CE3194" w:rsidRDefault="0074539F" w:rsidP="00DB5BE8">
            <w:pPr>
              <w:jc w:val="both"/>
              <w:rPr>
                <w:rFonts w:ascii="Arial" w:hAnsi="Arial" w:cs="Arial"/>
                <w:i/>
                <w:sz w:val="20"/>
                <w:szCs w:val="20"/>
                <w:highlight w:val="lightGray"/>
              </w:rPr>
            </w:pPr>
          </w:p>
        </w:tc>
        <w:tc>
          <w:tcPr>
            <w:tcW w:w="6520" w:type="dxa"/>
          </w:tcPr>
          <w:p w14:paraId="761C346E" w14:textId="2B34E30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33145CDE" w14:textId="513DADFA"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2F3B82B2" w14:textId="4648264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911BC89"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B1ED2" w14:paraId="33DFF1A3" w14:textId="77777777" w:rsidTr="00DB5BE8">
        <w:tc>
          <w:tcPr>
            <w:tcW w:w="2660" w:type="dxa"/>
          </w:tcPr>
          <w:p w14:paraId="708F02F4" w14:textId="77777777" w:rsidR="000B1ED2" w:rsidRDefault="000B1ED2" w:rsidP="00DB5BE8">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39712B6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599C888"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37AEEE43"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CF7468C"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27B0933" w14:textId="77777777" w:rsidR="000B1ED2" w:rsidRPr="005B66F8" w:rsidRDefault="000B1ED2"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455A4A44" w14:textId="1131D508"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3145D960" w14:textId="77777777" w:rsidR="000B1ED2" w:rsidRDefault="000B1ED2" w:rsidP="00CB3EE6">
      <w:pPr>
        <w:jc w:val="both"/>
        <w:rPr>
          <w:rFonts w:cs="Arial"/>
          <w:szCs w:val="20"/>
        </w:rPr>
      </w:pPr>
    </w:p>
    <w:p w14:paraId="5FB1059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52FC01B" w14:textId="77777777" w:rsidR="00E70DF4" w:rsidRDefault="00E70DF4" w:rsidP="00CB3EE6">
      <w:pPr>
        <w:jc w:val="both"/>
        <w:rPr>
          <w:rFonts w:cs="Arial"/>
          <w:szCs w:val="20"/>
        </w:rPr>
      </w:pPr>
    </w:p>
    <w:p w14:paraId="33E98E45" w14:textId="77777777" w:rsidR="000B1ED2" w:rsidRPr="006730AC" w:rsidRDefault="000B1ED2" w:rsidP="00CB3EE6">
      <w:pPr>
        <w:jc w:val="both"/>
        <w:rPr>
          <w:rFonts w:cs="Arial"/>
          <w:szCs w:val="20"/>
        </w:rPr>
      </w:pPr>
    </w:p>
    <w:p w14:paraId="2203CB54" w14:textId="77777777" w:rsidR="00543DCA" w:rsidRPr="006730AC" w:rsidRDefault="00543DCA" w:rsidP="006F7AB5">
      <w:pPr>
        <w:pStyle w:val="FINMAGliederungEbene3"/>
      </w:pPr>
      <w:bookmarkStart w:id="37" w:name="_Toc147849892"/>
      <w:r>
        <w:t>Operationelle</w:t>
      </w:r>
      <w:r w:rsidR="000B1ED2">
        <w:t xml:space="preserve"> Risiken im Zusammenhang mit</w:t>
      </w:r>
      <w:r>
        <w:t xml:space="preserve"> Vermögensverwaltungsmandaten (GR-18)</w:t>
      </w:r>
      <w:bookmarkEnd w:id="37"/>
    </w:p>
    <w:p w14:paraId="069C1C54" w14:textId="77777777" w:rsidR="000B1ED2" w:rsidRDefault="000B1ED2"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B1ED2" w:rsidRPr="009872F3" w14:paraId="6A2EE543" w14:textId="77777777" w:rsidTr="00DB5BE8">
        <w:trPr>
          <w:trHeight w:val="563"/>
        </w:trPr>
        <w:tc>
          <w:tcPr>
            <w:tcW w:w="1932" w:type="dxa"/>
          </w:tcPr>
          <w:p w14:paraId="2DF76895"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0773DA19"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282ACE1"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B1ED2" w:rsidRPr="009872F3" w14:paraId="0C9E0EF6" w14:textId="77777777" w:rsidTr="00DB5BE8">
        <w:trPr>
          <w:trHeight w:val="698"/>
        </w:trPr>
        <w:tc>
          <w:tcPr>
            <w:tcW w:w="1932" w:type="dxa"/>
          </w:tcPr>
          <w:p w14:paraId="241E3E05" w14:textId="1B59989E"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373E07E7" w14:textId="77777777"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1C20AB3"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C215070" w14:textId="77777777" w:rsidR="000B1ED2" w:rsidRDefault="000B1ED2"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517C99A" w14:textId="77777777" w:rsidR="000B1ED2" w:rsidRPr="006749F0" w:rsidRDefault="000B1ED2" w:rsidP="00DB5BE8">
            <w:pPr>
              <w:jc w:val="both"/>
              <w:rPr>
                <w:rFonts w:ascii="Arial" w:hAnsi="Arial" w:cs="Arial"/>
                <w:i/>
                <w:sz w:val="18"/>
                <w:szCs w:val="18"/>
              </w:rPr>
            </w:pPr>
            <w:r w:rsidRPr="006749F0">
              <w:rPr>
                <w:rFonts w:ascii="Arial" w:hAnsi="Arial" w:cs="Arial"/>
                <w:i/>
                <w:sz w:val="18"/>
                <w:szCs w:val="18"/>
                <w:highlight w:val="yellow"/>
              </w:rPr>
              <w:t>Jahr</w:t>
            </w:r>
          </w:p>
        </w:tc>
      </w:tr>
      <w:tr w:rsidR="000B1ED2" w:rsidRPr="009872F3" w14:paraId="4BD2B68A" w14:textId="77777777" w:rsidTr="00DB5BE8">
        <w:trPr>
          <w:trHeight w:val="636"/>
        </w:trPr>
        <w:tc>
          <w:tcPr>
            <w:tcW w:w="9180" w:type="dxa"/>
            <w:gridSpan w:val="4"/>
          </w:tcPr>
          <w:p w14:paraId="26B0AA11" w14:textId="77777777" w:rsidR="000B1ED2" w:rsidRDefault="000B1ED2" w:rsidP="00DB5BE8">
            <w:pPr>
              <w:jc w:val="both"/>
              <w:rPr>
                <w:rFonts w:ascii="Arial" w:hAnsi="Arial" w:cs="Arial"/>
                <w:sz w:val="18"/>
                <w:szCs w:val="18"/>
              </w:rPr>
            </w:pPr>
          </w:p>
          <w:p w14:paraId="62791894" w14:textId="77777777" w:rsidR="000B1ED2" w:rsidRDefault="000B1ED2"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AB0CDC4" w14:textId="3A86E6FC" w:rsidR="000B1ED2" w:rsidRPr="009872F3" w:rsidRDefault="000B1ED2" w:rsidP="00DB5BE8">
            <w:pPr>
              <w:jc w:val="both"/>
              <w:rPr>
                <w:rFonts w:ascii="Arial" w:hAnsi="Arial" w:cs="Arial"/>
                <w:sz w:val="18"/>
                <w:szCs w:val="18"/>
              </w:rPr>
            </w:pPr>
            <w:r w:rsidRPr="00A72EFF">
              <w:rPr>
                <w:rFonts w:ascii="Arial" w:hAnsi="Arial" w:cs="Arial"/>
                <w:sz w:val="18"/>
                <w:szCs w:val="18"/>
                <w:highlight w:val="yellow"/>
              </w:rPr>
              <w:t>Art. 7a BankG; Art. 8a ff BankG; Art. 21o BankV, Anhang 7.</w:t>
            </w:r>
            <w:r w:rsidR="00325C5D">
              <w:rPr>
                <w:rFonts w:ascii="Arial" w:hAnsi="Arial" w:cs="Arial"/>
                <w:sz w:val="18"/>
                <w:szCs w:val="18"/>
                <w:highlight w:val="yellow"/>
              </w:rPr>
              <w:t>1</w:t>
            </w:r>
            <w:r w:rsidR="00325C5D" w:rsidRPr="00276C60">
              <w:rPr>
                <w:rFonts w:ascii="Arial" w:hAnsi="Arial" w:cs="Arial"/>
                <w:sz w:val="18"/>
                <w:szCs w:val="18"/>
                <w:highlight w:val="yellow"/>
              </w:rPr>
              <w:t xml:space="preserve"> </w:t>
            </w:r>
            <w:r w:rsidRPr="00276C60">
              <w:rPr>
                <w:rFonts w:ascii="Arial" w:hAnsi="Arial" w:cs="Arial"/>
                <w:sz w:val="18"/>
                <w:szCs w:val="18"/>
                <w:highlight w:val="yellow"/>
              </w:rPr>
              <w:t>BankV; FMA-Mitteilung 2017/4</w:t>
            </w:r>
          </w:p>
        </w:tc>
      </w:tr>
      <w:tr w:rsidR="000B1ED2" w:rsidRPr="009872F3" w14:paraId="516A47F3" w14:textId="77777777" w:rsidTr="00DB5BE8">
        <w:trPr>
          <w:trHeight w:val="294"/>
        </w:trPr>
        <w:tc>
          <w:tcPr>
            <w:tcW w:w="9180" w:type="dxa"/>
            <w:gridSpan w:val="4"/>
          </w:tcPr>
          <w:p w14:paraId="6DB199E8" w14:textId="77777777" w:rsidR="000B1ED2" w:rsidRPr="009872F3" w:rsidRDefault="000B1ED2" w:rsidP="00DB5BE8">
            <w:pPr>
              <w:jc w:val="both"/>
              <w:rPr>
                <w:rFonts w:ascii="Arial" w:hAnsi="Arial" w:cs="Arial"/>
                <w:sz w:val="18"/>
                <w:szCs w:val="18"/>
              </w:rPr>
            </w:pPr>
          </w:p>
        </w:tc>
      </w:tr>
      <w:tr w:rsidR="000B1ED2" w:rsidRPr="009872F3" w14:paraId="7EE2F576" w14:textId="77777777" w:rsidTr="00DB5BE8">
        <w:tc>
          <w:tcPr>
            <w:tcW w:w="5798" w:type="dxa"/>
            <w:gridSpan w:val="3"/>
          </w:tcPr>
          <w:p w14:paraId="75571A0E" w14:textId="25E0D6A1" w:rsidR="000B1ED2" w:rsidRPr="00C1307E" w:rsidRDefault="000B1ED2"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DF1664">
              <w:rPr>
                <w:rFonts w:ascii="Arial" w:hAnsi="Arial" w:cs="Arial"/>
                <w:sz w:val="18"/>
                <w:szCs w:val="18"/>
              </w:rPr>
              <w:t>o</w:t>
            </w:r>
            <w:r>
              <w:rPr>
                <w:rFonts w:ascii="Arial" w:hAnsi="Arial" w:cs="Arial"/>
                <w:sz w:val="18"/>
                <w:szCs w:val="18"/>
              </w:rPr>
              <w:t xml:space="preserve">perationellen Risiken im Zusammenhang mit Vermögensverwaltungsmandaten </w:t>
            </w:r>
            <w:r w:rsidRPr="00C1307E">
              <w:rPr>
                <w:rFonts w:ascii="Arial" w:hAnsi="Arial" w:cs="Arial"/>
                <w:sz w:val="18"/>
                <w:szCs w:val="18"/>
              </w:rPr>
              <w:t>angemessen ausgestaltet ist.</w:t>
            </w:r>
          </w:p>
        </w:tc>
        <w:tc>
          <w:tcPr>
            <w:tcW w:w="3382" w:type="dxa"/>
          </w:tcPr>
          <w:p w14:paraId="298F70B1" w14:textId="77777777" w:rsidR="000B1ED2" w:rsidRPr="00E109DF" w:rsidRDefault="000B1ED2"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1CCAE3DD" w14:textId="77777777" w:rsidTr="00DB5BE8">
        <w:tc>
          <w:tcPr>
            <w:tcW w:w="5798" w:type="dxa"/>
            <w:gridSpan w:val="3"/>
          </w:tcPr>
          <w:p w14:paraId="63EFB4CA" w14:textId="3D969DA7" w:rsidR="000B1ED2" w:rsidRPr="00C1307E" w:rsidRDefault="000B1ED2" w:rsidP="006730AC">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DF1664">
              <w:rPr>
                <w:rFonts w:ascii="Arial" w:hAnsi="Arial" w:cs="Arial"/>
                <w:sz w:val="18"/>
                <w:szCs w:val="18"/>
              </w:rPr>
              <w:t>o</w:t>
            </w:r>
            <w:r>
              <w:rPr>
                <w:rFonts w:ascii="Arial" w:hAnsi="Arial" w:cs="Arial"/>
                <w:sz w:val="18"/>
                <w:szCs w:val="18"/>
              </w:rPr>
              <w:t>perationellen Risiken im Zusammenhang mit Vermögensverwaltungsmandaten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DF78C36"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60C4274B" w14:textId="77777777" w:rsidTr="00DB5BE8">
        <w:tc>
          <w:tcPr>
            <w:tcW w:w="5798" w:type="dxa"/>
            <w:gridSpan w:val="3"/>
          </w:tcPr>
          <w:p w14:paraId="2E944CA9" w14:textId="562AEE3A" w:rsidR="000B1ED2" w:rsidRPr="00C1307E" w:rsidRDefault="000B1ED2" w:rsidP="006730AC">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DF1664">
              <w:rPr>
                <w:rFonts w:ascii="Arial" w:hAnsi="Arial" w:cs="Arial"/>
                <w:sz w:val="18"/>
                <w:szCs w:val="18"/>
              </w:rPr>
              <w:t>o</w:t>
            </w:r>
            <w:r>
              <w:rPr>
                <w:rFonts w:ascii="Arial" w:hAnsi="Arial" w:cs="Arial"/>
                <w:sz w:val="18"/>
                <w:szCs w:val="18"/>
              </w:rPr>
              <w:t>perationellen Risiken im Zusammenhang mit Vermögensverwaltungsmandaten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A4DABCA"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02449F3" w14:textId="77777777" w:rsidR="000B1ED2" w:rsidRPr="00CE3194" w:rsidRDefault="000B1ED2" w:rsidP="000B1ED2">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B1ED2" w:rsidRPr="00CE3194" w14:paraId="64F29B78" w14:textId="77777777" w:rsidTr="00DB5BE8">
        <w:tc>
          <w:tcPr>
            <w:tcW w:w="2660" w:type="dxa"/>
          </w:tcPr>
          <w:p w14:paraId="6B35EA15"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E621CAC"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B1ED2" w:rsidRPr="00CE3194" w14:paraId="4F019B3C" w14:textId="77777777" w:rsidTr="00DB5BE8">
        <w:tc>
          <w:tcPr>
            <w:tcW w:w="2660" w:type="dxa"/>
          </w:tcPr>
          <w:p w14:paraId="4A433225"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EE79055" w14:textId="77777777" w:rsidR="0050402B" w:rsidRDefault="0050402B" w:rsidP="0050402B">
            <w:pPr>
              <w:jc w:val="both"/>
              <w:rPr>
                <w:rFonts w:ascii="Arial" w:hAnsi="Arial" w:cs="Arial"/>
                <w:i/>
                <w:sz w:val="20"/>
                <w:szCs w:val="20"/>
                <w:highlight w:val="lightGray"/>
              </w:rPr>
            </w:pPr>
          </w:p>
          <w:p w14:paraId="6498CD04" w14:textId="77777777" w:rsidR="000B1ED2"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r w:rsidRPr="00667026">
              <w:rPr>
                <w:rFonts w:ascii="Arial" w:hAnsi="Arial" w:cs="Arial"/>
                <w:i/>
                <w:sz w:val="20"/>
                <w:szCs w:val="20"/>
                <w:highlight w:val="lightGray"/>
              </w:rPr>
              <w:lastRenderedPageBreak/>
              <w:t>Know-How, Interessenskonflikte)</w:t>
            </w:r>
          </w:p>
        </w:tc>
        <w:tc>
          <w:tcPr>
            <w:tcW w:w="6520" w:type="dxa"/>
          </w:tcPr>
          <w:p w14:paraId="54FDFEE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2F27AAD9"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FD207A6" w14:textId="58F1AFE3"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77C235A"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065087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Anzahl und Zusammensetzung der internen Ausschüsse sind angemessen;</w:t>
            </w:r>
          </w:p>
        </w:tc>
      </w:tr>
      <w:tr w:rsidR="0074539F" w:rsidRPr="00CE3194" w14:paraId="7084A91C" w14:textId="77777777" w:rsidTr="00DB5BE8">
        <w:tc>
          <w:tcPr>
            <w:tcW w:w="2660" w:type="dxa"/>
          </w:tcPr>
          <w:p w14:paraId="0BAD31E1"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0E5F397E" w14:textId="77777777" w:rsidR="0074539F" w:rsidRPr="00CE3194" w:rsidRDefault="0074539F" w:rsidP="00DB5BE8">
            <w:pPr>
              <w:jc w:val="both"/>
              <w:rPr>
                <w:rFonts w:ascii="Arial" w:hAnsi="Arial" w:cs="Arial"/>
                <w:i/>
                <w:sz w:val="20"/>
                <w:szCs w:val="20"/>
                <w:highlight w:val="lightGray"/>
              </w:rPr>
            </w:pPr>
          </w:p>
        </w:tc>
        <w:tc>
          <w:tcPr>
            <w:tcW w:w="6520" w:type="dxa"/>
          </w:tcPr>
          <w:p w14:paraId="762D4573" w14:textId="44F0FB6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41CE5333" w14:textId="4AF56A7C"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235AA046" w14:textId="4402FAC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66C3619D"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B1ED2" w14:paraId="4CB8933F" w14:textId="77777777" w:rsidTr="00DB5BE8">
        <w:tc>
          <w:tcPr>
            <w:tcW w:w="2660" w:type="dxa"/>
          </w:tcPr>
          <w:p w14:paraId="2C5898A6" w14:textId="77777777" w:rsidR="000B1ED2" w:rsidRDefault="000B1ED2"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DE4ED59"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2724F64"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65C83EC"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63DD159"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2C8160E2" w14:textId="77777777" w:rsidR="000B1ED2" w:rsidRPr="005B66F8" w:rsidRDefault="000B1ED2"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0C950A4B" w14:textId="74741983"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5FF5B3F9" w14:textId="77777777" w:rsidR="000B1ED2" w:rsidRDefault="000B1ED2" w:rsidP="00CB3EE6">
      <w:pPr>
        <w:jc w:val="both"/>
        <w:rPr>
          <w:rFonts w:cs="Arial"/>
          <w:szCs w:val="20"/>
        </w:rPr>
      </w:pPr>
    </w:p>
    <w:p w14:paraId="70063A5C"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9F9D2A2" w14:textId="77777777" w:rsidR="000B1ED2" w:rsidRDefault="000B1ED2" w:rsidP="00CB3EE6">
      <w:pPr>
        <w:jc w:val="both"/>
        <w:rPr>
          <w:rFonts w:cs="Arial"/>
          <w:szCs w:val="20"/>
        </w:rPr>
      </w:pPr>
    </w:p>
    <w:p w14:paraId="40126A64" w14:textId="77777777" w:rsidR="00E70DF4" w:rsidRPr="006730AC" w:rsidRDefault="00E70DF4" w:rsidP="00CB3EE6">
      <w:pPr>
        <w:jc w:val="both"/>
        <w:rPr>
          <w:rFonts w:cs="Arial"/>
          <w:szCs w:val="20"/>
        </w:rPr>
      </w:pPr>
    </w:p>
    <w:p w14:paraId="1D885A7E" w14:textId="695F17E9" w:rsidR="006067FE" w:rsidRPr="006730AC" w:rsidRDefault="006067FE" w:rsidP="006F7AB5">
      <w:pPr>
        <w:pStyle w:val="FINMAGliederungEbene3"/>
      </w:pPr>
      <w:bookmarkStart w:id="38" w:name="_Toc147849893"/>
      <w:r>
        <w:t>Operationelle Risiken im Zusammenhang mit externen Vermögensverwaltern</w:t>
      </w:r>
      <w:r w:rsidR="00543DCA">
        <w:t xml:space="preserve"> (GR-19)</w:t>
      </w:r>
      <w:bookmarkEnd w:id="38"/>
    </w:p>
    <w:p w14:paraId="13045749" w14:textId="77777777" w:rsidR="000B1ED2" w:rsidRDefault="000B1ED2"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B1ED2" w:rsidRPr="009872F3" w14:paraId="71F142E9" w14:textId="77777777" w:rsidTr="00DB5BE8">
        <w:trPr>
          <w:trHeight w:val="563"/>
        </w:trPr>
        <w:tc>
          <w:tcPr>
            <w:tcW w:w="1932" w:type="dxa"/>
          </w:tcPr>
          <w:p w14:paraId="2895583F"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046742BB"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877AB3F"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B1ED2" w:rsidRPr="009872F3" w14:paraId="0BF2AB68" w14:textId="77777777" w:rsidTr="00DB5BE8">
        <w:trPr>
          <w:trHeight w:val="698"/>
        </w:trPr>
        <w:tc>
          <w:tcPr>
            <w:tcW w:w="1932" w:type="dxa"/>
          </w:tcPr>
          <w:p w14:paraId="4FA0D93B" w14:textId="5740AC5B"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8BA9E8C" w14:textId="77777777"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A615333"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2C1AC68" w14:textId="77777777" w:rsidR="000B1ED2" w:rsidRDefault="000B1ED2"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B000CAA" w14:textId="77777777" w:rsidR="000B1ED2" w:rsidRPr="006749F0" w:rsidRDefault="000B1ED2" w:rsidP="00DB5BE8">
            <w:pPr>
              <w:jc w:val="both"/>
              <w:rPr>
                <w:rFonts w:ascii="Arial" w:hAnsi="Arial" w:cs="Arial"/>
                <w:i/>
                <w:sz w:val="18"/>
                <w:szCs w:val="18"/>
              </w:rPr>
            </w:pPr>
            <w:r w:rsidRPr="006749F0">
              <w:rPr>
                <w:rFonts w:ascii="Arial" w:hAnsi="Arial" w:cs="Arial"/>
                <w:i/>
                <w:sz w:val="18"/>
                <w:szCs w:val="18"/>
                <w:highlight w:val="yellow"/>
              </w:rPr>
              <w:t>Jahr</w:t>
            </w:r>
          </w:p>
        </w:tc>
      </w:tr>
      <w:tr w:rsidR="000B1ED2" w:rsidRPr="009872F3" w14:paraId="70E2A8C7" w14:textId="77777777" w:rsidTr="00DB5BE8">
        <w:trPr>
          <w:trHeight w:val="636"/>
        </w:trPr>
        <w:tc>
          <w:tcPr>
            <w:tcW w:w="9180" w:type="dxa"/>
            <w:gridSpan w:val="4"/>
          </w:tcPr>
          <w:p w14:paraId="77A6597E" w14:textId="77777777" w:rsidR="000B1ED2" w:rsidRDefault="000B1ED2" w:rsidP="00DB5BE8">
            <w:pPr>
              <w:jc w:val="both"/>
              <w:rPr>
                <w:rFonts w:ascii="Arial" w:hAnsi="Arial" w:cs="Arial"/>
                <w:sz w:val="18"/>
                <w:szCs w:val="18"/>
              </w:rPr>
            </w:pPr>
          </w:p>
          <w:p w14:paraId="43C43720" w14:textId="77777777" w:rsidR="000B1ED2" w:rsidRDefault="000B1ED2"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983A64F" w14:textId="77777777" w:rsidR="000B1ED2" w:rsidRPr="00CB3EE6" w:rsidRDefault="000B1ED2" w:rsidP="000B1ED2">
            <w:pPr>
              <w:jc w:val="both"/>
              <w:rPr>
                <w:rFonts w:ascii="Arial" w:hAnsi="Arial" w:cs="Arial"/>
                <w:sz w:val="18"/>
                <w:szCs w:val="18"/>
                <w:highlight w:val="yellow"/>
              </w:rPr>
            </w:pPr>
            <w:r w:rsidRPr="00CB3EE6">
              <w:rPr>
                <w:rFonts w:ascii="Arial" w:hAnsi="Arial" w:cs="Arial"/>
                <w:sz w:val="18"/>
                <w:szCs w:val="18"/>
                <w:highlight w:val="yellow"/>
              </w:rPr>
              <w:t>Art. 7a BankG; Art. 8a ff BankG;</w:t>
            </w:r>
          </w:p>
          <w:p w14:paraId="2A8FFCD1" w14:textId="24EA0D9F" w:rsidR="000B1ED2" w:rsidRPr="009872F3" w:rsidRDefault="000B1ED2" w:rsidP="000B1ED2">
            <w:pPr>
              <w:jc w:val="both"/>
              <w:rPr>
                <w:rFonts w:ascii="Arial" w:hAnsi="Arial" w:cs="Arial"/>
                <w:sz w:val="18"/>
                <w:szCs w:val="18"/>
              </w:rPr>
            </w:pPr>
            <w:r w:rsidRPr="00CB3EE6">
              <w:rPr>
                <w:rFonts w:ascii="Arial" w:hAnsi="Arial" w:cs="Arial"/>
                <w:sz w:val="18"/>
                <w:szCs w:val="18"/>
                <w:highlight w:val="yellow"/>
              </w:rPr>
              <w:t>Art. 21o BankV, Anhang 7.</w:t>
            </w:r>
            <w:r w:rsidR="00325C5D">
              <w:rPr>
                <w:rFonts w:ascii="Arial" w:hAnsi="Arial" w:cs="Arial"/>
                <w:sz w:val="18"/>
                <w:szCs w:val="18"/>
                <w:highlight w:val="yellow"/>
              </w:rPr>
              <w:t>1</w:t>
            </w:r>
            <w:r w:rsidR="00325C5D" w:rsidRPr="00CB3EE6">
              <w:rPr>
                <w:rFonts w:ascii="Arial" w:hAnsi="Arial" w:cs="Arial"/>
                <w:sz w:val="18"/>
                <w:szCs w:val="18"/>
                <w:highlight w:val="yellow"/>
              </w:rPr>
              <w:t xml:space="preserve"> </w:t>
            </w:r>
            <w:r w:rsidRPr="00CB3EE6">
              <w:rPr>
                <w:rFonts w:ascii="Arial" w:hAnsi="Arial" w:cs="Arial"/>
                <w:sz w:val="18"/>
                <w:szCs w:val="18"/>
                <w:highlight w:val="yellow"/>
              </w:rPr>
              <w:t>BankV; FMA-Mitteilung 2017/4 (inkl. regulatorische Grundlagen im Anhang)</w:t>
            </w:r>
          </w:p>
        </w:tc>
      </w:tr>
      <w:tr w:rsidR="000B1ED2" w:rsidRPr="009872F3" w14:paraId="21BBCFC9" w14:textId="77777777" w:rsidTr="00DB5BE8">
        <w:trPr>
          <w:trHeight w:val="294"/>
        </w:trPr>
        <w:tc>
          <w:tcPr>
            <w:tcW w:w="9180" w:type="dxa"/>
            <w:gridSpan w:val="4"/>
          </w:tcPr>
          <w:p w14:paraId="4271C5BE" w14:textId="77777777" w:rsidR="000B1ED2" w:rsidRPr="009872F3" w:rsidRDefault="000B1ED2" w:rsidP="00DB5BE8">
            <w:pPr>
              <w:jc w:val="both"/>
              <w:rPr>
                <w:rFonts w:ascii="Arial" w:hAnsi="Arial" w:cs="Arial"/>
                <w:sz w:val="18"/>
                <w:szCs w:val="18"/>
              </w:rPr>
            </w:pPr>
          </w:p>
        </w:tc>
      </w:tr>
      <w:tr w:rsidR="000B1ED2" w:rsidRPr="009872F3" w14:paraId="00206094" w14:textId="77777777" w:rsidTr="00DB5BE8">
        <w:tc>
          <w:tcPr>
            <w:tcW w:w="5798" w:type="dxa"/>
            <w:gridSpan w:val="3"/>
          </w:tcPr>
          <w:p w14:paraId="3D1F099E" w14:textId="30181177" w:rsidR="000B1ED2" w:rsidRPr="00C1307E" w:rsidRDefault="000B1ED2" w:rsidP="00E94756">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E94756">
              <w:rPr>
                <w:rFonts w:ascii="Arial" w:hAnsi="Arial" w:cs="Arial"/>
                <w:sz w:val="18"/>
                <w:szCs w:val="18"/>
              </w:rPr>
              <w:t>o</w:t>
            </w:r>
            <w:r>
              <w:rPr>
                <w:rFonts w:ascii="Arial" w:hAnsi="Arial" w:cs="Arial"/>
                <w:sz w:val="18"/>
                <w:szCs w:val="18"/>
              </w:rPr>
              <w:t xml:space="preserve">perationellen Risiken im Zusammenhang mit externen Vermögensverwaltern </w:t>
            </w:r>
            <w:r w:rsidRPr="00C1307E">
              <w:rPr>
                <w:rFonts w:ascii="Arial" w:hAnsi="Arial" w:cs="Arial"/>
                <w:sz w:val="18"/>
                <w:szCs w:val="18"/>
              </w:rPr>
              <w:t>angemessen ausgestaltet ist.</w:t>
            </w:r>
          </w:p>
        </w:tc>
        <w:tc>
          <w:tcPr>
            <w:tcW w:w="3382" w:type="dxa"/>
          </w:tcPr>
          <w:p w14:paraId="6AC0C3B1" w14:textId="77777777" w:rsidR="000B1ED2" w:rsidRPr="00E109DF" w:rsidRDefault="000B1ED2"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4467BDD2" w14:textId="77777777" w:rsidTr="00DB5BE8">
        <w:tc>
          <w:tcPr>
            <w:tcW w:w="5798" w:type="dxa"/>
            <w:gridSpan w:val="3"/>
          </w:tcPr>
          <w:p w14:paraId="7525CA3B" w14:textId="4143C39D" w:rsidR="000B1ED2" w:rsidRPr="00C1307E" w:rsidRDefault="000B1ED2" w:rsidP="00E94756">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E94756">
              <w:rPr>
                <w:rFonts w:ascii="Arial" w:hAnsi="Arial" w:cs="Arial"/>
                <w:sz w:val="18"/>
                <w:szCs w:val="18"/>
              </w:rPr>
              <w:t>o</w:t>
            </w:r>
            <w:r>
              <w:rPr>
                <w:rFonts w:ascii="Arial" w:hAnsi="Arial" w:cs="Arial"/>
                <w:sz w:val="18"/>
                <w:szCs w:val="18"/>
              </w:rPr>
              <w:t xml:space="preserve">perationellen Risiken im Zusammenhang mit externen Vermögensverwaltern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5CC29AD"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0A88E71C" w14:textId="77777777" w:rsidTr="00DB5BE8">
        <w:tc>
          <w:tcPr>
            <w:tcW w:w="5798" w:type="dxa"/>
            <w:gridSpan w:val="3"/>
          </w:tcPr>
          <w:p w14:paraId="5AE9F150" w14:textId="6FF762F9" w:rsidR="000B1ED2" w:rsidRPr="00C1307E" w:rsidRDefault="000B1ED2" w:rsidP="00E94756">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E94756">
              <w:rPr>
                <w:rFonts w:ascii="Arial" w:hAnsi="Arial" w:cs="Arial"/>
                <w:sz w:val="18"/>
                <w:szCs w:val="18"/>
              </w:rPr>
              <w:t xml:space="preserve">operationellen </w:t>
            </w:r>
            <w:r>
              <w:rPr>
                <w:rFonts w:ascii="Arial" w:hAnsi="Arial" w:cs="Arial"/>
                <w:sz w:val="18"/>
                <w:szCs w:val="18"/>
              </w:rPr>
              <w:t xml:space="preserve">Risiken im Zusammenhang mit externen Vermögensverwaltern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BDB639A"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116E0AF" w14:textId="77777777" w:rsidR="000B1ED2" w:rsidRPr="00CE3194" w:rsidRDefault="000B1ED2" w:rsidP="000B1ED2">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B1ED2" w:rsidRPr="00CE3194" w14:paraId="713E0A3B" w14:textId="77777777" w:rsidTr="00DB5BE8">
        <w:tc>
          <w:tcPr>
            <w:tcW w:w="2660" w:type="dxa"/>
          </w:tcPr>
          <w:p w14:paraId="25B6664D"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lastRenderedPageBreak/>
              <w:t>Prüfelemente</w:t>
            </w:r>
          </w:p>
        </w:tc>
        <w:tc>
          <w:tcPr>
            <w:tcW w:w="6520" w:type="dxa"/>
          </w:tcPr>
          <w:p w14:paraId="617F71CF"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B1ED2" w:rsidRPr="00CE3194" w14:paraId="5C98B619" w14:textId="77777777" w:rsidTr="00DB5BE8">
        <w:tc>
          <w:tcPr>
            <w:tcW w:w="2660" w:type="dxa"/>
          </w:tcPr>
          <w:p w14:paraId="741B792F"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D04F4BC" w14:textId="77777777" w:rsidR="0050402B" w:rsidRDefault="0050402B" w:rsidP="0050402B">
            <w:pPr>
              <w:jc w:val="both"/>
              <w:rPr>
                <w:rFonts w:ascii="Arial" w:hAnsi="Arial" w:cs="Arial"/>
                <w:i/>
                <w:sz w:val="20"/>
                <w:szCs w:val="20"/>
                <w:highlight w:val="lightGray"/>
              </w:rPr>
            </w:pPr>
          </w:p>
          <w:p w14:paraId="222DC975" w14:textId="77777777" w:rsidR="000B1ED2"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51965C54"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060DFA8"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F70DB0A" w14:textId="415B7511"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78FF283"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8576A60"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07C79D44" w14:textId="77777777" w:rsidTr="00DB5BE8">
        <w:tc>
          <w:tcPr>
            <w:tcW w:w="2660" w:type="dxa"/>
          </w:tcPr>
          <w:p w14:paraId="698EB306"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276D422" w14:textId="77777777" w:rsidR="0074539F" w:rsidRPr="00CE3194" w:rsidRDefault="0074539F" w:rsidP="00DB5BE8">
            <w:pPr>
              <w:jc w:val="both"/>
              <w:rPr>
                <w:rFonts w:ascii="Arial" w:hAnsi="Arial" w:cs="Arial"/>
                <w:i/>
                <w:sz w:val="20"/>
                <w:szCs w:val="20"/>
                <w:highlight w:val="lightGray"/>
              </w:rPr>
            </w:pPr>
          </w:p>
        </w:tc>
        <w:tc>
          <w:tcPr>
            <w:tcW w:w="6520" w:type="dxa"/>
          </w:tcPr>
          <w:p w14:paraId="43B4E5DB" w14:textId="0D4909B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0DE2E3AB" w14:textId="6CA6DFA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444DA2E" w14:textId="58DFA2C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073065A"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B1ED2" w14:paraId="05500C5F" w14:textId="77777777" w:rsidTr="00DB5BE8">
        <w:tc>
          <w:tcPr>
            <w:tcW w:w="2660" w:type="dxa"/>
          </w:tcPr>
          <w:p w14:paraId="0FE8E2D8" w14:textId="77777777" w:rsidR="000B1ED2" w:rsidRDefault="000B1ED2"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7453213A"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342EA715"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CCC9197"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EFA3A34"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B51B710" w14:textId="77777777" w:rsidR="000B1ED2" w:rsidRPr="005B66F8" w:rsidRDefault="000B1ED2"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7097A98A" w14:textId="7DFE9442"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6AF74817" w14:textId="77777777" w:rsidR="000B1ED2" w:rsidRDefault="000B1ED2" w:rsidP="00CB3EE6">
      <w:pPr>
        <w:jc w:val="both"/>
        <w:rPr>
          <w:rFonts w:cs="Arial"/>
          <w:szCs w:val="20"/>
        </w:rPr>
      </w:pPr>
    </w:p>
    <w:p w14:paraId="2B95814F"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18E7D5B" w14:textId="77777777" w:rsidR="00E70DF4" w:rsidRDefault="00E70DF4" w:rsidP="00CB3EE6">
      <w:pPr>
        <w:jc w:val="both"/>
        <w:rPr>
          <w:rFonts w:cs="Arial"/>
          <w:szCs w:val="20"/>
        </w:rPr>
      </w:pPr>
    </w:p>
    <w:p w14:paraId="726BD4BC" w14:textId="77777777" w:rsidR="000B1ED2" w:rsidRPr="006730AC" w:rsidRDefault="000B1ED2" w:rsidP="00CB3EE6">
      <w:pPr>
        <w:jc w:val="both"/>
        <w:rPr>
          <w:rFonts w:cs="Arial"/>
          <w:szCs w:val="20"/>
        </w:rPr>
      </w:pPr>
    </w:p>
    <w:p w14:paraId="2DCD37D8" w14:textId="77777777" w:rsidR="006067FE" w:rsidRPr="006730AC" w:rsidRDefault="006067FE" w:rsidP="006F7AB5">
      <w:pPr>
        <w:pStyle w:val="FINMAGliederungEbene3"/>
      </w:pPr>
      <w:bookmarkStart w:id="39" w:name="_Toc147849894"/>
      <w:r>
        <w:t xml:space="preserve">Operationelle Risiken im Zusammenhang mit </w:t>
      </w:r>
      <w:r w:rsidR="000B1ED2">
        <w:t>Treuhandgeschäfte</w:t>
      </w:r>
      <w:r w:rsidR="00E94756">
        <w:t>n</w:t>
      </w:r>
      <w:r>
        <w:t xml:space="preserve"> für Kunden</w:t>
      </w:r>
      <w:r w:rsidR="00543DCA">
        <w:t xml:space="preserve"> (GR-20)</w:t>
      </w:r>
      <w:bookmarkEnd w:id="39"/>
    </w:p>
    <w:p w14:paraId="34E42393" w14:textId="77777777" w:rsidR="000B1ED2" w:rsidRDefault="000B1ED2"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0B1ED2" w:rsidRPr="009872F3" w14:paraId="28B64FB5" w14:textId="77777777" w:rsidTr="00DB5BE8">
        <w:trPr>
          <w:trHeight w:val="563"/>
        </w:trPr>
        <w:tc>
          <w:tcPr>
            <w:tcW w:w="1932" w:type="dxa"/>
          </w:tcPr>
          <w:p w14:paraId="2F358A88"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34104BDD"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03B298F"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B1ED2" w:rsidRPr="009872F3" w14:paraId="3B1F92DB" w14:textId="77777777" w:rsidTr="00DB5BE8">
        <w:trPr>
          <w:trHeight w:val="698"/>
        </w:trPr>
        <w:tc>
          <w:tcPr>
            <w:tcW w:w="1932" w:type="dxa"/>
          </w:tcPr>
          <w:p w14:paraId="751C96DC" w14:textId="6720F96C"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4D47A65" w14:textId="77777777" w:rsidR="000B1ED2" w:rsidRPr="006749F0" w:rsidRDefault="000B1ED2"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66853ED" w14:textId="77777777" w:rsidR="000B1ED2" w:rsidRPr="009872F3" w:rsidRDefault="000B1ED2"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687FC5" w14:textId="77777777" w:rsidR="000B1ED2" w:rsidRDefault="000B1ED2"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2FA65C8" w14:textId="77777777" w:rsidR="000B1ED2" w:rsidRPr="006749F0" w:rsidRDefault="000B1ED2" w:rsidP="00DB5BE8">
            <w:pPr>
              <w:jc w:val="both"/>
              <w:rPr>
                <w:rFonts w:ascii="Arial" w:hAnsi="Arial" w:cs="Arial"/>
                <w:i/>
                <w:sz w:val="18"/>
                <w:szCs w:val="18"/>
              </w:rPr>
            </w:pPr>
            <w:r w:rsidRPr="006749F0">
              <w:rPr>
                <w:rFonts w:ascii="Arial" w:hAnsi="Arial" w:cs="Arial"/>
                <w:i/>
                <w:sz w:val="18"/>
                <w:szCs w:val="18"/>
                <w:highlight w:val="yellow"/>
              </w:rPr>
              <w:t>Jahr</w:t>
            </w:r>
          </w:p>
        </w:tc>
      </w:tr>
      <w:tr w:rsidR="000B1ED2" w:rsidRPr="009872F3" w14:paraId="79233919" w14:textId="77777777" w:rsidTr="00DB5BE8">
        <w:trPr>
          <w:trHeight w:val="636"/>
        </w:trPr>
        <w:tc>
          <w:tcPr>
            <w:tcW w:w="9180" w:type="dxa"/>
            <w:gridSpan w:val="4"/>
          </w:tcPr>
          <w:p w14:paraId="4551B64C" w14:textId="77777777" w:rsidR="000B1ED2" w:rsidRDefault="000B1ED2" w:rsidP="00DB5BE8">
            <w:pPr>
              <w:jc w:val="both"/>
              <w:rPr>
                <w:rFonts w:ascii="Arial" w:hAnsi="Arial" w:cs="Arial"/>
                <w:sz w:val="18"/>
                <w:szCs w:val="18"/>
              </w:rPr>
            </w:pPr>
          </w:p>
          <w:p w14:paraId="6ACB5A2C" w14:textId="77777777" w:rsidR="000B1ED2" w:rsidRDefault="000B1ED2"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164F3EA7" w14:textId="77777777" w:rsidR="000B1ED2" w:rsidRPr="009872F3" w:rsidRDefault="000B1ED2" w:rsidP="00DB5BE8">
            <w:pPr>
              <w:jc w:val="both"/>
              <w:rPr>
                <w:rFonts w:ascii="Arial" w:hAnsi="Arial" w:cs="Arial"/>
                <w:sz w:val="18"/>
                <w:szCs w:val="18"/>
              </w:rPr>
            </w:pPr>
            <w:r w:rsidRPr="00CB3EE6">
              <w:rPr>
                <w:rFonts w:ascii="Arial" w:hAnsi="Arial" w:cs="Arial"/>
                <w:sz w:val="18"/>
                <w:szCs w:val="18"/>
                <w:highlight w:val="yellow"/>
              </w:rPr>
              <w:t>Art. 7a BankG; Art. 21o BankV; FMA-Mitteilung 2017/4 (inkl. regulatorische Grundlagen im Anhang)</w:t>
            </w:r>
          </w:p>
        </w:tc>
      </w:tr>
      <w:tr w:rsidR="000B1ED2" w:rsidRPr="009872F3" w14:paraId="0F9D5935" w14:textId="77777777" w:rsidTr="00DB5BE8">
        <w:trPr>
          <w:trHeight w:val="294"/>
        </w:trPr>
        <w:tc>
          <w:tcPr>
            <w:tcW w:w="9180" w:type="dxa"/>
            <w:gridSpan w:val="4"/>
          </w:tcPr>
          <w:p w14:paraId="57526945" w14:textId="77777777" w:rsidR="000B1ED2" w:rsidRPr="009872F3" w:rsidRDefault="000B1ED2" w:rsidP="00DB5BE8">
            <w:pPr>
              <w:jc w:val="both"/>
              <w:rPr>
                <w:rFonts w:ascii="Arial" w:hAnsi="Arial" w:cs="Arial"/>
                <w:sz w:val="18"/>
                <w:szCs w:val="18"/>
              </w:rPr>
            </w:pPr>
          </w:p>
        </w:tc>
      </w:tr>
      <w:tr w:rsidR="000B1ED2" w:rsidRPr="009872F3" w14:paraId="4EB2F20D" w14:textId="77777777" w:rsidTr="00DB5BE8">
        <w:tc>
          <w:tcPr>
            <w:tcW w:w="5798" w:type="dxa"/>
            <w:gridSpan w:val="3"/>
          </w:tcPr>
          <w:p w14:paraId="2273F144" w14:textId="009CD981" w:rsidR="000B1ED2" w:rsidRPr="00C1307E" w:rsidRDefault="000B1ED2"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E94756">
              <w:rPr>
                <w:rFonts w:ascii="Arial" w:hAnsi="Arial" w:cs="Arial"/>
                <w:sz w:val="18"/>
                <w:szCs w:val="18"/>
              </w:rPr>
              <w:t>o</w:t>
            </w:r>
            <w:r>
              <w:rPr>
                <w:rFonts w:ascii="Arial" w:hAnsi="Arial" w:cs="Arial"/>
                <w:sz w:val="18"/>
                <w:szCs w:val="18"/>
              </w:rPr>
              <w:t>perationellen Risiken im Zusammenhang mit Treuhandgeschäfte</w:t>
            </w:r>
            <w:r w:rsidR="00E94756">
              <w:rPr>
                <w:rFonts w:ascii="Arial" w:hAnsi="Arial" w:cs="Arial"/>
                <w:sz w:val="18"/>
                <w:szCs w:val="18"/>
              </w:rPr>
              <w:t>n</w:t>
            </w:r>
            <w:r>
              <w:rPr>
                <w:rFonts w:ascii="Arial" w:hAnsi="Arial" w:cs="Arial"/>
                <w:sz w:val="18"/>
                <w:szCs w:val="18"/>
              </w:rPr>
              <w:t xml:space="preserve"> für Kunden </w:t>
            </w:r>
            <w:r w:rsidRPr="00C1307E">
              <w:rPr>
                <w:rFonts w:ascii="Arial" w:hAnsi="Arial" w:cs="Arial"/>
                <w:sz w:val="18"/>
                <w:szCs w:val="18"/>
              </w:rPr>
              <w:t>angemessen ausgestaltet ist.</w:t>
            </w:r>
          </w:p>
        </w:tc>
        <w:tc>
          <w:tcPr>
            <w:tcW w:w="3382" w:type="dxa"/>
          </w:tcPr>
          <w:p w14:paraId="54FB7B38" w14:textId="77777777" w:rsidR="000B1ED2" w:rsidRPr="00E109DF" w:rsidRDefault="000B1ED2"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3115F2B3" w14:textId="77777777" w:rsidTr="00DB5BE8">
        <w:tc>
          <w:tcPr>
            <w:tcW w:w="5798" w:type="dxa"/>
            <w:gridSpan w:val="3"/>
          </w:tcPr>
          <w:p w14:paraId="41FCCD57" w14:textId="1C50E4AF" w:rsidR="000B1ED2" w:rsidRPr="00C1307E" w:rsidRDefault="000B1ED2"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E94756">
              <w:rPr>
                <w:rFonts w:ascii="Arial" w:hAnsi="Arial" w:cs="Arial"/>
                <w:sz w:val="18"/>
                <w:szCs w:val="18"/>
              </w:rPr>
              <w:t>o</w:t>
            </w:r>
            <w:r>
              <w:rPr>
                <w:rFonts w:ascii="Arial" w:hAnsi="Arial" w:cs="Arial"/>
                <w:sz w:val="18"/>
                <w:szCs w:val="18"/>
              </w:rPr>
              <w:t>perationellen Risiken im Zusammenhang mit Treuhandgeschäfte</w:t>
            </w:r>
            <w:r w:rsidR="00E94756">
              <w:rPr>
                <w:rFonts w:ascii="Arial" w:hAnsi="Arial" w:cs="Arial"/>
                <w:sz w:val="18"/>
                <w:szCs w:val="18"/>
              </w:rPr>
              <w:t>n</w:t>
            </w:r>
            <w:r>
              <w:rPr>
                <w:rFonts w:ascii="Arial" w:hAnsi="Arial" w:cs="Arial"/>
                <w:sz w:val="18"/>
                <w:szCs w:val="18"/>
              </w:rPr>
              <w:t xml:space="preserve"> für </w:t>
            </w:r>
            <w:r>
              <w:rPr>
                <w:rFonts w:ascii="Arial" w:hAnsi="Arial" w:cs="Arial"/>
                <w:sz w:val="18"/>
                <w:szCs w:val="18"/>
              </w:rPr>
              <w:lastRenderedPageBreak/>
              <w:t xml:space="preserve">Kunden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A5E5CAC"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B1ED2" w:rsidRPr="009872F3" w14:paraId="29B22BE0" w14:textId="77777777" w:rsidTr="00DB5BE8">
        <w:tc>
          <w:tcPr>
            <w:tcW w:w="5798" w:type="dxa"/>
            <w:gridSpan w:val="3"/>
          </w:tcPr>
          <w:p w14:paraId="320C8A0E" w14:textId="6661D79A" w:rsidR="000B1ED2" w:rsidRPr="00C1307E" w:rsidRDefault="000B1ED2"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E94756">
              <w:rPr>
                <w:rFonts w:ascii="Arial" w:hAnsi="Arial" w:cs="Arial"/>
                <w:sz w:val="18"/>
                <w:szCs w:val="18"/>
              </w:rPr>
              <w:t>o</w:t>
            </w:r>
            <w:r>
              <w:rPr>
                <w:rFonts w:ascii="Arial" w:hAnsi="Arial" w:cs="Arial"/>
                <w:sz w:val="18"/>
                <w:szCs w:val="18"/>
              </w:rPr>
              <w:t>perationellen Risiken Zusammenhang mit Treuhandgeschäfte</w:t>
            </w:r>
            <w:r w:rsidR="00E94756">
              <w:rPr>
                <w:rFonts w:ascii="Arial" w:hAnsi="Arial" w:cs="Arial"/>
                <w:sz w:val="18"/>
                <w:szCs w:val="18"/>
              </w:rPr>
              <w:t>n</w:t>
            </w:r>
            <w:r>
              <w:rPr>
                <w:rFonts w:ascii="Arial" w:hAnsi="Arial" w:cs="Arial"/>
                <w:sz w:val="18"/>
                <w:szCs w:val="18"/>
              </w:rPr>
              <w:t xml:space="preserve"> für Kunden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26190A70" w14:textId="77777777" w:rsidR="000B1ED2" w:rsidRPr="009872F3" w:rsidRDefault="000B1ED2"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34A0B44" w14:textId="77777777" w:rsidR="000B1ED2" w:rsidRPr="00CE3194" w:rsidRDefault="000B1ED2" w:rsidP="000B1ED2">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0B1ED2" w:rsidRPr="00CE3194" w14:paraId="5C1BC983" w14:textId="77777777" w:rsidTr="00DB5BE8">
        <w:tc>
          <w:tcPr>
            <w:tcW w:w="2660" w:type="dxa"/>
          </w:tcPr>
          <w:p w14:paraId="3A9EEFD8"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E63F786" w14:textId="77777777" w:rsidR="000B1ED2" w:rsidRPr="00CE3194" w:rsidRDefault="000B1ED2"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0B1ED2" w:rsidRPr="00CE3194" w14:paraId="21623D6B" w14:textId="77777777" w:rsidTr="00DB5BE8">
        <w:tc>
          <w:tcPr>
            <w:tcW w:w="2660" w:type="dxa"/>
          </w:tcPr>
          <w:p w14:paraId="310E8DEB"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667365B" w14:textId="77777777" w:rsidR="0050402B" w:rsidRDefault="0050402B" w:rsidP="0050402B">
            <w:pPr>
              <w:jc w:val="both"/>
              <w:rPr>
                <w:rFonts w:ascii="Arial" w:hAnsi="Arial" w:cs="Arial"/>
                <w:i/>
                <w:sz w:val="20"/>
                <w:szCs w:val="20"/>
                <w:highlight w:val="lightGray"/>
              </w:rPr>
            </w:pPr>
          </w:p>
          <w:p w14:paraId="109D0D90" w14:textId="77777777" w:rsidR="000B1ED2"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741E123E"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0AED8EC"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EC4AE14" w14:textId="167559BB"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2A56EEAA"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640EA87A"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5893335" w14:textId="77777777" w:rsidTr="00DB5BE8">
        <w:tc>
          <w:tcPr>
            <w:tcW w:w="2660" w:type="dxa"/>
          </w:tcPr>
          <w:p w14:paraId="50DAF75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7B4F39F6" w14:textId="77777777" w:rsidR="0074539F" w:rsidRPr="00CE3194" w:rsidRDefault="0074539F" w:rsidP="00DB5BE8">
            <w:pPr>
              <w:jc w:val="both"/>
              <w:rPr>
                <w:rFonts w:ascii="Arial" w:hAnsi="Arial" w:cs="Arial"/>
                <w:i/>
                <w:sz w:val="20"/>
                <w:szCs w:val="20"/>
                <w:highlight w:val="lightGray"/>
              </w:rPr>
            </w:pPr>
          </w:p>
        </w:tc>
        <w:tc>
          <w:tcPr>
            <w:tcW w:w="6520" w:type="dxa"/>
          </w:tcPr>
          <w:p w14:paraId="296F9A83" w14:textId="7343DC72"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39876F14" w14:textId="2F002ACF"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1BBD23CA" w14:textId="347712C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4212C7D6"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0B1ED2" w14:paraId="7BC83D16" w14:textId="77777777" w:rsidTr="00DB5BE8">
        <w:tc>
          <w:tcPr>
            <w:tcW w:w="2660" w:type="dxa"/>
          </w:tcPr>
          <w:p w14:paraId="5B7E699E" w14:textId="77777777" w:rsidR="000B1ED2" w:rsidRDefault="000B1ED2"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BA6CBC9"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8E49B62"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529F5BD"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5C52628" w14:textId="77777777" w:rsidR="000B1ED2" w:rsidRPr="00CE3194" w:rsidRDefault="000B1ED2"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0489DE1C" w14:textId="77777777" w:rsidR="000B1ED2" w:rsidRPr="005B66F8" w:rsidRDefault="000B1ED2"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0755A5D9" w14:textId="76C7F26C"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4BDC6B3B" w14:textId="77777777" w:rsidR="000B1ED2" w:rsidRDefault="000B1ED2" w:rsidP="00CB3EE6">
      <w:pPr>
        <w:jc w:val="both"/>
        <w:rPr>
          <w:rFonts w:cs="Arial"/>
          <w:szCs w:val="20"/>
        </w:rPr>
      </w:pPr>
    </w:p>
    <w:p w14:paraId="620A822F"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4831376A" w14:textId="77777777" w:rsidR="00E70DF4" w:rsidRDefault="00E70DF4" w:rsidP="00CB3EE6">
      <w:pPr>
        <w:jc w:val="both"/>
        <w:rPr>
          <w:rFonts w:cs="Arial"/>
          <w:szCs w:val="20"/>
        </w:rPr>
      </w:pPr>
    </w:p>
    <w:p w14:paraId="2327BE64" w14:textId="77777777" w:rsidR="00E70DF4" w:rsidRDefault="00E70DF4" w:rsidP="00CB3EE6">
      <w:pPr>
        <w:jc w:val="both"/>
        <w:rPr>
          <w:rFonts w:cs="Arial"/>
          <w:szCs w:val="20"/>
        </w:rPr>
      </w:pPr>
    </w:p>
    <w:p w14:paraId="46BFD6D9" w14:textId="77777777" w:rsidR="006067FE" w:rsidRPr="006730AC" w:rsidRDefault="006067FE" w:rsidP="006F7AB5">
      <w:pPr>
        <w:pStyle w:val="FINMAGliederungEbene3"/>
      </w:pPr>
      <w:bookmarkStart w:id="40" w:name="_Toc147849895"/>
      <w:r>
        <w:t xml:space="preserve">Operationelle Risiken im Zusammenhang mit </w:t>
      </w:r>
      <w:r w:rsidR="00295664">
        <w:t>OTC-Geschäfte</w:t>
      </w:r>
      <w:r w:rsidR="0015284E">
        <w:t>n</w:t>
      </w:r>
      <w:r w:rsidR="00543DCA">
        <w:t xml:space="preserve"> (GR-2</w:t>
      </w:r>
      <w:r w:rsidR="00DB5BE8">
        <w:t>1</w:t>
      </w:r>
      <w:r w:rsidR="00543DCA">
        <w:t>)</w:t>
      </w:r>
      <w:bookmarkEnd w:id="40"/>
    </w:p>
    <w:p w14:paraId="48A2187A"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3E87CE75" w14:textId="77777777" w:rsidTr="00DB5BE8">
        <w:trPr>
          <w:trHeight w:val="563"/>
        </w:trPr>
        <w:tc>
          <w:tcPr>
            <w:tcW w:w="1932" w:type="dxa"/>
          </w:tcPr>
          <w:p w14:paraId="0D91CB67"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2D34E20C"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0D09F9A"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7289293D" w14:textId="77777777" w:rsidTr="00DB5BE8">
        <w:trPr>
          <w:trHeight w:val="698"/>
        </w:trPr>
        <w:tc>
          <w:tcPr>
            <w:tcW w:w="1932" w:type="dxa"/>
          </w:tcPr>
          <w:p w14:paraId="7B082D7A" w14:textId="770D8051"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3C58C66"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CA7C7E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BAC87C9"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4E223EF"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52355D86" w14:textId="77777777" w:rsidTr="00DB5BE8">
        <w:trPr>
          <w:trHeight w:val="636"/>
        </w:trPr>
        <w:tc>
          <w:tcPr>
            <w:tcW w:w="9180" w:type="dxa"/>
            <w:gridSpan w:val="4"/>
          </w:tcPr>
          <w:p w14:paraId="130009D1" w14:textId="77777777" w:rsidR="00DB5BE8" w:rsidRDefault="00DB5BE8" w:rsidP="00DB5BE8">
            <w:pPr>
              <w:jc w:val="both"/>
              <w:rPr>
                <w:rFonts w:ascii="Arial" w:hAnsi="Arial" w:cs="Arial"/>
                <w:sz w:val="18"/>
                <w:szCs w:val="18"/>
              </w:rPr>
            </w:pPr>
          </w:p>
          <w:p w14:paraId="038545C3"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2AD1EB1C" w14:textId="77777777" w:rsidR="00DB5BE8" w:rsidRPr="009872F3" w:rsidRDefault="00DB5BE8" w:rsidP="00DB5BE8">
            <w:pPr>
              <w:jc w:val="both"/>
              <w:rPr>
                <w:rFonts w:ascii="Arial" w:hAnsi="Arial" w:cs="Arial"/>
                <w:sz w:val="18"/>
                <w:szCs w:val="18"/>
              </w:rPr>
            </w:pPr>
            <w:r w:rsidRPr="00CB3EE6">
              <w:rPr>
                <w:rFonts w:ascii="Arial" w:hAnsi="Arial" w:cs="Arial"/>
                <w:sz w:val="18"/>
                <w:szCs w:val="18"/>
                <w:highlight w:val="yellow"/>
              </w:rPr>
              <w:t>Art. 7a BankG; Art. 21o BankV; FMA-Mitteilung 2017/4 (inkl. regulatorische Grundlagen im Anhang)</w:t>
            </w:r>
          </w:p>
        </w:tc>
      </w:tr>
      <w:tr w:rsidR="00DB5BE8" w:rsidRPr="009872F3" w14:paraId="2E8154E9" w14:textId="77777777" w:rsidTr="00DB5BE8">
        <w:trPr>
          <w:trHeight w:val="294"/>
        </w:trPr>
        <w:tc>
          <w:tcPr>
            <w:tcW w:w="9180" w:type="dxa"/>
            <w:gridSpan w:val="4"/>
          </w:tcPr>
          <w:p w14:paraId="6451BB0A" w14:textId="77777777" w:rsidR="00DB5BE8" w:rsidRPr="009872F3" w:rsidRDefault="00DB5BE8" w:rsidP="00DB5BE8">
            <w:pPr>
              <w:jc w:val="both"/>
              <w:rPr>
                <w:rFonts w:ascii="Arial" w:hAnsi="Arial" w:cs="Arial"/>
                <w:sz w:val="18"/>
                <w:szCs w:val="18"/>
              </w:rPr>
            </w:pPr>
          </w:p>
        </w:tc>
      </w:tr>
      <w:tr w:rsidR="00DB5BE8" w:rsidRPr="009872F3" w14:paraId="4A892F9F" w14:textId="77777777" w:rsidTr="00DB5BE8">
        <w:tc>
          <w:tcPr>
            <w:tcW w:w="5798" w:type="dxa"/>
            <w:gridSpan w:val="3"/>
          </w:tcPr>
          <w:p w14:paraId="32A34629" w14:textId="529925F8" w:rsidR="00DB5BE8" w:rsidRPr="00C1307E" w:rsidRDefault="00DB5BE8"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95664">
              <w:rPr>
                <w:rFonts w:ascii="Arial" w:hAnsi="Arial" w:cs="Arial"/>
                <w:sz w:val="18"/>
                <w:szCs w:val="18"/>
              </w:rPr>
              <w:t>OTC-Geschäften</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CC772BA"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23A705B4" w14:textId="77777777" w:rsidTr="00DB5BE8">
        <w:tc>
          <w:tcPr>
            <w:tcW w:w="5798" w:type="dxa"/>
            <w:gridSpan w:val="3"/>
          </w:tcPr>
          <w:p w14:paraId="0BF4CFBD" w14:textId="5852765B"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95664">
              <w:rPr>
                <w:rFonts w:ascii="Arial" w:hAnsi="Arial" w:cs="Arial"/>
                <w:sz w:val="18"/>
                <w:szCs w:val="18"/>
              </w:rPr>
              <w:t>OTC-Geschäften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9D24B7E"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4FC026AD" w14:textId="77777777" w:rsidTr="00DB5BE8">
        <w:tc>
          <w:tcPr>
            <w:tcW w:w="5798" w:type="dxa"/>
            <w:gridSpan w:val="3"/>
          </w:tcPr>
          <w:p w14:paraId="59929791" w14:textId="6E936409"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15284E">
              <w:rPr>
                <w:rFonts w:ascii="Arial" w:hAnsi="Arial" w:cs="Arial"/>
                <w:sz w:val="18"/>
                <w:szCs w:val="18"/>
              </w:rPr>
              <w:t>o</w:t>
            </w:r>
            <w:r>
              <w:rPr>
                <w:rFonts w:ascii="Arial" w:hAnsi="Arial" w:cs="Arial"/>
                <w:sz w:val="18"/>
                <w:szCs w:val="18"/>
              </w:rPr>
              <w:t xml:space="preserve">perationellen Risiken Zusammenhang mit </w:t>
            </w:r>
            <w:r w:rsidR="00295664">
              <w:rPr>
                <w:rFonts w:ascii="Arial" w:hAnsi="Arial" w:cs="Arial"/>
                <w:sz w:val="18"/>
                <w:szCs w:val="18"/>
              </w:rPr>
              <w:t xml:space="preserve">OTC-Geschäften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7CD72F6"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998967D"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268927E8" w14:textId="77777777" w:rsidTr="00DB5BE8">
        <w:tc>
          <w:tcPr>
            <w:tcW w:w="2660" w:type="dxa"/>
          </w:tcPr>
          <w:p w14:paraId="0DD1F282"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A512870"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4781CC43" w14:textId="77777777" w:rsidTr="00DB5BE8">
        <w:tc>
          <w:tcPr>
            <w:tcW w:w="2660" w:type="dxa"/>
          </w:tcPr>
          <w:p w14:paraId="76CCB33D"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60521B3" w14:textId="77777777" w:rsidR="0050402B" w:rsidRDefault="0050402B" w:rsidP="0050402B">
            <w:pPr>
              <w:jc w:val="both"/>
              <w:rPr>
                <w:rFonts w:ascii="Arial" w:hAnsi="Arial" w:cs="Arial"/>
                <w:i/>
                <w:sz w:val="20"/>
                <w:szCs w:val="20"/>
                <w:highlight w:val="lightGray"/>
              </w:rPr>
            </w:pPr>
          </w:p>
          <w:p w14:paraId="2DEA914B"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AD4A5BE"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AE7260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0AB3A6E" w14:textId="571926E0"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3ED5DE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4388637"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05E54D19" w14:textId="77777777" w:rsidTr="00DB5BE8">
        <w:tc>
          <w:tcPr>
            <w:tcW w:w="2660" w:type="dxa"/>
          </w:tcPr>
          <w:p w14:paraId="59860FD6"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71A7B5C" w14:textId="77777777" w:rsidR="0074539F" w:rsidRPr="00CE3194" w:rsidRDefault="0074539F" w:rsidP="00DB5BE8">
            <w:pPr>
              <w:jc w:val="both"/>
              <w:rPr>
                <w:rFonts w:ascii="Arial" w:hAnsi="Arial" w:cs="Arial"/>
                <w:i/>
                <w:sz w:val="20"/>
                <w:szCs w:val="20"/>
                <w:highlight w:val="lightGray"/>
              </w:rPr>
            </w:pPr>
          </w:p>
        </w:tc>
        <w:tc>
          <w:tcPr>
            <w:tcW w:w="6520" w:type="dxa"/>
          </w:tcPr>
          <w:p w14:paraId="1DFB1A24" w14:textId="2A96142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4526A6E0" w14:textId="7AF5487F"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6DCCA5F" w14:textId="2EEB2A4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0F4C870A"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42280253" w14:textId="77777777" w:rsidTr="00DB5BE8">
        <w:tc>
          <w:tcPr>
            <w:tcW w:w="2660" w:type="dxa"/>
          </w:tcPr>
          <w:p w14:paraId="48CB6FFA"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F93B6FE"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0DFFAB4"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BA1895B"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F1F4A38"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72798AAD"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3E6EF7DF" w14:textId="5FCF435D"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13EDFB9A" w14:textId="77777777" w:rsidR="00DB5BE8" w:rsidRDefault="00DB5BE8" w:rsidP="00CB3EE6">
      <w:pPr>
        <w:jc w:val="both"/>
        <w:rPr>
          <w:rFonts w:cs="Arial"/>
          <w:szCs w:val="20"/>
        </w:rPr>
      </w:pPr>
    </w:p>
    <w:p w14:paraId="2BDA076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665BE18C" w14:textId="77777777" w:rsidR="00E70DF4" w:rsidRDefault="00E70DF4" w:rsidP="00CB3EE6">
      <w:pPr>
        <w:jc w:val="both"/>
        <w:rPr>
          <w:rFonts w:cs="Arial"/>
          <w:szCs w:val="20"/>
        </w:rPr>
      </w:pPr>
    </w:p>
    <w:p w14:paraId="6DE8A8D9" w14:textId="77777777" w:rsidR="00DB5BE8" w:rsidRPr="006730AC" w:rsidRDefault="00DB5BE8" w:rsidP="00CB3EE6">
      <w:pPr>
        <w:jc w:val="both"/>
        <w:rPr>
          <w:rFonts w:cs="Arial"/>
          <w:szCs w:val="20"/>
        </w:rPr>
      </w:pPr>
    </w:p>
    <w:p w14:paraId="11A289BE" w14:textId="77777777" w:rsidR="006067FE" w:rsidRPr="006730AC" w:rsidRDefault="006067FE" w:rsidP="006F7AB5">
      <w:pPr>
        <w:pStyle w:val="FINMAGliederungEbene3"/>
      </w:pPr>
      <w:bookmarkStart w:id="41" w:name="_Toc147849896"/>
      <w:r>
        <w:t xml:space="preserve">Operationelle Risiken im Zusammenhang mit dem </w:t>
      </w:r>
      <w:r w:rsidRPr="002E5C20">
        <w:rPr>
          <w:highlight w:val="yellow"/>
        </w:rPr>
        <w:t>Depotbank- und/oder Zentralverwahrungsgeschäft</w:t>
      </w:r>
      <w:r w:rsidR="00543DCA">
        <w:t xml:space="preserve"> (GR-2</w:t>
      </w:r>
      <w:r w:rsidR="00DB5BE8">
        <w:t>2</w:t>
      </w:r>
      <w:r w:rsidR="00543DCA">
        <w:t>)</w:t>
      </w:r>
      <w:bookmarkEnd w:id="41"/>
    </w:p>
    <w:p w14:paraId="238AE9B5"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4A9679D2" w14:textId="77777777" w:rsidTr="00DB5BE8">
        <w:trPr>
          <w:trHeight w:val="563"/>
        </w:trPr>
        <w:tc>
          <w:tcPr>
            <w:tcW w:w="1932" w:type="dxa"/>
          </w:tcPr>
          <w:p w14:paraId="23349AA0"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341CA5BF"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A0F5E03"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4B00AFB3" w14:textId="77777777" w:rsidTr="00DB5BE8">
        <w:trPr>
          <w:trHeight w:val="698"/>
        </w:trPr>
        <w:tc>
          <w:tcPr>
            <w:tcW w:w="1932" w:type="dxa"/>
          </w:tcPr>
          <w:p w14:paraId="09CC5A3D" w14:textId="5C00ACB1"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7FAE8DAE"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67E3CE7"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3F34AF4"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78F2EBB"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3C80A539" w14:textId="77777777" w:rsidTr="00DB5BE8">
        <w:trPr>
          <w:trHeight w:val="636"/>
        </w:trPr>
        <w:tc>
          <w:tcPr>
            <w:tcW w:w="9180" w:type="dxa"/>
            <w:gridSpan w:val="4"/>
          </w:tcPr>
          <w:p w14:paraId="746131ED" w14:textId="77777777" w:rsidR="00DB5BE8" w:rsidRDefault="00DB5BE8" w:rsidP="00DB5BE8">
            <w:pPr>
              <w:jc w:val="both"/>
              <w:rPr>
                <w:rFonts w:ascii="Arial" w:hAnsi="Arial" w:cs="Arial"/>
                <w:sz w:val="18"/>
                <w:szCs w:val="18"/>
              </w:rPr>
            </w:pPr>
          </w:p>
          <w:p w14:paraId="4FC55160"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FCFA883" w14:textId="77777777" w:rsidR="00DB5BE8" w:rsidRPr="009872F3" w:rsidRDefault="00DB5BE8" w:rsidP="00DB5BE8">
            <w:pPr>
              <w:jc w:val="both"/>
              <w:rPr>
                <w:rFonts w:ascii="Arial" w:hAnsi="Arial" w:cs="Arial"/>
                <w:sz w:val="18"/>
                <w:szCs w:val="18"/>
              </w:rPr>
            </w:pPr>
            <w:r w:rsidRPr="00CB3EE6">
              <w:rPr>
                <w:rFonts w:ascii="Arial" w:hAnsi="Arial" w:cs="Arial"/>
                <w:sz w:val="18"/>
                <w:szCs w:val="18"/>
                <w:highlight w:val="yellow"/>
              </w:rPr>
              <w:t>Art. 7a BankG; Art. 21o BankV; FMA-Mitteilung 2017/4 (inkl. regulatorische Grundlagen im Anhang), FMA-Mitteilung 2016/01, IUG, AIFMG, UCITSG</w:t>
            </w:r>
          </w:p>
        </w:tc>
      </w:tr>
      <w:tr w:rsidR="00DB5BE8" w:rsidRPr="009872F3" w14:paraId="32E280EE" w14:textId="77777777" w:rsidTr="00DB5BE8">
        <w:trPr>
          <w:trHeight w:val="294"/>
        </w:trPr>
        <w:tc>
          <w:tcPr>
            <w:tcW w:w="9180" w:type="dxa"/>
            <w:gridSpan w:val="4"/>
          </w:tcPr>
          <w:p w14:paraId="2E4F4A4F" w14:textId="77777777" w:rsidR="00DB5BE8" w:rsidRPr="009872F3" w:rsidRDefault="00DB5BE8" w:rsidP="00DB5BE8">
            <w:pPr>
              <w:jc w:val="both"/>
              <w:rPr>
                <w:rFonts w:ascii="Arial" w:hAnsi="Arial" w:cs="Arial"/>
                <w:sz w:val="18"/>
                <w:szCs w:val="18"/>
              </w:rPr>
            </w:pPr>
          </w:p>
        </w:tc>
      </w:tr>
      <w:tr w:rsidR="00DB5BE8" w:rsidRPr="009872F3" w14:paraId="0FC648A6" w14:textId="77777777" w:rsidTr="00DB5BE8">
        <w:tc>
          <w:tcPr>
            <w:tcW w:w="5798" w:type="dxa"/>
            <w:gridSpan w:val="3"/>
          </w:tcPr>
          <w:p w14:paraId="36790832" w14:textId="2771AB73" w:rsidR="00DB5BE8" w:rsidRPr="00C1307E" w:rsidRDefault="00DB5BE8"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dem </w:t>
            </w:r>
            <w:r w:rsidRPr="006634A7">
              <w:rPr>
                <w:rFonts w:ascii="Arial" w:hAnsi="Arial" w:cs="Arial"/>
                <w:sz w:val="18"/>
                <w:szCs w:val="18"/>
                <w:highlight w:val="yellow"/>
              </w:rPr>
              <w:t>Depotbank- und/oder</w:t>
            </w:r>
            <w:r>
              <w:rPr>
                <w:rFonts w:ascii="Arial" w:hAnsi="Arial" w:cs="Arial"/>
                <w:sz w:val="18"/>
                <w:szCs w:val="18"/>
              </w:rPr>
              <w:t xml:space="preserve"> Zentralverwahrungsgeschäft </w:t>
            </w:r>
            <w:r w:rsidRPr="00C1307E">
              <w:rPr>
                <w:rFonts w:ascii="Arial" w:hAnsi="Arial" w:cs="Arial"/>
                <w:sz w:val="18"/>
                <w:szCs w:val="18"/>
              </w:rPr>
              <w:t>angemessen ausgestaltet ist.</w:t>
            </w:r>
          </w:p>
        </w:tc>
        <w:tc>
          <w:tcPr>
            <w:tcW w:w="3382" w:type="dxa"/>
          </w:tcPr>
          <w:p w14:paraId="5C3C48EB"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58A9136C" w14:textId="77777777" w:rsidTr="00DB5BE8">
        <w:tc>
          <w:tcPr>
            <w:tcW w:w="5798" w:type="dxa"/>
            <w:gridSpan w:val="3"/>
          </w:tcPr>
          <w:p w14:paraId="44DDC3A6" w14:textId="4ECB301F"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15284E">
              <w:rPr>
                <w:rFonts w:ascii="Arial" w:hAnsi="Arial" w:cs="Arial"/>
                <w:sz w:val="18"/>
                <w:szCs w:val="18"/>
              </w:rPr>
              <w:t>o</w:t>
            </w:r>
            <w:r>
              <w:rPr>
                <w:rFonts w:ascii="Arial" w:hAnsi="Arial" w:cs="Arial"/>
                <w:sz w:val="18"/>
                <w:szCs w:val="18"/>
              </w:rPr>
              <w:t xml:space="preserve">perationellen Risiken im Zusammenhang mit dem </w:t>
            </w:r>
            <w:r w:rsidRPr="006634A7">
              <w:rPr>
                <w:rFonts w:ascii="Arial" w:hAnsi="Arial" w:cs="Arial"/>
                <w:sz w:val="18"/>
                <w:szCs w:val="18"/>
                <w:highlight w:val="yellow"/>
              </w:rPr>
              <w:t>Depotbank- und/oder</w:t>
            </w:r>
            <w:r>
              <w:rPr>
                <w:rFonts w:ascii="Arial" w:hAnsi="Arial" w:cs="Arial"/>
                <w:sz w:val="18"/>
                <w:szCs w:val="18"/>
              </w:rPr>
              <w:t xml:space="preserve"> Zentralverwahrungsgeschäft</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AA78BC1"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06B1E57" w14:textId="77777777" w:rsidTr="00DB5BE8">
        <w:tc>
          <w:tcPr>
            <w:tcW w:w="5798" w:type="dxa"/>
            <w:gridSpan w:val="3"/>
          </w:tcPr>
          <w:p w14:paraId="695B0BCB" w14:textId="6401EAD4"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15284E">
              <w:rPr>
                <w:rFonts w:ascii="Arial" w:hAnsi="Arial" w:cs="Arial"/>
                <w:sz w:val="18"/>
                <w:szCs w:val="18"/>
              </w:rPr>
              <w:t>o</w:t>
            </w:r>
            <w:r>
              <w:rPr>
                <w:rFonts w:ascii="Arial" w:hAnsi="Arial" w:cs="Arial"/>
                <w:sz w:val="18"/>
                <w:szCs w:val="18"/>
              </w:rPr>
              <w:t xml:space="preserve">perationellen Risiken Zusammenhang mit dem </w:t>
            </w:r>
            <w:r w:rsidRPr="006634A7">
              <w:rPr>
                <w:rFonts w:ascii="Arial" w:hAnsi="Arial" w:cs="Arial"/>
                <w:sz w:val="18"/>
                <w:szCs w:val="18"/>
                <w:highlight w:val="yellow"/>
              </w:rPr>
              <w:t>Depotbank- und/oder</w:t>
            </w:r>
            <w:r>
              <w:rPr>
                <w:rFonts w:ascii="Arial" w:hAnsi="Arial" w:cs="Arial"/>
                <w:sz w:val="18"/>
                <w:szCs w:val="18"/>
              </w:rPr>
              <w:t xml:space="preserve"> Zentralverwahrungsgeschäft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4E06AB9"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877AEFE"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1AA38320" w14:textId="77777777" w:rsidTr="00DB5BE8">
        <w:tc>
          <w:tcPr>
            <w:tcW w:w="2660" w:type="dxa"/>
          </w:tcPr>
          <w:p w14:paraId="228139BD"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290DE0D"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0A750427" w14:textId="77777777" w:rsidTr="00DB5BE8">
        <w:tc>
          <w:tcPr>
            <w:tcW w:w="2660" w:type="dxa"/>
          </w:tcPr>
          <w:p w14:paraId="0DEA1368"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7F739C5" w14:textId="77777777" w:rsidR="0050402B" w:rsidRDefault="0050402B" w:rsidP="0050402B">
            <w:pPr>
              <w:jc w:val="both"/>
              <w:rPr>
                <w:rFonts w:ascii="Arial" w:hAnsi="Arial" w:cs="Arial"/>
                <w:i/>
                <w:sz w:val="20"/>
                <w:szCs w:val="20"/>
                <w:highlight w:val="lightGray"/>
              </w:rPr>
            </w:pPr>
          </w:p>
          <w:p w14:paraId="1270353A"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75B6B2CE"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CF686A3"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8981A85" w14:textId="0EC175C2"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E3E2B2C"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20AFC1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708BB1F" w14:textId="77777777" w:rsidTr="00DB5BE8">
        <w:tc>
          <w:tcPr>
            <w:tcW w:w="2660" w:type="dxa"/>
          </w:tcPr>
          <w:p w14:paraId="462CF5D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5DF9F8E" w14:textId="77777777" w:rsidR="0074539F" w:rsidRPr="00CE3194" w:rsidRDefault="0074539F" w:rsidP="00DB5BE8">
            <w:pPr>
              <w:jc w:val="both"/>
              <w:rPr>
                <w:rFonts w:ascii="Arial" w:hAnsi="Arial" w:cs="Arial"/>
                <w:i/>
                <w:sz w:val="20"/>
                <w:szCs w:val="20"/>
                <w:highlight w:val="lightGray"/>
              </w:rPr>
            </w:pPr>
          </w:p>
        </w:tc>
        <w:tc>
          <w:tcPr>
            <w:tcW w:w="6520" w:type="dxa"/>
          </w:tcPr>
          <w:p w14:paraId="2EF8E6C0" w14:textId="3A8D8A2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1DB91743" w14:textId="5F18C4E0"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0BE3211" w14:textId="5445A1D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B939003"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2E358774" w14:textId="77777777" w:rsidTr="00DB5BE8">
        <w:tc>
          <w:tcPr>
            <w:tcW w:w="2660" w:type="dxa"/>
          </w:tcPr>
          <w:p w14:paraId="54FF942A"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BE3EB6B"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1CB51B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00BD93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3197E73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1321823"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2B8F2970" w14:textId="37C65749"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lastRenderedPageBreak/>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569A37D8" w14:textId="77777777" w:rsidR="00DB5BE8" w:rsidRDefault="00DB5BE8" w:rsidP="00CB3EE6">
      <w:pPr>
        <w:jc w:val="both"/>
        <w:rPr>
          <w:rFonts w:cs="Arial"/>
          <w:szCs w:val="20"/>
        </w:rPr>
      </w:pPr>
    </w:p>
    <w:p w14:paraId="755D36FA"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4130909" w14:textId="77777777" w:rsidR="00E70DF4" w:rsidRDefault="00E70DF4" w:rsidP="00CB3EE6">
      <w:pPr>
        <w:jc w:val="both"/>
        <w:rPr>
          <w:rFonts w:cs="Arial"/>
          <w:szCs w:val="20"/>
        </w:rPr>
      </w:pPr>
    </w:p>
    <w:p w14:paraId="394E6D9F" w14:textId="77777777" w:rsidR="00DB5BE8" w:rsidRPr="006730AC" w:rsidRDefault="00DB5BE8" w:rsidP="00CB3EE6">
      <w:pPr>
        <w:jc w:val="both"/>
        <w:rPr>
          <w:rFonts w:cs="Arial"/>
          <w:szCs w:val="20"/>
        </w:rPr>
      </w:pPr>
    </w:p>
    <w:p w14:paraId="10D02DF4" w14:textId="389AB17D" w:rsidR="006067FE" w:rsidRPr="006730AC" w:rsidRDefault="006067FE" w:rsidP="006F7AB5">
      <w:pPr>
        <w:pStyle w:val="FINMAGliederungEbene3"/>
      </w:pPr>
      <w:bookmarkStart w:id="42" w:name="_Toc147849897"/>
      <w:r>
        <w:t>Operationelle Risiken im Zusammenhang mit der Übernahme von Emissionen von Finanzinstrumenten und Platzierung</w:t>
      </w:r>
      <w:r w:rsidR="0015284E">
        <w:t>en</w:t>
      </w:r>
      <w:r>
        <w:t xml:space="preserve"> von Finanzinstrumenten mit fester Übernahmeverpflichtung</w:t>
      </w:r>
      <w:r w:rsidR="00543DCA">
        <w:t xml:space="preserve"> (GR-2</w:t>
      </w:r>
      <w:r w:rsidR="00DB5BE8">
        <w:t>3</w:t>
      </w:r>
      <w:r w:rsidR="00543DCA">
        <w:t>)</w:t>
      </w:r>
      <w:bookmarkEnd w:id="42"/>
    </w:p>
    <w:p w14:paraId="1D7F9E2B"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6D466D5A" w14:textId="77777777" w:rsidTr="00DB5BE8">
        <w:trPr>
          <w:trHeight w:val="563"/>
        </w:trPr>
        <w:tc>
          <w:tcPr>
            <w:tcW w:w="1932" w:type="dxa"/>
          </w:tcPr>
          <w:p w14:paraId="43E397C3"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0D41D9E7"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512007"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7A765056" w14:textId="77777777" w:rsidTr="00DB5BE8">
        <w:trPr>
          <w:trHeight w:val="698"/>
        </w:trPr>
        <w:tc>
          <w:tcPr>
            <w:tcW w:w="1932" w:type="dxa"/>
          </w:tcPr>
          <w:p w14:paraId="41DE1A78" w14:textId="20EDF984"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0AA4258"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EBFC7CB"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3E607576"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1587167C"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27986B54" w14:textId="77777777" w:rsidTr="00DB5BE8">
        <w:trPr>
          <w:trHeight w:val="636"/>
        </w:trPr>
        <w:tc>
          <w:tcPr>
            <w:tcW w:w="9180" w:type="dxa"/>
            <w:gridSpan w:val="4"/>
          </w:tcPr>
          <w:p w14:paraId="27F4E369" w14:textId="77777777" w:rsidR="00DB5BE8" w:rsidRDefault="00DB5BE8" w:rsidP="00DB5BE8">
            <w:pPr>
              <w:jc w:val="both"/>
              <w:rPr>
                <w:rFonts w:ascii="Arial" w:hAnsi="Arial" w:cs="Arial"/>
                <w:sz w:val="18"/>
                <w:szCs w:val="18"/>
              </w:rPr>
            </w:pPr>
          </w:p>
          <w:p w14:paraId="78C509D5"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3A1736A7" w14:textId="77777777" w:rsidR="00DB5BE8" w:rsidRPr="009872F3" w:rsidRDefault="00DB5BE8" w:rsidP="00DB5BE8">
            <w:pPr>
              <w:jc w:val="both"/>
              <w:rPr>
                <w:rFonts w:ascii="Arial" w:hAnsi="Arial" w:cs="Arial"/>
                <w:sz w:val="18"/>
                <w:szCs w:val="18"/>
              </w:rPr>
            </w:pPr>
            <w:r w:rsidRPr="00CB3EE6">
              <w:rPr>
                <w:rFonts w:ascii="Arial" w:hAnsi="Arial" w:cs="Arial"/>
                <w:sz w:val="18"/>
                <w:szCs w:val="18"/>
                <w:highlight w:val="yellow"/>
              </w:rPr>
              <w:t>Art. 7a BankG; Art. 21o BankV; FMA-Mitteilung 2017/4 (inkl. regulatorische Grundlagen im Anhang)</w:t>
            </w:r>
          </w:p>
        </w:tc>
      </w:tr>
      <w:tr w:rsidR="00DB5BE8" w:rsidRPr="009872F3" w14:paraId="2889F6F0" w14:textId="77777777" w:rsidTr="00DB5BE8">
        <w:trPr>
          <w:trHeight w:val="294"/>
        </w:trPr>
        <w:tc>
          <w:tcPr>
            <w:tcW w:w="9180" w:type="dxa"/>
            <w:gridSpan w:val="4"/>
          </w:tcPr>
          <w:p w14:paraId="1D5A3402" w14:textId="77777777" w:rsidR="00DB5BE8" w:rsidRPr="009872F3" w:rsidRDefault="00DB5BE8" w:rsidP="00DB5BE8">
            <w:pPr>
              <w:jc w:val="both"/>
              <w:rPr>
                <w:rFonts w:ascii="Arial" w:hAnsi="Arial" w:cs="Arial"/>
                <w:sz w:val="18"/>
                <w:szCs w:val="18"/>
              </w:rPr>
            </w:pPr>
          </w:p>
        </w:tc>
      </w:tr>
      <w:tr w:rsidR="00DB5BE8" w:rsidRPr="009872F3" w14:paraId="1A89A34F" w14:textId="77777777" w:rsidTr="00DB5BE8">
        <w:tc>
          <w:tcPr>
            <w:tcW w:w="5798" w:type="dxa"/>
            <w:gridSpan w:val="3"/>
          </w:tcPr>
          <w:p w14:paraId="4FD3103B" w14:textId="5B735B8D" w:rsidR="00DB5BE8" w:rsidRPr="00C1307E" w:rsidRDefault="00DB5BE8" w:rsidP="0015284E">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perationellen Risiken im Zusammenhang mit der Übernahme von Emissionen von Finanzinstrumenten und Platzierung</w:t>
            </w:r>
            <w:r w:rsidR="0015284E">
              <w:rPr>
                <w:rFonts w:ascii="Arial" w:hAnsi="Arial" w:cs="Arial"/>
                <w:sz w:val="18"/>
                <w:szCs w:val="18"/>
              </w:rPr>
              <w:t>en</w:t>
            </w:r>
            <w:r>
              <w:rPr>
                <w:rFonts w:ascii="Arial" w:hAnsi="Arial" w:cs="Arial"/>
                <w:sz w:val="18"/>
                <w:szCs w:val="18"/>
              </w:rPr>
              <w:t xml:space="preserve"> von Finanzinstrumenten mit fester Übernahmeverpflichtung </w:t>
            </w:r>
            <w:r w:rsidRPr="00C1307E">
              <w:rPr>
                <w:rFonts w:ascii="Arial" w:hAnsi="Arial" w:cs="Arial"/>
                <w:sz w:val="18"/>
                <w:szCs w:val="18"/>
              </w:rPr>
              <w:t>angemessen ausgestaltet ist.</w:t>
            </w:r>
          </w:p>
        </w:tc>
        <w:tc>
          <w:tcPr>
            <w:tcW w:w="3382" w:type="dxa"/>
          </w:tcPr>
          <w:p w14:paraId="6F22865D"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38890BB8" w14:textId="77777777" w:rsidTr="00DB5BE8">
        <w:tc>
          <w:tcPr>
            <w:tcW w:w="5798" w:type="dxa"/>
            <w:gridSpan w:val="3"/>
          </w:tcPr>
          <w:p w14:paraId="2D4ADB8D" w14:textId="5DA48268" w:rsidR="00DB5BE8" w:rsidRPr="00C1307E" w:rsidRDefault="00DB5BE8" w:rsidP="0015284E">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15284E">
              <w:rPr>
                <w:rFonts w:ascii="Arial" w:hAnsi="Arial" w:cs="Arial"/>
                <w:sz w:val="18"/>
                <w:szCs w:val="18"/>
              </w:rPr>
              <w:t>o</w:t>
            </w:r>
            <w:r>
              <w:rPr>
                <w:rFonts w:ascii="Arial" w:hAnsi="Arial" w:cs="Arial"/>
                <w:sz w:val="18"/>
                <w:szCs w:val="18"/>
              </w:rPr>
              <w:t>perationellen Risiken im Zusammenhang mit der Übernahme von Emissionen von Finanzinstrumenten und Platzierung</w:t>
            </w:r>
            <w:r w:rsidR="0015284E">
              <w:rPr>
                <w:rFonts w:ascii="Arial" w:hAnsi="Arial" w:cs="Arial"/>
                <w:sz w:val="18"/>
                <w:szCs w:val="18"/>
              </w:rPr>
              <w:t>en</w:t>
            </w:r>
            <w:r>
              <w:rPr>
                <w:rFonts w:ascii="Arial" w:hAnsi="Arial" w:cs="Arial"/>
                <w:sz w:val="18"/>
                <w:szCs w:val="18"/>
              </w:rPr>
              <w:t xml:space="preserve"> von Finanzinstrumenten mit fester Übernahmeverpflichtung</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BD57F80"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779FD6CE" w14:textId="77777777" w:rsidTr="00DB5BE8">
        <w:tc>
          <w:tcPr>
            <w:tcW w:w="5798" w:type="dxa"/>
            <w:gridSpan w:val="3"/>
          </w:tcPr>
          <w:p w14:paraId="7C9370D9" w14:textId="0B2BB90F" w:rsidR="00DB5BE8" w:rsidRPr="00C1307E" w:rsidRDefault="00DB5BE8" w:rsidP="0015284E">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Operationellen Risiken Zusammenhang mit der Übernahme von Emissionen von Finanzinstrumenten und Platzierung</w:t>
            </w:r>
            <w:r w:rsidR="0015284E">
              <w:rPr>
                <w:rFonts w:ascii="Arial" w:hAnsi="Arial" w:cs="Arial"/>
                <w:sz w:val="18"/>
                <w:szCs w:val="18"/>
              </w:rPr>
              <w:t>en</w:t>
            </w:r>
            <w:r>
              <w:rPr>
                <w:rFonts w:ascii="Arial" w:hAnsi="Arial" w:cs="Arial"/>
                <w:sz w:val="18"/>
                <w:szCs w:val="18"/>
              </w:rPr>
              <w:t xml:space="preserve"> von Finanzinstrumenten mit fester Übernahmeverpflichtung</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3F5D4153"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4A008BE1"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13673225" w14:textId="77777777" w:rsidTr="00DB5BE8">
        <w:tc>
          <w:tcPr>
            <w:tcW w:w="2660" w:type="dxa"/>
          </w:tcPr>
          <w:p w14:paraId="12031813"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BBF4282"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70E9275C" w14:textId="77777777" w:rsidTr="00DB5BE8">
        <w:tc>
          <w:tcPr>
            <w:tcW w:w="2660" w:type="dxa"/>
          </w:tcPr>
          <w:p w14:paraId="78FB82C4"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3D4846C" w14:textId="77777777" w:rsidR="0050402B" w:rsidRDefault="0050402B" w:rsidP="0050402B">
            <w:pPr>
              <w:jc w:val="both"/>
              <w:rPr>
                <w:rFonts w:ascii="Arial" w:hAnsi="Arial" w:cs="Arial"/>
                <w:i/>
                <w:sz w:val="20"/>
                <w:szCs w:val="20"/>
                <w:highlight w:val="lightGray"/>
              </w:rPr>
            </w:pPr>
          </w:p>
          <w:p w14:paraId="6AE920BD"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0C99D60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4B42BE7"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F04E53C" w14:textId="0E5E6E21"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9DAD7A2"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6B8F3B77"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1769F869" w14:textId="77777777" w:rsidTr="00DB5BE8">
        <w:tc>
          <w:tcPr>
            <w:tcW w:w="2660" w:type="dxa"/>
          </w:tcPr>
          <w:p w14:paraId="3B97DA40"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B9C9D65" w14:textId="77777777" w:rsidR="0074539F" w:rsidRPr="00CE3194" w:rsidRDefault="0074539F" w:rsidP="00DB5BE8">
            <w:pPr>
              <w:jc w:val="both"/>
              <w:rPr>
                <w:rFonts w:ascii="Arial" w:hAnsi="Arial" w:cs="Arial"/>
                <w:i/>
                <w:sz w:val="20"/>
                <w:szCs w:val="20"/>
                <w:highlight w:val="lightGray"/>
              </w:rPr>
            </w:pPr>
          </w:p>
        </w:tc>
        <w:tc>
          <w:tcPr>
            <w:tcW w:w="6520" w:type="dxa"/>
          </w:tcPr>
          <w:p w14:paraId="524F04DB" w14:textId="634B5D2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3C7A253E" w14:textId="57B3A43B"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4F393A4" w14:textId="21B046C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F73C56E"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0CE97C56" w14:textId="77777777" w:rsidTr="00DB5BE8">
        <w:tc>
          <w:tcPr>
            <w:tcW w:w="2660" w:type="dxa"/>
          </w:tcPr>
          <w:p w14:paraId="576B99E7"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55FC10E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220590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E048B2E"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3F5C468B"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7625344"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520B0C73" w14:textId="34F16D6F"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74539993" w14:textId="77777777" w:rsidR="00DB5BE8" w:rsidRDefault="00DB5BE8" w:rsidP="00CB3EE6">
      <w:pPr>
        <w:jc w:val="both"/>
        <w:rPr>
          <w:rFonts w:cs="Arial"/>
          <w:szCs w:val="20"/>
        </w:rPr>
      </w:pPr>
    </w:p>
    <w:p w14:paraId="46378E4B"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C5AB0AE" w14:textId="77777777" w:rsidR="00E70DF4" w:rsidRDefault="00E70DF4" w:rsidP="00CB3EE6">
      <w:pPr>
        <w:jc w:val="both"/>
        <w:rPr>
          <w:rFonts w:cs="Arial"/>
          <w:szCs w:val="20"/>
        </w:rPr>
      </w:pPr>
    </w:p>
    <w:p w14:paraId="1E38F075" w14:textId="77777777" w:rsidR="00DB5BE8" w:rsidRPr="006730AC" w:rsidRDefault="00DB5BE8" w:rsidP="00CB3EE6">
      <w:pPr>
        <w:jc w:val="both"/>
        <w:rPr>
          <w:rFonts w:cs="Arial"/>
          <w:szCs w:val="20"/>
        </w:rPr>
      </w:pPr>
    </w:p>
    <w:p w14:paraId="096D8BE7" w14:textId="77777777" w:rsidR="006067FE" w:rsidRPr="006730AC" w:rsidRDefault="008C30D1" w:rsidP="006F7AB5">
      <w:pPr>
        <w:pStyle w:val="FINMAGliederungEbene3"/>
      </w:pPr>
      <w:bookmarkStart w:id="43" w:name="_Toc147849898"/>
      <w:r>
        <w:t>Operationelle Risiken im Zusammenhang mit dem Zahlungsverkehr</w:t>
      </w:r>
      <w:r w:rsidR="00543DCA">
        <w:t xml:space="preserve"> (GR-2</w:t>
      </w:r>
      <w:r w:rsidR="00DB5BE8">
        <w:t>4</w:t>
      </w:r>
      <w:r w:rsidR="00543DCA">
        <w:t>)</w:t>
      </w:r>
      <w:bookmarkEnd w:id="43"/>
    </w:p>
    <w:p w14:paraId="4A9CD6C3"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0CC05644" w14:textId="77777777" w:rsidTr="00DB5BE8">
        <w:trPr>
          <w:trHeight w:val="563"/>
        </w:trPr>
        <w:tc>
          <w:tcPr>
            <w:tcW w:w="1932" w:type="dxa"/>
          </w:tcPr>
          <w:p w14:paraId="7DE7D95E"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28AE5E2"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5A1D6F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59E88AA1" w14:textId="77777777" w:rsidTr="00DB5BE8">
        <w:trPr>
          <w:trHeight w:val="698"/>
        </w:trPr>
        <w:tc>
          <w:tcPr>
            <w:tcW w:w="1932" w:type="dxa"/>
          </w:tcPr>
          <w:p w14:paraId="49BA1956" w14:textId="6489F00D"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36ADFA6"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61289E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040DE94"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3A772B6"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7CB23BF7" w14:textId="77777777" w:rsidTr="00DB5BE8">
        <w:trPr>
          <w:trHeight w:val="636"/>
        </w:trPr>
        <w:tc>
          <w:tcPr>
            <w:tcW w:w="9180" w:type="dxa"/>
            <w:gridSpan w:val="4"/>
          </w:tcPr>
          <w:p w14:paraId="491B3AE6" w14:textId="77777777" w:rsidR="00DB5BE8" w:rsidRDefault="00DB5BE8" w:rsidP="00DB5BE8">
            <w:pPr>
              <w:jc w:val="both"/>
              <w:rPr>
                <w:rFonts w:ascii="Arial" w:hAnsi="Arial" w:cs="Arial"/>
                <w:sz w:val="18"/>
                <w:szCs w:val="18"/>
              </w:rPr>
            </w:pPr>
          </w:p>
          <w:p w14:paraId="34AF5F6C"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46EC9238" w14:textId="77777777" w:rsidR="00DB5BE8" w:rsidRPr="009872F3" w:rsidRDefault="00DB5BE8" w:rsidP="00DB5BE8">
            <w:pPr>
              <w:jc w:val="both"/>
              <w:rPr>
                <w:rFonts w:ascii="Arial" w:hAnsi="Arial" w:cs="Arial"/>
                <w:sz w:val="18"/>
                <w:szCs w:val="18"/>
              </w:rPr>
            </w:pPr>
            <w:r w:rsidRPr="00CB3EE6">
              <w:rPr>
                <w:rFonts w:ascii="Arial" w:hAnsi="Arial" w:cs="Arial"/>
                <w:sz w:val="18"/>
                <w:szCs w:val="18"/>
                <w:highlight w:val="yellow"/>
              </w:rPr>
              <w:t>Art. 7a BankG; Art. 21o BankV; FMA-Mitteilung 2017/4 (inkl. regulatorische Grundlagen im Anhang)</w:t>
            </w:r>
          </w:p>
        </w:tc>
      </w:tr>
      <w:tr w:rsidR="00DB5BE8" w:rsidRPr="009872F3" w14:paraId="6C5580AC" w14:textId="77777777" w:rsidTr="00DB5BE8">
        <w:trPr>
          <w:trHeight w:val="294"/>
        </w:trPr>
        <w:tc>
          <w:tcPr>
            <w:tcW w:w="9180" w:type="dxa"/>
            <w:gridSpan w:val="4"/>
          </w:tcPr>
          <w:p w14:paraId="5CB379D3" w14:textId="77777777" w:rsidR="00DB5BE8" w:rsidRPr="009872F3" w:rsidRDefault="00DB5BE8" w:rsidP="00DB5BE8">
            <w:pPr>
              <w:jc w:val="both"/>
              <w:rPr>
                <w:rFonts w:ascii="Arial" w:hAnsi="Arial" w:cs="Arial"/>
                <w:sz w:val="18"/>
                <w:szCs w:val="18"/>
              </w:rPr>
            </w:pPr>
          </w:p>
        </w:tc>
      </w:tr>
      <w:tr w:rsidR="00DB5BE8" w:rsidRPr="009872F3" w14:paraId="2492C2B6" w14:textId="77777777" w:rsidTr="00DB5BE8">
        <w:tc>
          <w:tcPr>
            <w:tcW w:w="5798" w:type="dxa"/>
            <w:gridSpan w:val="3"/>
          </w:tcPr>
          <w:p w14:paraId="27362B57" w14:textId="27672FCB" w:rsidR="00DB5BE8" w:rsidRPr="00C1307E" w:rsidRDefault="00DB5BE8"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dem Zahlungsverkehr </w:t>
            </w:r>
            <w:r w:rsidRPr="00C1307E">
              <w:rPr>
                <w:rFonts w:ascii="Arial" w:hAnsi="Arial" w:cs="Arial"/>
                <w:sz w:val="18"/>
                <w:szCs w:val="18"/>
              </w:rPr>
              <w:t>angemessen ausgestaltet ist.</w:t>
            </w:r>
          </w:p>
        </w:tc>
        <w:tc>
          <w:tcPr>
            <w:tcW w:w="3382" w:type="dxa"/>
          </w:tcPr>
          <w:p w14:paraId="64296EF6"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598EFD5" w14:textId="77777777" w:rsidTr="00DB5BE8">
        <w:tc>
          <w:tcPr>
            <w:tcW w:w="5798" w:type="dxa"/>
            <w:gridSpan w:val="3"/>
          </w:tcPr>
          <w:p w14:paraId="2D4496D0" w14:textId="3CA15331"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15284E">
              <w:rPr>
                <w:rFonts w:ascii="Arial" w:hAnsi="Arial" w:cs="Arial"/>
                <w:sz w:val="18"/>
                <w:szCs w:val="18"/>
              </w:rPr>
              <w:t>o</w:t>
            </w:r>
            <w:r>
              <w:rPr>
                <w:rFonts w:ascii="Arial" w:hAnsi="Arial" w:cs="Arial"/>
                <w:sz w:val="18"/>
                <w:szCs w:val="18"/>
              </w:rPr>
              <w:t>perationellen Risiken im Zusammenhang mit dem Zahlungsverkehr</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B5A631C"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FAD6EC1" w14:textId="77777777" w:rsidTr="00DB5BE8">
        <w:tc>
          <w:tcPr>
            <w:tcW w:w="5798" w:type="dxa"/>
            <w:gridSpan w:val="3"/>
          </w:tcPr>
          <w:p w14:paraId="27357CDF" w14:textId="14014D7A"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15284E">
              <w:rPr>
                <w:rFonts w:ascii="Arial" w:hAnsi="Arial" w:cs="Arial"/>
                <w:sz w:val="18"/>
                <w:szCs w:val="18"/>
              </w:rPr>
              <w:t>o</w:t>
            </w:r>
            <w:r>
              <w:rPr>
                <w:rFonts w:ascii="Arial" w:hAnsi="Arial" w:cs="Arial"/>
                <w:sz w:val="18"/>
                <w:szCs w:val="18"/>
              </w:rPr>
              <w:t>perationellen Risiken im Zusammenhang mit dem Zahlungsverkehr</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A043D38"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7E9AAF"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443E6D56" w14:textId="77777777" w:rsidTr="00DB5BE8">
        <w:tc>
          <w:tcPr>
            <w:tcW w:w="2660" w:type="dxa"/>
          </w:tcPr>
          <w:p w14:paraId="23010ABC"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A059BFF"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52D82732" w14:textId="77777777" w:rsidTr="00DB5BE8">
        <w:tc>
          <w:tcPr>
            <w:tcW w:w="2660" w:type="dxa"/>
          </w:tcPr>
          <w:p w14:paraId="29F56512" w14:textId="77777777" w:rsidR="0050402B" w:rsidRDefault="0050402B" w:rsidP="0050402B">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6331B6F" w14:textId="77777777" w:rsidR="0050402B" w:rsidRDefault="0050402B" w:rsidP="0050402B">
            <w:pPr>
              <w:jc w:val="both"/>
              <w:rPr>
                <w:rFonts w:ascii="Arial" w:hAnsi="Arial" w:cs="Arial"/>
                <w:i/>
                <w:sz w:val="20"/>
                <w:szCs w:val="20"/>
                <w:highlight w:val="lightGray"/>
              </w:rPr>
            </w:pPr>
          </w:p>
          <w:p w14:paraId="31B05E7F" w14:textId="77777777" w:rsidR="00DB5BE8" w:rsidRPr="00511890" w:rsidRDefault="0050402B" w:rsidP="0050402B">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r w:rsidRPr="00667026">
              <w:rPr>
                <w:rFonts w:ascii="Arial" w:hAnsi="Arial" w:cs="Arial"/>
                <w:i/>
                <w:sz w:val="20"/>
                <w:szCs w:val="20"/>
                <w:highlight w:val="lightGray"/>
              </w:rPr>
              <w:lastRenderedPageBreak/>
              <w:t>Know-How, Interessenskonflikte)</w:t>
            </w:r>
          </w:p>
        </w:tc>
        <w:tc>
          <w:tcPr>
            <w:tcW w:w="6520" w:type="dxa"/>
          </w:tcPr>
          <w:p w14:paraId="5625FA90"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0A0A4AA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7DE57BC" w14:textId="0297DD85"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37D89F30"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C5FD0C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Anzahl und Zusammensetzung der internen Ausschüsse sind angemessen;</w:t>
            </w:r>
          </w:p>
        </w:tc>
      </w:tr>
      <w:tr w:rsidR="0074539F" w:rsidRPr="00CE3194" w14:paraId="00000669" w14:textId="77777777" w:rsidTr="00DB5BE8">
        <w:tc>
          <w:tcPr>
            <w:tcW w:w="2660" w:type="dxa"/>
          </w:tcPr>
          <w:p w14:paraId="49649403"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328F11AE" w14:textId="77777777" w:rsidR="0074539F" w:rsidRPr="00CE3194" w:rsidRDefault="0074539F" w:rsidP="00DB5BE8">
            <w:pPr>
              <w:jc w:val="both"/>
              <w:rPr>
                <w:rFonts w:ascii="Arial" w:hAnsi="Arial" w:cs="Arial"/>
                <w:i/>
                <w:sz w:val="20"/>
                <w:szCs w:val="20"/>
                <w:highlight w:val="lightGray"/>
              </w:rPr>
            </w:pPr>
          </w:p>
        </w:tc>
        <w:tc>
          <w:tcPr>
            <w:tcW w:w="6520" w:type="dxa"/>
          </w:tcPr>
          <w:p w14:paraId="35A60AD7" w14:textId="3C736D2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3DFAB0A6" w14:textId="1719E4A7"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557A246" w14:textId="57658A06"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DF94CB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1DBD4EB9" w14:textId="77777777" w:rsidTr="00DB5BE8">
        <w:tc>
          <w:tcPr>
            <w:tcW w:w="2660" w:type="dxa"/>
          </w:tcPr>
          <w:p w14:paraId="1C029109"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982C42A"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18AC41DF"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367CDD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6050BC65"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FEA7982"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1458623C" w14:textId="1DC189BA"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0281C828" w14:textId="77777777" w:rsidR="00DB5BE8" w:rsidRDefault="00DB5BE8" w:rsidP="00CB3EE6">
      <w:pPr>
        <w:jc w:val="both"/>
        <w:rPr>
          <w:rFonts w:cs="Arial"/>
          <w:szCs w:val="20"/>
        </w:rPr>
      </w:pPr>
    </w:p>
    <w:p w14:paraId="47E85BCE"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3816CD4C" w14:textId="77777777" w:rsidR="00E70DF4" w:rsidRDefault="00E70DF4" w:rsidP="00CB3EE6">
      <w:pPr>
        <w:jc w:val="both"/>
        <w:rPr>
          <w:rFonts w:cs="Arial"/>
          <w:szCs w:val="20"/>
        </w:rPr>
      </w:pPr>
    </w:p>
    <w:p w14:paraId="5DCEB6D2" w14:textId="77777777" w:rsidR="00DB5BE8" w:rsidRPr="006730AC" w:rsidRDefault="00DB5BE8" w:rsidP="00CB3EE6">
      <w:pPr>
        <w:jc w:val="both"/>
        <w:rPr>
          <w:rFonts w:cs="Arial"/>
          <w:szCs w:val="20"/>
        </w:rPr>
      </w:pPr>
    </w:p>
    <w:p w14:paraId="5E488ACD" w14:textId="77777777" w:rsidR="008C30D1" w:rsidRPr="006730AC" w:rsidRDefault="008C30D1" w:rsidP="006F7AB5">
      <w:pPr>
        <w:pStyle w:val="FINMAGliederungEbene3"/>
      </w:pPr>
      <w:bookmarkStart w:id="44" w:name="_Toc147849899"/>
      <w:r>
        <w:t>Operationelle Risiken: Einhaltung der Pflichten bei Betrieb eines Handelssystems</w:t>
      </w:r>
      <w:r w:rsidR="00543DCA">
        <w:t xml:space="preserve"> (GR-2</w:t>
      </w:r>
      <w:r w:rsidR="00DB5BE8">
        <w:t>5</w:t>
      </w:r>
      <w:r w:rsidR="00543DCA">
        <w:t>)</w:t>
      </w:r>
      <w:bookmarkEnd w:id="44"/>
    </w:p>
    <w:p w14:paraId="2001C59F" w14:textId="77777777" w:rsidR="00DB5BE8" w:rsidRDefault="00DB5BE8"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DB5BE8" w:rsidRPr="009872F3" w14:paraId="1E670A40" w14:textId="77777777" w:rsidTr="00DB5BE8">
        <w:trPr>
          <w:trHeight w:val="563"/>
        </w:trPr>
        <w:tc>
          <w:tcPr>
            <w:tcW w:w="1932" w:type="dxa"/>
          </w:tcPr>
          <w:p w14:paraId="7F0734DB"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5283BC6E"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2E0A001"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DB5BE8" w:rsidRPr="009872F3" w14:paraId="3A538012" w14:textId="77777777" w:rsidTr="00DB5BE8">
        <w:trPr>
          <w:trHeight w:val="698"/>
        </w:trPr>
        <w:tc>
          <w:tcPr>
            <w:tcW w:w="1932" w:type="dxa"/>
          </w:tcPr>
          <w:p w14:paraId="72010274" w14:textId="1ACB1E48"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2BC807BD" w14:textId="77777777" w:rsidR="00DB5BE8" w:rsidRPr="006749F0" w:rsidRDefault="00DB5BE8"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3DDB135" w14:textId="77777777" w:rsidR="00DB5BE8" w:rsidRPr="009872F3" w:rsidRDefault="00DB5BE8"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AE40609" w14:textId="77777777" w:rsidR="00DB5BE8" w:rsidRDefault="00DB5BE8"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8C8618E" w14:textId="77777777" w:rsidR="00DB5BE8" w:rsidRPr="006749F0" w:rsidRDefault="00DB5BE8" w:rsidP="00DB5BE8">
            <w:pPr>
              <w:jc w:val="both"/>
              <w:rPr>
                <w:rFonts w:ascii="Arial" w:hAnsi="Arial" w:cs="Arial"/>
                <w:i/>
                <w:sz w:val="18"/>
                <w:szCs w:val="18"/>
              </w:rPr>
            </w:pPr>
            <w:r w:rsidRPr="006749F0">
              <w:rPr>
                <w:rFonts w:ascii="Arial" w:hAnsi="Arial" w:cs="Arial"/>
                <w:i/>
                <w:sz w:val="18"/>
                <w:szCs w:val="18"/>
                <w:highlight w:val="yellow"/>
              </w:rPr>
              <w:t>Jahr</w:t>
            </w:r>
          </w:p>
        </w:tc>
      </w:tr>
      <w:tr w:rsidR="00DB5BE8" w:rsidRPr="009872F3" w14:paraId="259BFD5E" w14:textId="77777777" w:rsidTr="00DB5BE8">
        <w:trPr>
          <w:trHeight w:val="636"/>
        </w:trPr>
        <w:tc>
          <w:tcPr>
            <w:tcW w:w="9180" w:type="dxa"/>
            <w:gridSpan w:val="4"/>
          </w:tcPr>
          <w:p w14:paraId="3064F334" w14:textId="77777777" w:rsidR="00DB5BE8" w:rsidRDefault="00DB5BE8" w:rsidP="00DB5BE8">
            <w:pPr>
              <w:jc w:val="both"/>
              <w:rPr>
                <w:rFonts w:ascii="Arial" w:hAnsi="Arial" w:cs="Arial"/>
                <w:sz w:val="18"/>
                <w:szCs w:val="18"/>
              </w:rPr>
            </w:pPr>
          </w:p>
          <w:p w14:paraId="2BD2E25D" w14:textId="77777777" w:rsidR="00DB5BE8" w:rsidRDefault="00DB5BE8" w:rsidP="00DB5BE8">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442E6C5" w14:textId="77777777" w:rsidR="00DB5BE8" w:rsidRPr="009872F3" w:rsidRDefault="00295664" w:rsidP="00DB5BE8">
            <w:pPr>
              <w:jc w:val="both"/>
              <w:rPr>
                <w:rFonts w:ascii="Arial" w:hAnsi="Arial" w:cs="Arial"/>
                <w:sz w:val="18"/>
                <w:szCs w:val="18"/>
              </w:rPr>
            </w:pPr>
            <w:r w:rsidRPr="00CB3EE6">
              <w:rPr>
                <w:rFonts w:ascii="Arial" w:hAnsi="Arial" w:cs="Arial"/>
                <w:sz w:val="18"/>
                <w:szCs w:val="18"/>
                <w:highlight w:val="yellow"/>
              </w:rPr>
              <w:t>Art. 7a BankG; Art. 21o BankV; FMA-Mitteilung 2017/4 (inkl. regulatorische Grundlagen im Anhang)</w:t>
            </w:r>
          </w:p>
        </w:tc>
      </w:tr>
      <w:tr w:rsidR="00DB5BE8" w:rsidRPr="009872F3" w14:paraId="64B5D63D" w14:textId="77777777" w:rsidTr="00DB5BE8">
        <w:trPr>
          <w:trHeight w:val="294"/>
        </w:trPr>
        <w:tc>
          <w:tcPr>
            <w:tcW w:w="9180" w:type="dxa"/>
            <w:gridSpan w:val="4"/>
          </w:tcPr>
          <w:p w14:paraId="6C53C4E8" w14:textId="77777777" w:rsidR="00DB5BE8" w:rsidRPr="009872F3" w:rsidRDefault="00DB5BE8" w:rsidP="00DB5BE8">
            <w:pPr>
              <w:jc w:val="both"/>
              <w:rPr>
                <w:rFonts w:ascii="Arial" w:hAnsi="Arial" w:cs="Arial"/>
                <w:sz w:val="18"/>
                <w:szCs w:val="18"/>
              </w:rPr>
            </w:pPr>
          </w:p>
        </w:tc>
      </w:tr>
      <w:tr w:rsidR="00DB5BE8" w:rsidRPr="009872F3" w14:paraId="0F619D24" w14:textId="77777777" w:rsidTr="00DB5BE8">
        <w:tc>
          <w:tcPr>
            <w:tcW w:w="5798" w:type="dxa"/>
            <w:gridSpan w:val="3"/>
          </w:tcPr>
          <w:p w14:paraId="2EE8D9F9" w14:textId="11061086" w:rsidR="00DB5BE8" w:rsidRPr="00C1307E" w:rsidRDefault="00DB5BE8"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15284E">
              <w:rPr>
                <w:rFonts w:ascii="Arial" w:hAnsi="Arial" w:cs="Arial"/>
                <w:sz w:val="18"/>
                <w:szCs w:val="18"/>
              </w:rPr>
              <w:t>o</w:t>
            </w:r>
            <w:r>
              <w:rPr>
                <w:rFonts w:ascii="Arial" w:hAnsi="Arial" w:cs="Arial"/>
                <w:sz w:val="18"/>
                <w:szCs w:val="18"/>
              </w:rPr>
              <w:t xml:space="preserve">perationellen Risiken im Zusammenhang mit der Einhaltung der Pflichten beim Betrieb eines Handelssystems </w:t>
            </w:r>
            <w:r w:rsidRPr="00C1307E">
              <w:rPr>
                <w:rFonts w:ascii="Arial" w:hAnsi="Arial" w:cs="Arial"/>
                <w:sz w:val="18"/>
                <w:szCs w:val="18"/>
              </w:rPr>
              <w:t>angemessen ausgestaltet ist.</w:t>
            </w:r>
          </w:p>
        </w:tc>
        <w:tc>
          <w:tcPr>
            <w:tcW w:w="3382" w:type="dxa"/>
          </w:tcPr>
          <w:p w14:paraId="35FEE9F1" w14:textId="77777777" w:rsidR="00DB5BE8" w:rsidRPr="00E109DF" w:rsidRDefault="00DB5BE8"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CAA8B95" w14:textId="77777777" w:rsidTr="00DB5BE8">
        <w:tc>
          <w:tcPr>
            <w:tcW w:w="5798" w:type="dxa"/>
            <w:gridSpan w:val="3"/>
          </w:tcPr>
          <w:p w14:paraId="2ED638B5" w14:textId="30B497EF"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15284E">
              <w:rPr>
                <w:rFonts w:ascii="Arial" w:hAnsi="Arial" w:cs="Arial"/>
                <w:sz w:val="18"/>
                <w:szCs w:val="18"/>
              </w:rPr>
              <w:t>o</w:t>
            </w:r>
            <w:r>
              <w:rPr>
                <w:rFonts w:ascii="Arial" w:hAnsi="Arial" w:cs="Arial"/>
                <w:sz w:val="18"/>
                <w:szCs w:val="18"/>
              </w:rPr>
              <w:t xml:space="preserve">perationellen Risiken im Zusammenhang mit </w:t>
            </w:r>
            <w:r w:rsidR="00295664">
              <w:rPr>
                <w:rFonts w:ascii="Arial" w:hAnsi="Arial" w:cs="Arial"/>
                <w:sz w:val="18"/>
                <w:szCs w:val="18"/>
              </w:rPr>
              <w:t>der Einhaltung der Pflichten beim Betrieb eines Handelssystems</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B4A4E4B"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B5BE8" w:rsidRPr="009872F3" w14:paraId="16BCE357" w14:textId="77777777" w:rsidTr="00DB5BE8">
        <w:tc>
          <w:tcPr>
            <w:tcW w:w="5798" w:type="dxa"/>
            <w:gridSpan w:val="3"/>
          </w:tcPr>
          <w:p w14:paraId="55B9A22D" w14:textId="1B356898" w:rsidR="00DB5BE8" w:rsidRPr="00C1307E" w:rsidRDefault="00DB5BE8"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15284E">
              <w:rPr>
                <w:rFonts w:ascii="Arial" w:hAnsi="Arial" w:cs="Arial"/>
                <w:sz w:val="18"/>
                <w:szCs w:val="18"/>
              </w:rPr>
              <w:t>o</w:t>
            </w:r>
            <w:r>
              <w:rPr>
                <w:rFonts w:ascii="Arial" w:hAnsi="Arial" w:cs="Arial"/>
                <w:sz w:val="18"/>
                <w:szCs w:val="18"/>
              </w:rPr>
              <w:t xml:space="preserve">perationellen Risiken im Zusammenhang mit </w:t>
            </w:r>
            <w:r w:rsidR="00295664">
              <w:rPr>
                <w:rFonts w:ascii="Arial" w:hAnsi="Arial" w:cs="Arial"/>
                <w:sz w:val="18"/>
                <w:szCs w:val="18"/>
              </w:rPr>
              <w:t>der Einhaltung der Pflichten beim Betrieb eines Handelssystems</w:t>
            </w:r>
            <w:r w:rsidR="00295664" w:rsidRPr="00C1307E">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D8F8A63" w14:textId="77777777" w:rsidR="00DB5BE8" w:rsidRPr="009872F3" w:rsidRDefault="00DB5BE8"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6A3F3E" w14:textId="77777777" w:rsidR="00DB5BE8" w:rsidRPr="00CE3194" w:rsidRDefault="00DB5BE8" w:rsidP="00DB5BE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DB5BE8" w:rsidRPr="00CE3194" w14:paraId="28AA5660" w14:textId="77777777" w:rsidTr="00DB5BE8">
        <w:tc>
          <w:tcPr>
            <w:tcW w:w="2660" w:type="dxa"/>
          </w:tcPr>
          <w:p w14:paraId="72092807"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lastRenderedPageBreak/>
              <w:t>Prüfelemente</w:t>
            </w:r>
          </w:p>
        </w:tc>
        <w:tc>
          <w:tcPr>
            <w:tcW w:w="6520" w:type="dxa"/>
          </w:tcPr>
          <w:p w14:paraId="64519412" w14:textId="77777777" w:rsidR="00DB5BE8" w:rsidRPr="00CE3194" w:rsidRDefault="00DB5BE8"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DB5BE8" w:rsidRPr="00CE3194" w14:paraId="21E27BF7" w14:textId="77777777" w:rsidTr="00DB5BE8">
        <w:tc>
          <w:tcPr>
            <w:tcW w:w="2660" w:type="dxa"/>
          </w:tcPr>
          <w:p w14:paraId="29C06091"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4455D49" w14:textId="77777777" w:rsidR="00D8345E" w:rsidRDefault="00D8345E" w:rsidP="00D8345E">
            <w:pPr>
              <w:jc w:val="both"/>
              <w:rPr>
                <w:rFonts w:ascii="Arial" w:hAnsi="Arial" w:cs="Arial"/>
                <w:i/>
                <w:sz w:val="20"/>
                <w:szCs w:val="20"/>
                <w:highlight w:val="lightGray"/>
              </w:rPr>
            </w:pPr>
          </w:p>
          <w:p w14:paraId="0418A5B8" w14:textId="77777777" w:rsidR="00DB5BE8"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409A426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8F2835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AA4BE14" w14:textId="6D6CF13A"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6D1CBE49"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2BCD92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02F7011D" w14:textId="77777777" w:rsidTr="00DB5BE8">
        <w:tc>
          <w:tcPr>
            <w:tcW w:w="2660" w:type="dxa"/>
          </w:tcPr>
          <w:p w14:paraId="08BA7652"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7459EC1F" w14:textId="77777777" w:rsidR="0074539F" w:rsidRPr="00CE3194" w:rsidRDefault="0074539F" w:rsidP="00DB5BE8">
            <w:pPr>
              <w:jc w:val="both"/>
              <w:rPr>
                <w:rFonts w:ascii="Arial" w:hAnsi="Arial" w:cs="Arial"/>
                <w:i/>
                <w:sz w:val="20"/>
                <w:szCs w:val="20"/>
                <w:highlight w:val="lightGray"/>
              </w:rPr>
            </w:pPr>
          </w:p>
        </w:tc>
        <w:tc>
          <w:tcPr>
            <w:tcW w:w="6520" w:type="dxa"/>
          </w:tcPr>
          <w:p w14:paraId="38C45447" w14:textId="60FD497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5EE1FABD" w14:textId="076F313D"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1E5D016C" w14:textId="4FC0ABA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10C6120"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DB5BE8" w14:paraId="71810612" w14:textId="77777777" w:rsidTr="00DB5BE8">
        <w:tc>
          <w:tcPr>
            <w:tcW w:w="2660" w:type="dxa"/>
          </w:tcPr>
          <w:p w14:paraId="58F26C02" w14:textId="77777777" w:rsidR="00DB5BE8" w:rsidRDefault="00DB5BE8"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7266497"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6EDD9DC"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DCBA111"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7EEE256" w14:textId="77777777" w:rsidR="00DB5BE8" w:rsidRPr="00CE3194" w:rsidRDefault="00DB5BE8"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565D196" w14:textId="77777777" w:rsidR="00DB5BE8" w:rsidRPr="005B66F8" w:rsidRDefault="00DB5BE8"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226E034B" w14:textId="130ACB00"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EA5362" w:rsidRPr="00055C14">
              <w:rPr>
                <w:rFonts w:cs="Arial"/>
                <w:i/>
                <w:szCs w:val="20"/>
                <w:highlight w:val="lightGray"/>
              </w:rPr>
              <w:t>Bank</w:t>
            </w:r>
            <w:r w:rsidR="00EA5362">
              <w:rPr>
                <w:rFonts w:cs="Arial"/>
                <w:i/>
                <w:szCs w:val="20"/>
                <w:highlight w:val="lightGray"/>
              </w:rPr>
              <w:t>/Wertpapierfirma bzw. der Gruppe</w:t>
            </w:r>
            <w:r w:rsidR="00EA5362" w:rsidRPr="00055C14">
              <w:rPr>
                <w:rFonts w:cs="Arial"/>
                <w:i/>
                <w:szCs w:val="20"/>
                <w:highlight w:val="lightGray"/>
              </w:rPr>
              <w:t xml:space="preserve"> </w:t>
            </w:r>
            <w:r w:rsidRPr="00055C14">
              <w:rPr>
                <w:rFonts w:cs="Arial"/>
                <w:i/>
                <w:szCs w:val="20"/>
                <w:highlight w:val="lightGray"/>
              </w:rPr>
              <w:t>mit ein</w:t>
            </w:r>
          </w:p>
        </w:tc>
      </w:tr>
    </w:tbl>
    <w:p w14:paraId="7DD2D8B8" w14:textId="77777777" w:rsidR="00DB5BE8" w:rsidRDefault="00DB5BE8" w:rsidP="00CB3EE6">
      <w:pPr>
        <w:jc w:val="both"/>
        <w:rPr>
          <w:rFonts w:cs="Arial"/>
          <w:szCs w:val="20"/>
        </w:rPr>
      </w:pPr>
    </w:p>
    <w:p w14:paraId="1CD11889"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1CA705D4" w14:textId="77777777" w:rsidR="00E70DF4" w:rsidRDefault="00E70DF4" w:rsidP="00CB3EE6">
      <w:pPr>
        <w:jc w:val="both"/>
        <w:rPr>
          <w:rFonts w:cs="Arial"/>
          <w:szCs w:val="20"/>
        </w:rPr>
      </w:pPr>
    </w:p>
    <w:p w14:paraId="4E97697C" w14:textId="77777777" w:rsidR="00DB5BE8" w:rsidRPr="006730AC" w:rsidRDefault="00DB5BE8" w:rsidP="00CB3EE6">
      <w:pPr>
        <w:jc w:val="both"/>
        <w:rPr>
          <w:rFonts w:cs="Arial"/>
          <w:szCs w:val="20"/>
        </w:rPr>
      </w:pPr>
    </w:p>
    <w:p w14:paraId="21B6A13A" w14:textId="477CF88F" w:rsidR="008C30D1" w:rsidRPr="006730AC" w:rsidRDefault="008C30D1" w:rsidP="006F7AB5">
      <w:pPr>
        <w:pStyle w:val="FINMAGliederungEbene3"/>
      </w:pPr>
      <w:bookmarkStart w:id="45" w:name="_Toc147849900"/>
      <w:r>
        <w:t>Operationelle Risiken</w:t>
      </w:r>
      <w:r w:rsidR="00757204">
        <w:t xml:space="preserve"> im Zusammenhang mit</w:t>
      </w:r>
      <w:r>
        <w:t xml:space="preserve"> Cyberrisiken und neue Technologien</w:t>
      </w:r>
      <w:r w:rsidR="00543DCA">
        <w:t xml:space="preserve"> (GR-2</w:t>
      </w:r>
      <w:r w:rsidR="00DB5BE8">
        <w:t>6</w:t>
      </w:r>
      <w:r w:rsidR="00543DCA">
        <w:t>)</w:t>
      </w:r>
      <w:bookmarkEnd w:id="45"/>
    </w:p>
    <w:p w14:paraId="7653E61D"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14A8818C" w14:textId="77777777" w:rsidTr="0036650A">
        <w:trPr>
          <w:trHeight w:val="563"/>
        </w:trPr>
        <w:tc>
          <w:tcPr>
            <w:tcW w:w="1932" w:type="dxa"/>
          </w:tcPr>
          <w:p w14:paraId="0BAFE1A5"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5703B33"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D9BFF92"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16B8FA6" w14:textId="77777777" w:rsidTr="0036650A">
        <w:trPr>
          <w:trHeight w:val="698"/>
        </w:trPr>
        <w:tc>
          <w:tcPr>
            <w:tcW w:w="1932" w:type="dxa"/>
          </w:tcPr>
          <w:p w14:paraId="1F7E94EE" w14:textId="7D5577C9"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5624235C"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36D6367"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68B3E3C"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6DF5924"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2BBAA98" w14:textId="77777777" w:rsidTr="0036650A">
        <w:trPr>
          <w:trHeight w:val="636"/>
        </w:trPr>
        <w:tc>
          <w:tcPr>
            <w:tcW w:w="9180" w:type="dxa"/>
            <w:gridSpan w:val="4"/>
          </w:tcPr>
          <w:p w14:paraId="0672976B" w14:textId="77777777" w:rsidR="00295664" w:rsidRDefault="00295664" w:rsidP="0036650A">
            <w:pPr>
              <w:jc w:val="both"/>
              <w:rPr>
                <w:rFonts w:ascii="Arial" w:hAnsi="Arial" w:cs="Arial"/>
                <w:sz w:val="18"/>
                <w:szCs w:val="18"/>
              </w:rPr>
            </w:pPr>
          </w:p>
          <w:p w14:paraId="75279B9D" w14:textId="77777777"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0B89DBA3" w14:textId="1E71E055" w:rsidR="00295664" w:rsidRPr="009872F3" w:rsidRDefault="00295664" w:rsidP="0036650A">
            <w:pPr>
              <w:jc w:val="both"/>
              <w:rPr>
                <w:rFonts w:ascii="Arial" w:hAnsi="Arial" w:cs="Arial"/>
                <w:sz w:val="18"/>
                <w:szCs w:val="18"/>
              </w:rPr>
            </w:pPr>
            <w:r w:rsidRPr="00CB3EE6">
              <w:rPr>
                <w:rFonts w:ascii="Arial" w:hAnsi="Arial" w:cs="Arial"/>
                <w:sz w:val="18"/>
                <w:szCs w:val="18"/>
                <w:highlight w:val="yellow"/>
              </w:rPr>
              <w:t>Art. 7a BankG; Art. 21o BankV; FMA-Mitteilung 2017/4 (inkl. regulatorische Grundlagen im Anhang)</w:t>
            </w:r>
            <w:r w:rsidR="00736AED">
              <w:rPr>
                <w:rFonts w:ascii="Arial" w:hAnsi="Arial" w:cs="Arial"/>
                <w:sz w:val="18"/>
                <w:szCs w:val="18"/>
              </w:rPr>
              <w:t xml:space="preserve">, </w:t>
            </w:r>
            <w:r w:rsidR="00736AED" w:rsidRPr="00494050">
              <w:rPr>
                <w:rFonts w:ascii="Arial" w:hAnsi="Arial" w:cs="Arial"/>
                <w:sz w:val="18"/>
                <w:szCs w:val="18"/>
                <w:highlight w:val="yellow"/>
              </w:rPr>
              <w:t>FMA-Mitteilung 2018/3</w:t>
            </w:r>
            <w:r w:rsidR="00C328F4">
              <w:rPr>
                <w:rFonts w:ascii="Arial" w:hAnsi="Arial" w:cs="Arial"/>
                <w:sz w:val="18"/>
                <w:szCs w:val="18"/>
                <w:highlight w:val="yellow"/>
              </w:rPr>
              <w:t>, EBA/GL/2019/04</w:t>
            </w:r>
          </w:p>
        </w:tc>
      </w:tr>
      <w:tr w:rsidR="00295664" w:rsidRPr="009872F3" w14:paraId="0B420B49" w14:textId="77777777" w:rsidTr="0036650A">
        <w:trPr>
          <w:trHeight w:val="294"/>
        </w:trPr>
        <w:tc>
          <w:tcPr>
            <w:tcW w:w="9180" w:type="dxa"/>
            <w:gridSpan w:val="4"/>
          </w:tcPr>
          <w:p w14:paraId="348C73C5" w14:textId="77777777" w:rsidR="00295664" w:rsidRPr="009872F3" w:rsidRDefault="00295664" w:rsidP="0036650A">
            <w:pPr>
              <w:jc w:val="both"/>
              <w:rPr>
                <w:rFonts w:ascii="Arial" w:hAnsi="Arial" w:cs="Arial"/>
                <w:sz w:val="18"/>
                <w:szCs w:val="18"/>
              </w:rPr>
            </w:pPr>
          </w:p>
        </w:tc>
      </w:tr>
      <w:tr w:rsidR="00295664" w:rsidRPr="009872F3" w14:paraId="1A47D24F" w14:textId="77777777" w:rsidTr="0036650A">
        <w:tc>
          <w:tcPr>
            <w:tcW w:w="5798" w:type="dxa"/>
            <w:gridSpan w:val="3"/>
          </w:tcPr>
          <w:p w14:paraId="7FB7A444" w14:textId="6AFA4E9B"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Cyberrisiken und neuen Technologien </w:t>
            </w:r>
            <w:r w:rsidRPr="00C1307E">
              <w:rPr>
                <w:rFonts w:ascii="Arial" w:hAnsi="Arial" w:cs="Arial"/>
                <w:sz w:val="18"/>
                <w:szCs w:val="18"/>
              </w:rPr>
              <w:t>angemessen ausgestaltet ist.</w:t>
            </w:r>
          </w:p>
        </w:tc>
        <w:tc>
          <w:tcPr>
            <w:tcW w:w="3382" w:type="dxa"/>
          </w:tcPr>
          <w:p w14:paraId="4325C01C"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5079E0B1" w14:textId="77777777" w:rsidTr="0036650A">
        <w:tc>
          <w:tcPr>
            <w:tcW w:w="5798" w:type="dxa"/>
            <w:gridSpan w:val="3"/>
          </w:tcPr>
          <w:p w14:paraId="505BD5E6" w14:textId="1FA683C7"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757204">
              <w:rPr>
                <w:rFonts w:ascii="Arial" w:hAnsi="Arial" w:cs="Arial"/>
                <w:sz w:val="18"/>
                <w:szCs w:val="18"/>
              </w:rPr>
              <w:t>o</w:t>
            </w:r>
            <w:r>
              <w:rPr>
                <w:rFonts w:ascii="Arial" w:hAnsi="Arial" w:cs="Arial"/>
                <w:sz w:val="18"/>
                <w:szCs w:val="18"/>
              </w:rPr>
              <w:t xml:space="preserve">perationellen Risiken im Zusammenhang mit Cyberrisiken und neuen </w:t>
            </w:r>
            <w:r>
              <w:rPr>
                <w:rFonts w:ascii="Arial" w:hAnsi="Arial" w:cs="Arial"/>
                <w:sz w:val="18"/>
                <w:szCs w:val="18"/>
              </w:rPr>
              <w:lastRenderedPageBreak/>
              <w:t>Technologien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6E29B10B"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56F671A9" w14:textId="77777777" w:rsidTr="0036650A">
        <w:tc>
          <w:tcPr>
            <w:tcW w:w="5798" w:type="dxa"/>
            <w:gridSpan w:val="3"/>
          </w:tcPr>
          <w:p w14:paraId="6EADBD24" w14:textId="52E14CBC" w:rsidR="00295664" w:rsidRPr="00C1307E" w:rsidRDefault="00295664" w:rsidP="006730AC">
            <w:pPr>
              <w:jc w:val="both"/>
              <w:rPr>
                <w:rFonts w:ascii="Arial" w:hAnsi="Arial" w:cs="Arial"/>
                <w:sz w:val="18"/>
                <w:szCs w:val="18"/>
              </w:rPr>
            </w:pPr>
            <w:bookmarkStart w:id="46" w:name="_Hlk55468178"/>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Cyberrisiken und neuen Technologien</w:t>
            </w:r>
            <w:r w:rsidRPr="00C1307E">
              <w:rPr>
                <w:rFonts w:ascii="Arial" w:hAnsi="Arial" w:cs="Arial"/>
                <w:sz w:val="18"/>
                <w:szCs w:val="18"/>
              </w:rPr>
              <w:t xml:space="preserve"> angemessen sind</w:t>
            </w:r>
            <w:bookmarkEnd w:id="46"/>
            <w:r w:rsidRPr="00C1307E">
              <w:rPr>
                <w:rFonts w:ascii="Arial" w:hAnsi="Arial" w:cs="Arial"/>
                <w:sz w:val="18"/>
                <w:szCs w:val="18"/>
              </w:rPr>
              <w:t xml:space="preserve">. </w:t>
            </w:r>
            <w:r w:rsidR="003D3ED8">
              <w:rPr>
                <w:rFonts w:ascii="Arial" w:hAnsi="Arial" w:cs="Arial"/>
                <w:sz w:val="18"/>
                <w:szCs w:val="18"/>
              </w:rPr>
              <w:t>*</w:t>
            </w:r>
          </w:p>
        </w:tc>
        <w:tc>
          <w:tcPr>
            <w:tcW w:w="3382" w:type="dxa"/>
          </w:tcPr>
          <w:p w14:paraId="1A3DFBED" w14:textId="2C67E42E"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(Kritische Beurteilung) / Nein</w:t>
            </w:r>
          </w:p>
        </w:tc>
      </w:tr>
      <w:tr w:rsidR="004E4AAF" w:rsidRPr="009872F3" w14:paraId="15A73CE4" w14:textId="77777777" w:rsidTr="0036650A">
        <w:tc>
          <w:tcPr>
            <w:tcW w:w="5798" w:type="dxa"/>
            <w:gridSpan w:val="3"/>
          </w:tcPr>
          <w:p w14:paraId="4708AEBD" w14:textId="7BADBF74" w:rsidR="004E4AAF" w:rsidRPr="00C1307E" w:rsidRDefault="004E4AAF" w:rsidP="004E4AAF">
            <w:pPr>
              <w:jc w:val="both"/>
              <w:rPr>
                <w:rFonts w:ascii="Arial" w:hAnsi="Arial" w:cs="Arial"/>
                <w:sz w:val="18"/>
                <w:szCs w:val="18"/>
              </w:rPr>
            </w:pPr>
            <w:r w:rsidRPr="006634A7">
              <w:rPr>
                <w:rFonts w:ascii="Arial" w:hAnsi="Arial" w:cs="Arial"/>
                <w:sz w:val="18"/>
                <w:szCs w:val="18"/>
              </w:rPr>
              <w:t>Bestätigung, dass die internen Verfahren sicherstellen, dass die institutsspezifischen Bedrohungspotenziale durch Cyber-Attacken, insbesondere in Bezug auf kritische und/oder sensitive Daten und IT-Systeme angemessen identifiziert werden.</w:t>
            </w:r>
            <w:r w:rsidR="003D3ED8">
              <w:rPr>
                <w:rFonts w:ascii="Arial" w:hAnsi="Arial" w:cs="Arial"/>
                <w:sz w:val="18"/>
                <w:szCs w:val="18"/>
              </w:rPr>
              <w:t xml:space="preserve"> </w:t>
            </w:r>
          </w:p>
        </w:tc>
        <w:tc>
          <w:tcPr>
            <w:tcW w:w="3382" w:type="dxa"/>
          </w:tcPr>
          <w:p w14:paraId="332460ED" w14:textId="040FF056"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0DEDBF4B" w14:textId="77777777" w:rsidTr="0036650A">
        <w:tc>
          <w:tcPr>
            <w:tcW w:w="5798" w:type="dxa"/>
            <w:gridSpan w:val="3"/>
          </w:tcPr>
          <w:p w14:paraId="786D3837" w14:textId="244E1C64"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die Vertraulichkeit, Integrität und Verfügbarkeit von kritischen und/oder sensitiven Daten und IT-Systemen durch angemes</w:t>
            </w:r>
            <w:r w:rsidRPr="004E4AAF">
              <w:rPr>
                <w:rFonts w:ascii="Arial" w:hAnsi="Arial" w:cs="Arial"/>
                <w:sz w:val="18"/>
                <w:szCs w:val="18"/>
              </w:rPr>
              <w:t xml:space="preserve">sene Massnahmen geschützt sind </w:t>
            </w:r>
          </w:p>
        </w:tc>
        <w:tc>
          <w:tcPr>
            <w:tcW w:w="3382" w:type="dxa"/>
          </w:tcPr>
          <w:p w14:paraId="1112810E" w14:textId="77659F37"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39578D2E" w14:textId="77777777" w:rsidTr="0036650A">
        <w:tc>
          <w:tcPr>
            <w:tcW w:w="5798" w:type="dxa"/>
            <w:gridSpan w:val="3"/>
          </w:tcPr>
          <w:p w14:paraId="76F5B27B" w14:textId="4FCE628C"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Cyperattacken durch eine systematische Überwachung der Technologieinfrastruktur zeitnah e</w:t>
            </w:r>
            <w:r w:rsidRPr="004E4AAF">
              <w:rPr>
                <w:rFonts w:ascii="Arial" w:hAnsi="Arial" w:cs="Arial"/>
                <w:sz w:val="18"/>
                <w:szCs w:val="18"/>
              </w:rPr>
              <w:t>rkannt und aufgezeichnet werden</w:t>
            </w:r>
            <w:r w:rsidR="003D3ED8">
              <w:rPr>
                <w:rFonts w:ascii="Arial" w:hAnsi="Arial" w:cs="Arial"/>
                <w:sz w:val="18"/>
                <w:szCs w:val="18"/>
              </w:rPr>
              <w:t>. *</w:t>
            </w:r>
          </w:p>
        </w:tc>
        <w:tc>
          <w:tcPr>
            <w:tcW w:w="3382" w:type="dxa"/>
          </w:tcPr>
          <w:p w14:paraId="4ACD197C" w14:textId="0B70C805"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(Kritische Beurteilung) / Nein</w:t>
            </w:r>
          </w:p>
        </w:tc>
      </w:tr>
      <w:tr w:rsidR="004E4AAF" w:rsidRPr="009872F3" w14:paraId="4B0891BE" w14:textId="77777777" w:rsidTr="0036650A">
        <w:tc>
          <w:tcPr>
            <w:tcW w:w="5798" w:type="dxa"/>
            <w:gridSpan w:val="3"/>
          </w:tcPr>
          <w:p w14:paraId="54100D28" w14:textId="581DDB0C" w:rsidR="004E4AAF" w:rsidRPr="006634A7" w:rsidRDefault="004E4AAF" w:rsidP="006730AC">
            <w:pPr>
              <w:jc w:val="both"/>
              <w:rPr>
                <w:rFonts w:cs="Arial"/>
                <w:i/>
                <w:szCs w:val="20"/>
                <w:highlight w:val="lightGray"/>
              </w:rPr>
            </w:pPr>
            <w:r w:rsidRPr="006634A7">
              <w:rPr>
                <w:rFonts w:ascii="Arial" w:hAnsi="Arial" w:cs="Arial"/>
                <w:sz w:val="18"/>
                <w:szCs w:val="18"/>
              </w:rPr>
              <w:t>Bestätigung, dass die internen Verfahren sicherstellen, dass angemessene, zeitnahe Massnahmen als Reaktion auf Cyber-Attacken zur Aufrechterhaltung des normalen Geschäftsbetriebs in Abstimmung mit dem Business Continuity Management durchgeführt werden</w:t>
            </w:r>
          </w:p>
        </w:tc>
        <w:tc>
          <w:tcPr>
            <w:tcW w:w="3382" w:type="dxa"/>
          </w:tcPr>
          <w:p w14:paraId="06D596D8" w14:textId="472677BF"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E4AAF" w:rsidRPr="009872F3" w14:paraId="3119D183" w14:textId="77777777" w:rsidTr="0036650A">
        <w:tc>
          <w:tcPr>
            <w:tcW w:w="5798" w:type="dxa"/>
            <w:gridSpan w:val="3"/>
          </w:tcPr>
          <w:p w14:paraId="3704236F" w14:textId="757653F9" w:rsidR="004E4AAF" w:rsidRPr="00C1307E" w:rsidRDefault="004E4AAF" w:rsidP="006730AC">
            <w:pPr>
              <w:jc w:val="both"/>
              <w:rPr>
                <w:rFonts w:ascii="Arial" w:hAnsi="Arial" w:cs="Arial"/>
                <w:sz w:val="18"/>
                <w:szCs w:val="18"/>
              </w:rPr>
            </w:pPr>
            <w:r w:rsidRPr="006634A7">
              <w:rPr>
                <w:rFonts w:ascii="Arial" w:hAnsi="Arial" w:cs="Arial"/>
                <w:sz w:val="18"/>
                <w:szCs w:val="18"/>
              </w:rPr>
              <w:t>Bestätigung, dass die internen Verfahren sicherstellen, dass die zeitnahe Wiederherstellung des normalen Geschäftsbetriebs nach Cyber-Attacken ge</w:t>
            </w:r>
            <w:r w:rsidRPr="004E4AAF">
              <w:rPr>
                <w:rFonts w:ascii="Arial" w:hAnsi="Arial" w:cs="Arial"/>
                <w:sz w:val="18"/>
                <w:szCs w:val="18"/>
              </w:rPr>
              <w:t>währleistet ist.</w:t>
            </w:r>
            <w:r w:rsidR="003D3ED8">
              <w:rPr>
                <w:rFonts w:ascii="Arial" w:hAnsi="Arial" w:cs="Arial"/>
                <w:sz w:val="18"/>
                <w:szCs w:val="18"/>
              </w:rPr>
              <w:t xml:space="preserve"> *</w:t>
            </w:r>
          </w:p>
        </w:tc>
        <w:tc>
          <w:tcPr>
            <w:tcW w:w="3382" w:type="dxa"/>
          </w:tcPr>
          <w:p w14:paraId="34D02B4C" w14:textId="668F4EEA"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(Kritische Beurteilung) / Nein</w:t>
            </w:r>
          </w:p>
        </w:tc>
      </w:tr>
      <w:tr w:rsidR="004E4AAF" w:rsidRPr="009872F3" w14:paraId="7D411EDC" w14:textId="77777777" w:rsidTr="0036650A">
        <w:tc>
          <w:tcPr>
            <w:tcW w:w="5798" w:type="dxa"/>
            <w:gridSpan w:val="3"/>
          </w:tcPr>
          <w:p w14:paraId="6EC409E9" w14:textId="22D35515" w:rsidR="004E4AAF" w:rsidRPr="006634A7" w:rsidRDefault="004E4AAF" w:rsidP="004E4AAF">
            <w:pPr>
              <w:jc w:val="both"/>
              <w:rPr>
                <w:rFonts w:ascii="Arial" w:hAnsi="Arial" w:cs="Arial"/>
                <w:i/>
                <w:sz w:val="20"/>
                <w:szCs w:val="20"/>
                <w:highlight w:val="lightGray"/>
              </w:rPr>
            </w:pPr>
            <w:r w:rsidRPr="006634A7">
              <w:rPr>
                <w:rFonts w:ascii="Arial" w:hAnsi="Arial" w:cs="Arial"/>
                <w:sz w:val="18"/>
                <w:szCs w:val="18"/>
              </w:rPr>
              <w:t xml:space="preserve">Bestätigung, dass die internen Verfahren gewährleisten, dass die FMA innert </w:t>
            </w:r>
            <w:r w:rsidR="00CD2E67">
              <w:rPr>
                <w:rFonts w:ascii="Arial" w:hAnsi="Arial" w:cs="Arial"/>
                <w:sz w:val="18"/>
                <w:szCs w:val="18"/>
              </w:rPr>
              <w:t>7</w:t>
            </w:r>
            <w:r w:rsidRPr="006634A7">
              <w:rPr>
                <w:rFonts w:ascii="Arial" w:hAnsi="Arial" w:cs="Arial"/>
                <w:sz w:val="18"/>
                <w:szCs w:val="18"/>
              </w:rPr>
              <w:t xml:space="preserve"> Tagen ab Kenntniserlangung über schwerwiegende oder betriebsstörende Cyber-Attacken informiert wird.</w:t>
            </w:r>
          </w:p>
        </w:tc>
        <w:tc>
          <w:tcPr>
            <w:tcW w:w="3382" w:type="dxa"/>
          </w:tcPr>
          <w:p w14:paraId="71BD10F9" w14:textId="3C19C007" w:rsidR="004E4AAF" w:rsidRPr="00E109DF" w:rsidRDefault="004E4AAF" w:rsidP="0036650A">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E9E7364" w14:textId="77777777" w:rsidR="003D3ED8" w:rsidRDefault="003D3ED8" w:rsidP="00295664">
      <w:pPr>
        <w:jc w:val="both"/>
        <w:rPr>
          <w:rFonts w:ascii="Arial" w:hAnsi="Arial" w:cs="Arial"/>
          <w:i/>
          <w:sz w:val="16"/>
          <w:szCs w:val="16"/>
          <w:highlight w:val="lightGray"/>
        </w:rPr>
      </w:pPr>
    </w:p>
    <w:p w14:paraId="477353EF" w14:textId="0E60F249" w:rsidR="00295664" w:rsidRPr="00B037A6" w:rsidRDefault="003D3ED8" w:rsidP="00295664">
      <w:pPr>
        <w:jc w:val="both"/>
        <w:rPr>
          <w:rFonts w:ascii="Arial" w:hAnsi="Arial" w:cs="Arial"/>
          <w:i/>
          <w:sz w:val="16"/>
          <w:szCs w:val="16"/>
        </w:rPr>
      </w:pPr>
      <w:r w:rsidRPr="00B037A6">
        <w:rPr>
          <w:rFonts w:ascii="Arial" w:hAnsi="Arial" w:cs="Arial"/>
          <w:i/>
          <w:sz w:val="16"/>
          <w:szCs w:val="16"/>
        </w:rPr>
        <w:t>*gekennzeichnete Bestätigungen sind mit eingeschränkter Prüfsicherheit (</w:t>
      </w:r>
      <w:r>
        <w:rPr>
          <w:rFonts w:ascii="Arial" w:hAnsi="Arial" w:cs="Arial"/>
          <w:i/>
          <w:sz w:val="16"/>
          <w:szCs w:val="16"/>
        </w:rPr>
        <w:t>«</w:t>
      </w:r>
      <w:r w:rsidRPr="00B037A6">
        <w:rPr>
          <w:rFonts w:ascii="Arial" w:hAnsi="Arial" w:cs="Arial"/>
          <w:i/>
          <w:sz w:val="16"/>
          <w:szCs w:val="16"/>
        </w:rPr>
        <w:t>Kritische Beurteilung</w:t>
      </w:r>
      <w:r>
        <w:rPr>
          <w:rFonts w:ascii="Arial" w:hAnsi="Arial" w:cs="Arial"/>
          <w:i/>
          <w:sz w:val="16"/>
          <w:szCs w:val="16"/>
        </w:rPr>
        <w:t>»</w:t>
      </w:r>
      <w:r w:rsidRPr="00B037A6">
        <w:rPr>
          <w:rFonts w:ascii="Arial" w:hAnsi="Arial" w:cs="Arial"/>
          <w:i/>
          <w:sz w:val="16"/>
          <w:szCs w:val="16"/>
        </w:rPr>
        <w:t>) zu bestätigen</w:t>
      </w:r>
      <w:r>
        <w:rPr>
          <w:rFonts w:ascii="Arial" w:hAnsi="Arial" w:cs="Arial"/>
          <w:i/>
          <w:sz w:val="16"/>
          <w:szCs w:val="16"/>
        </w:rPr>
        <w:t>, unabhängig der Prüftiefe «Detailprüfung» gemäss Risikoanalyse</w:t>
      </w:r>
    </w:p>
    <w:p w14:paraId="73876214" w14:textId="77777777" w:rsidR="003D3ED8" w:rsidRPr="00CE3194" w:rsidRDefault="003D3ED8"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7B9FB451" w14:textId="77777777" w:rsidTr="0036650A">
        <w:tc>
          <w:tcPr>
            <w:tcW w:w="2660" w:type="dxa"/>
          </w:tcPr>
          <w:p w14:paraId="2E67D51D"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067727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4D7F7B52" w14:textId="77777777" w:rsidTr="0036650A">
        <w:tc>
          <w:tcPr>
            <w:tcW w:w="2660" w:type="dxa"/>
          </w:tcPr>
          <w:p w14:paraId="38D58D40"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398939C" w14:textId="77777777" w:rsidR="00D8345E" w:rsidRDefault="00D8345E" w:rsidP="00D8345E">
            <w:pPr>
              <w:jc w:val="both"/>
              <w:rPr>
                <w:rFonts w:ascii="Arial" w:hAnsi="Arial" w:cs="Arial"/>
                <w:i/>
                <w:sz w:val="20"/>
                <w:szCs w:val="20"/>
                <w:highlight w:val="lightGray"/>
              </w:rPr>
            </w:pPr>
          </w:p>
          <w:p w14:paraId="3F63ACD3"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6DE9FCE1"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49748F6"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AD6DDB4" w14:textId="2D8706BB"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20044884"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F5EA8D2"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31F4E40" w14:textId="77777777" w:rsidTr="0036650A">
        <w:tc>
          <w:tcPr>
            <w:tcW w:w="2660" w:type="dxa"/>
          </w:tcPr>
          <w:p w14:paraId="2EAADC5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BD4EB58" w14:textId="77777777" w:rsidR="0074539F" w:rsidRPr="00CE3194" w:rsidRDefault="0074539F" w:rsidP="0036650A">
            <w:pPr>
              <w:jc w:val="both"/>
              <w:rPr>
                <w:rFonts w:ascii="Arial" w:hAnsi="Arial" w:cs="Arial"/>
                <w:i/>
                <w:sz w:val="20"/>
                <w:szCs w:val="20"/>
                <w:highlight w:val="lightGray"/>
              </w:rPr>
            </w:pPr>
          </w:p>
        </w:tc>
        <w:tc>
          <w:tcPr>
            <w:tcW w:w="6520" w:type="dxa"/>
          </w:tcPr>
          <w:p w14:paraId="62559012" w14:textId="4FDEC03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0784DB2F" w14:textId="301A0994"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ED948FC" w14:textId="71EE3DD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40D193C9"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4CB43FE4" w14:textId="77777777" w:rsidTr="0036650A">
        <w:tc>
          <w:tcPr>
            <w:tcW w:w="2660" w:type="dxa"/>
          </w:tcPr>
          <w:p w14:paraId="2309CAFD"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9BD084D"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3F45B3E"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005D6199"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975D8AA"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180B4B8" w14:textId="77777777" w:rsidR="00295664" w:rsidRPr="005B66F8" w:rsidRDefault="00295664" w:rsidP="0036650A">
            <w:pPr>
              <w:pStyle w:val="Listenabsatz"/>
              <w:numPr>
                <w:ilvl w:val="1"/>
                <w:numId w:val="17"/>
              </w:numPr>
              <w:ind w:left="317" w:hanging="283"/>
              <w:jc w:val="both"/>
              <w:rPr>
                <w:rFonts w:cs="Arial"/>
                <w:i/>
                <w:szCs w:val="20"/>
              </w:rPr>
            </w:pPr>
            <w:r w:rsidRPr="00CE3194">
              <w:rPr>
                <w:rFonts w:cs="Arial"/>
                <w:i/>
                <w:szCs w:val="20"/>
                <w:highlight w:val="lightGray"/>
              </w:rPr>
              <w:lastRenderedPageBreak/>
              <w:t>Das Limitwesen ist konsistent mit den Indikatoren der Sanierungsplanung</w:t>
            </w:r>
          </w:p>
          <w:p w14:paraId="5905C06F" w14:textId="01A1C85F"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Bank mit ein</w:t>
            </w:r>
          </w:p>
        </w:tc>
      </w:tr>
      <w:tr w:rsidR="00937E8A" w14:paraId="3C2DD782" w14:textId="77777777" w:rsidTr="0036650A">
        <w:tc>
          <w:tcPr>
            <w:tcW w:w="2660" w:type="dxa"/>
          </w:tcPr>
          <w:p w14:paraId="79125B11" w14:textId="3BAEC4AE" w:rsidR="00937E8A" w:rsidRPr="00CE3194" w:rsidRDefault="004E4AAF" w:rsidP="0036650A">
            <w:pPr>
              <w:jc w:val="both"/>
              <w:rPr>
                <w:rFonts w:ascii="Arial" w:hAnsi="Arial" w:cs="Arial"/>
                <w:i/>
                <w:sz w:val="20"/>
                <w:szCs w:val="20"/>
                <w:highlight w:val="lightGray"/>
              </w:rPr>
            </w:pPr>
            <w:r>
              <w:rPr>
                <w:rFonts w:ascii="Arial" w:hAnsi="Arial" w:cs="Arial"/>
                <w:i/>
                <w:sz w:val="20"/>
                <w:szCs w:val="20"/>
                <w:highlight w:val="lightGray"/>
              </w:rPr>
              <w:lastRenderedPageBreak/>
              <w:t>Cyberrisiken</w:t>
            </w:r>
          </w:p>
        </w:tc>
        <w:tc>
          <w:tcPr>
            <w:tcW w:w="6520" w:type="dxa"/>
          </w:tcPr>
          <w:p w14:paraId="0AA87E46" w14:textId="1063E7DC"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institutsspezifischen Bedrohungspotenziale durch Cyber-Attacken, insbesondere in Bezug auf kritische und/oder sensitive Daten und IT-Systeme angemessen identifiziert werden (</w:t>
            </w:r>
            <w:r w:rsidR="00B8202D">
              <w:rPr>
                <w:rFonts w:cs="Arial"/>
                <w:i/>
                <w:szCs w:val="20"/>
                <w:highlight w:val="lightGray"/>
              </w:rPr>
              <w:t xml:space="preserve">u.a. durch den Betrieb eines Security Operation Center (SOC) resp. die Zusammenarbeit mit einem externen SOC, </w:t>
            </w:r>
            <w:r>
              <w:rPr>
                <w:rFonts w:cs="Arial"/>
                <w:i/>
                <w:szCs w:val="20"/>
                <w:highlight w:val="lightGray"/>
              </w:rPr>
              <w:t>durch die Durchführung von regelmässigen Verwundbarkeitsanalysen und Penetration Testings zur Überprüfung von Sicherheitslücken und zum Schutz kritischer und/oder sensitiver Daten und IT-Systeme</w:t>
            </w:r>
            <w:r w:rsidR="00B8202D">
              <w:rPr>
                <w:rFonts w:cs="Arial"/>
                <w:i/>
                <w:szCs w:val="20"/>
                <w:highlight w:val="lightGray"/>
              </w:rPr>
              <w:t>)</w:t>
            </w:r>
          </w:p>
          <w:p w14:paraId="7D00F5DA" w14:textId="77777777" w:rsidR="004E4AAF" w:rsidRPr="00D85217"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der Schutz der Geschäftsprozesse und der Technologieinfrastruktur vor Cyber-Attacken, insbesondere im Hinblick auf die Vertraulichkeit, Integrität und Verfügbarkeit der kritischen und/oder sensitiven Daten und IT-System gewährleistet ist </w:t>
            </w:r>
          </w:p>
          <w:p w14:paraId="28E4B5C4" w14:textId="77777777"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Cyperattacken durch eine systematische Überwachung der Technologieinfrastruktur zeitnah erkannt und aufgezeichnet werden </w:t>
            </w:r>
          </w:p>
          <w:p w14:paraId="691DE68F" w14:textId="77777777"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gezielte, zeitnahe Massnahmen als Reaktion auf Cyber-Attacken, insb. bei wesentlichen Cyberattacken zur Aufrechterhaltung des normalen Geschäftsbetriebs in Abstimmung mit dem Business Continuity Management, durchgeführt werden.</w:t>
            </w:r>
          </w:p>
          <w:p w14:paraId="3B22EB4B" w14:textId="77777777" w:rsidR="004E4AAF"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zeitnahe Wiederherstellung des normalen Geschäftsbetriebs nach Cyber-Attacken durch geeignete Massnahmen gewährleistet ist.</w:t>
            </w:r>
          </w:p>
          <w:p w14:paraId="503C8101" w14:textId="63C2A382" w:rsidR="00937E8A" w:rsidRPr="00CE3194" w:rsidRDefault="004E4AAF" w:rsidP="004E4AAF">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die FMA innert </w:t>
            </w:r>
            <w:r w:rsidR="003869D8">
              <w:rPr>
                <w:rFonts w:cs="Arial"/>
                <w:i/>
                <w:szCs w:val="20"/>
                <w:highlight w:val="lightGray"/>
              </w:rPr>
              <w:t>7</w:t>
            </w:r>
            <w:r>
              <w:rPr>
                <w:rFonts w:cs="Arial"/>
                <w:i/>
                <w:szCs w:val="20"/>
                <w:highlight w:val="lightGray"/>
              </w:rPr>
              <w:t xml:space="preserve"> Tagen ab Kenntniserlangung über schwerwiegende oder betriebsstörende Cyber-Attacken informiert wird</w:t>
            </w:r>
          </w:p>
        </w:tc>
      </w:tr>
    </w:tbl>
    <w:p w14:paraId="44D1C904" w14:textId="77777777" w:rsidR="004E4AAF" w:rsidRDefault="004E4AAF" w:rsidP="00CB3EE6">
      <w:pPr>
        <w:jc w:val="both"/>
        <w:rPr>
          <w:rFonts w:cs="Arial"/>
          <w:szCs w:val="20"/>
        </w:rPr>
      </w:pPr>
    </w:p>
    <w:p w14:paraId="335EC645" w14:textId="77777777" w:rsidR="004E4AAF" w:rsidRDefault="004E4AAF" w:rsidP="00CB3EE6">
      <w:pPr>
        <w:jc w:val="both"/>
        <w:rPr>
          <w:rFonts w:cs="Arial"/>
          <w:szCs w:val="20"/>
        </w:rPr>
      </w:pPr>
    </w:p>
    <w:p w14:paraId="434897E1"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F768FB" w14:textId="77777777" w:rsidR="00E70DF4" w:rsidRDefault="00E70DF4" w:rsidP="00CB3EE6">
      <w:pPr>
        <w:jc w:val="both"/>
        <w:rPr>
          <w:rFonts w:cs="Arial"/>
          <w:szCs w:val="20"/>
        </w:rPr>
      </w:pPr>
    </w:p>
    <w:p w14:paraId="788341A4" w14:textId="77777777" w:rsidR="00295664" w:rsidRPr="006730AC" w:rsidRDefault="00295664" w:rsidP="00CB3EE6">
      <w:pPr>
        <w:jc w:val="both"/>
        <w:rPr>
          <w:rFonts w:cs="Arial"/>
          <w:szCs w:val="20"/>
        </w:rPr>
      </w:pPr>
    </w:p>
    <w:p w14:paraId="5E7A3653" w14:textId="77777777" w:rsidR="008C30D1" w:rsidRPr="006730AC" w:rsidRDefault="008C30D1" w:rsidP="006F7AB5">
      <w:pPr>
        <w:pStyle w:val="FINMAGliederungEbene3"/>
      </w:pPr>
      <w:bookmarkStart w:id="47" w:name="_Toc147849901"/>
      <w:r>
        <w:t>Operationelle Risiken: Rechts- und Prozessrisiken inkl. Kundenbeschwerden</w:t>
      </w:r>
      <w:r w:rsidR="00543DCA">
        <w:t xml:space="preserve"> (GR-2</w:t>
      </w:r>
      <w:r w:rsidR="00DB5BE8">
        <w:t>7</w:t>
      </w:r>
      <w:r w:rsidR="00543DCA">
        <w:t>)</w:t>
      </w:r>
      <w:bookmarkEnd w:id="47"/>
    </w:p>
    <w:p w14:paraId="1182F0D6"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95664" w:rsidRPr="009872F3" w14:paraId="746E2C9B" w14:textId="77777777" w:rsidTr="0036650A">
        <w:trPr>
          <w:trHeight w:val="563"/>
        </w:trPr>
        <w:tc>
          <w:tcPr>
            <w:tcW w:w="1932" w:type="dxa"/>
          </w:tcPr>
          <w:p w14:paraId="675DFDAF"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BDA0868"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6812B7E"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95664" w:rsidRPr="009872F3" w14:paraId="3008729D" w14:textId="77777777" w:rsidTr="0036650A">
        <w:trPr>
          <w:trHeight w:val="698"/>
        </w:trPr>
        <w:tc>
          <w:tcPr>
            <w:tcW w:w="1932" w:type="dxa"/>
          </w:tcPr>
          <w:p w14:paraId="41B21A1D" w14:textId="3D07A218"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8A0A246" w14:textId="77777777" w:rsidR="00295664" w:rsidRPr="006749F0" w:rsidRDefault="00295664"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57E4C2A" w14:textId="77777777" w:rsidR="00295664" w:rsidRPr="009872F3" w:rsidRDefault="00295664"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93CE750" w14:textId="77777777" w:rsidR="00295664" w:rsidRDefault="00295664"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82ABE0" w14:textId="77777777" w:rsidR="00295664" w:rsidRPr="006749F0" w:rsidRDefault="00295664" w:rsidP="0036650A">
            <w:pPr>
              <w:jc w:val="both"/>
              <w:rPr>
                <w:rFonts w:ascii="Arial" w:hAnsi="Arial" w:cs="Arial"/>
                <w:i/>
                <w:sz w:val="18"/>
                <w:szCs w:val="18"/>
              </w:rPr>
            </w:pPr>
            <w:r w:rsidRPr="006749F0">
              <w:rPr>
                <w:rFonts w:ascii="Arial" w:hAnsi="Arial" w:cs="Arial"/>
                <w:i/>
                <w:sz w:val="18"/>
                <w:szCs w:val="18"/>
                <w:highlight w:val="yellow"/>
              </w:rPr>
              <w:t>Jahr</w:t>
            </w:r>
          </w:p>
        </w:tc>
      </w:tr>
      <w:tr w:rsidR="00295664" w:rsidRPr="009872F3" w14:paraId="489753A6" w14:textId="77777777" w:rsidTr="0036650A">
        <w:trPr>
          <w:trHeight w:val="636"/>
        </w:trPr>
        <w:tc>
          <w:tcPr>
            <w:tcW w:w="9180" w:type="dxa"/>
            <w:gridSpan w:val="4"/>
          </w:tcPr>
          <w:p w14:paraId="4F21BA64" w14:textId="77777777" w:rsidR="00295664" w:rsidRDefault="00295664" w:rsidP="0036650A">
            <w:pPr>
              <w:jc w:val="both"/>
              <w:rPr>
                <w:rFonts w:ascii="Arial" w:hAnsi="Arial" w:cs="Arial"/>
                <w:sz w:val="18"/>
                <w:szCs w:val="18"/>
              </w:rPr>
            </w:pPr>
          </w:p>
          <w:p w14:paraId="5BF86D00" w14:textId="77777777" w:rsidR="00295664" w:rsidRDefault="00295664"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47A72E9" w14:textId="77777777" w:rsidR="00295664" w:rsidRPr="009872F3" w:rsidRDefault="00295664" w:rsidP="0036650A">
            <w:pPr>
              <w:jc w:val="both"/>
              <w:rPr>
                <w:rFonts w:ascii="Arial" w:hAnsi="Arial" w:cs="Arial"/>
                <w:sz w:val="18"/>
                <w:szCs w:val="18"/>
              </w:rPr>
            </w:pPr>
            <w:r w:rsidRPr="00CB3EE6">
              <w:rPr>
                <w:rFonts w:ascii="Arial" w:hAnsi="Arial" w:cs="Arial"/>
                <w:sz w:val="18"/>
                <w:szCs w:val="18"/>
                <w:highlight w:val="yellow"/>
              </w:rPr>
              <w:t>Art. 7a BankG; Art. 21o BankV; FMA-Mitteilung 2017/4 (inkl. regulatorische Grundlagen im Anhang), FMA-Mitteilung 2015/2</w:t>
            </w:r>
          </w:p>
        </w:tc>
      </w:tr>
      <w:tr w:rsidR="00295664" w:rsidRPr="009872F3" w14:paraId="34CAC201" w14:textId="77777777" w:rsidTr="0036650A">
        <w:trPr>
          <w:trHeight w:val="294"/>
        </w:trPr>
        <w:tc>
          <w:tcPr>
            <w:tcW w:w="9180" w:type="dxa"/>
            <w:gridSpan w:val="4"/>
          </w:tcPr>
          <w:p w14:paraId="7070DC92" w14:textId="77777777" w:rsidR="00295664" w:rsidRPr="009872F3" w:rsidRDefault="00295664" w:rsidP="0036650A">
            <w:pPr>
              <w:jc w:val="both"/>
              <w:rPr>
                <w:rFonts w:ascii="Arial" w:hAnsi="Arial" w:cs="Arial"/>
                <w:sz w:val="18"/>
                <w:szCs w:val="18"/>
              </w:rPr>
            </w:pPr>
          </w:p>
        </w:tc>
      </w:tr>
      <w:tr w:rsidR="00295664" w:rsidRPr="009872F3" w14:paraId="60251949" w14:textId="77777777" w:rsidTr="0036650A">
        <w:tc>
          <w:tcPr>
            <w:tcW w:w="5798" w:type="dxa"/>
            <w:gridSpan w:val="3"/>
          </w:tcPr>
          <w:p w14:paraId="618168AB" w14:textId="4E4A4930" w:rsidR="00295664" w:rsidRPr="00C1307E" w:rsidRDefault="00295664"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w:t>
            </w:r>
            <w:r>
              <w:rPr>
                <w:rFonts w:ascii="Arial" w:hAnsi="Arial" w:cs="Arial"/>
                <w:sz w:val="18"/>
                <w:szCs w:val="18"/>
              </w:rPr>
              <w:lastRenderedPageBreak/>
              <w:t xml:space="preserve">Ressourcen, Know-How, Interessenskonflikte) </w:t>
            </w:r>
            <w:r w:rsidRPr="00C1307E">
              <w:rPr>
                <w:rFonts w:ascii="Arial" w:hAnsi="Arial" w:cs="Arial"/>
                <w:sz w:val="18"/>
                <w:szCs w:val="18"/>
              </w:rPr>
              <w:t xml:space="preserve">für das Management von </w:t>
            </w:r>
            <w:r w:rsidR="00757204">
              <w:rPr>
                <w:rFonts w:ascii="Arial" w:hAnsi="Arial" w:cs="Arial"/>
                <w:sz w:val="18"/>
                <w:szCs w:val="18"/>
              </w:rPr>
              <w:t>o</w:t>
            </w:r>
            <w:r>
              <w:rPr>
                <w:rFonts w:ascii="Arial" w:hAnsi="Arial" w:cs="Arial"/>
                <w:sz w:val="18"/>
                <w:szCs w:val="18"/>
              </w:rPr>
              <w:t xml:space="preserve">perationellen Risiken im Zusammenhang mit Rechts- und Prozessrisiken inkl. Kundenbeschwerden </w:t>
            </w:r>
            <w:r w:rsidRPr="00C1307E">
              <w:rPr>
                <w:rFonts w:ascii="Arial" w:hAnsi="Arial" w:cs="Arial"/>
                <w:sz w:val="18"/>
                <w:szCs w:val="18"/>
              </w:rPr>
              <w:t>angemessen ausgestaltet ist.</w:t>
            </w:r>
          </w:p>
        </w:tc>
        <w:tc>
          <w:tcPr>
            <w:tcW w:w="3382" w:type="dxa"/>
          </w:tcPr>
          <w:p w14:paraId="3C994CD3" w14:textId="77777777" w:rsidR="00295664" w:rsidRPr="00E109DF" w:rsidRDefault="00295664" w:rsidP="0036650A">
            <w:pPr>
              <w:jc w:val="both"/>
              <w:rPr>
                <w:rFonts w:ascii="Arial" w:hAnsi="Arial" w:cs="Arial"/>
                <w:i/>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4DD71F0A" w14:textId="77777777" w:rsidTr="0036650A">
        <w:tc>
          <w:tcPr>
            <w:tcW w:w="5798" w:type="dxa"/>
            <w:gridSpan w:val="3"/>
          </w:tcPr>
          <w:p w14:paraId="0A47EF2C" w14:textId="12E68D95"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04AF22CF"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95664" w:rsidRPr="009872F3" w14:paraId="02BE7271" w14:textId="77777777" w:rsidTr="0036650A">
        <w:tc>
          <w:tcPr>
            <w:tcW w:w="5798" w:type="dxa"/>
            <w:gridSpan w:val="3"/>
          </w:tcPr>
          <w:p w14:paraId="50CE932E" w14:textId="31D24A1F" w:rsidR="00295664" w:rsidRPr="00C1307E" w:rsidRDefault="00295664"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757204">
              <w:rPr>
                <w:rFonts w:ascii="Arial" w:hAnsi="Arial" w:cs="Arial"/>
                <w:sz w:val="18"/>
                <w:szCs w:val="18"/>
              </w:rPr>
              <w:t>o</w:t>
            </w:r>
            <w:r>
              <w:rPr>
                <w:rFonts w:ascii="Arial" w:hAnsi="Arial" w:cs="Arial"/>
                <w:sz w:val="18"/>
                <w:szCs w:val="18"/>
              </w:rPr>
              <w:t>perationellen Risiken im Zusammenhang mit Rechts- und Prozessrisiken inkl. Kundenbeschwerden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FF12FAB" w14:textId="77777777" w:rsidR="00295664" w:rsidRPr="009872F3" w:rsidRDefault="00295664"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F38F8D2" w14:textId="77777777" w:rsidR="00295664" w:rsidRPr="00CE3194" w:rsidRDefault="00295664" w:rsidP="00295664">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95664" w:rsidRPr="00CE3194" w14:paraId="0B650536" w14:textId="77777777" w:rsidTr="0036650A">
        <w:tc>
          <w:tcPr>
            <w:tcW w:w="2660" w:type="dxa"/>
          </w:tcPr>
          <w:p w14:paraId="27AE6ABB"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9415BA0" w14:textId="77777777" w:rsidR="00295664" w:rsidRPr="00CE3194" w:rsidRDefault="00295664"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95664" w:rsidRPr="00CE3194" w14:paraId="2160D48C" w14:textId="77777777" w:rsidTr="0036650A">
        <w:tc>
          <w:tcPr>
            <w:tcW w:w="2660" w:type="dxa"/>
          </w:tcPr>
          <w:p w14:paraId="3D85944D"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489723D7" w14:textId="77777777" w:rsidR="00D8345E" w:rsidRDefault="00D8345E" w:rsidP="00D8345E">
            <w:pPr>
              <w:jc w:val="both"/>
              <w:rPr>
                <w:rFonts w:ascii="Arial" w:hAnsi="Arial" w:cs="Arial"/>
                <w:i/>
                <w:sz w:val="20"/>
                <w:szCs w:val="20"/>
                <w:highlight w:val="lightGray"/>
              </w:rPr>
            </w:pPr>
          </w:p>
          <w:p w14:paraId="6946CF16" w14:textId="77777777" w:rsidR="00295664"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5C8372F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39DEE7E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773E8F4" w14:textId="5BC76175"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4BCB686"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6B32360"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320A47C" w14:textId="77777777" w:rsidTr="0036650A">
        <w:tc>
          <w:tcPr>
            <w:tcW w:w="2660" w:type="dxa"/>
          </w:tcPr>
          <w:p w14:paraId="1AC6BAF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54FEF00A" w14:textId="77777777" w:rsidR="0074539F" w:rsidRPr="00CE3194" w:rsidRDefault="0074539F" w:rsidP="0036650A">
            <w:pPr>
              <w:jc w:val="both"/>
              <w:rPr>
                <w:rFonts w:ascii="Arial" w:hAnsi="Arial" w:cs="Arial"/>
                <w:i/>
                <w:sz w:val="20"/>
                <w:szCs w:val="20"/>
                <w:highlight w:val="lightGray"/>
              </w:rPr>
            </w:pPr>
          </w:p>
        </w:tc>
        <w:tc>
          <w:tcPr>
            <w:tcW w:w="6520" w:type="dxa"/>
          </w:tcPr>
          <w:p w14:paraId="534BA1D3" w14:textId="2DD9311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178BEE9A" w14:textId="0AF2A531"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E4D4057" w14:textId="19B7FA8E"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4AA44DD"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95664" w14:paraId="687D45F2" w14:textId="77777777" w:rsidTr="0036650A">
        <w:tc>
          <w:tcPr>
            <w:tcW w:w="2660" w:type="dxa"/>
          </w:tcPr>
          <w:p w14:paraId="0652E67E" w14:textId="77777777" w:rsidR="00295664" w:rsidRDefault="00295664"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5612127"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A41A38A"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32BE52F"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604262B" w14:textId="77777777" w:rsidR="00295664" w:rsidRPr="00CE3194" w:rsidRDefault="00295664"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1FBAF69" w14:textId="77777777" w:rsidR="00295664" w:rsidRPr="005B66F8" w:rsidRDefault="00295664"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1839479E" w14:textId="4BEA9C2C"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28F1550B" w14:textId="77777777" w:rsidR="00295664" w:rsidRDefault="00295664" w:rsidP="00CB3EE6">
      <w:pPr>
        <w:jc w:val="both"/>
        <w:rPr>
          <w:rFonts w:cs="Arial"/>
          <w:szCs w:val="20"/>
        </w:rPr>
      </w:pPr>
    </w:p>
    <w:p w14:paraId="4D5851B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0431D8A" w14:textId="77777777" w:rsidR="00E70DF4" w:rsidRDefault="00E70DF4" w:rsidP="00CB3EE6">
      <w:pPr>
        <w:jc w:val="both"/>
        <w:rPr>
          <w:rFonts w:cs="Arial"/>
          <w:szCs w:val="20"/>
        </w:rPr>
      </w:pPr>
    </w:p>
    <w:p w14:paraId="39D104FC" w14:textId="77777777" w:rsidR="00E70DF4" w:rsidRPr="006730AC" w:rsidRDefault="00E70DF4" w:rsidP="00CB3EE6">
      <w:pPr>
        <w:jc w:val="both"/>
        <w:rPr>
          <w:rFonts w:cs="Arial"/>
          <w:szCs w:val="20"/>
        </w:rPr>
      </w:pPr>
    </w:p>
    <w:p w14:paraId="22B906D3" w14:textId="77777777" w:rsidR="008C30D1" w:rsidRPr="006730AC" w:rsidRDefault="00757204" w:rsidP="006F7AB5">
      <w:pPr>
        <w:pStyle w:val="FINMAGliederungEbene3"/>
      </w:pPr>
      <w:bookmarkStart w:id="48" w:name="_Toc147849902"/>
      <w:r w:rsidRPr="006634A7">
        <w:rPr>
          <w:highlight w:val="yellow"/>
        </w:rPr>
        <w:t>[</w:t>
      </w:r>
      <w:r w:rsidR="008C30D1" w:rsidRPr="006634A7">
        <w:rPr>
          <w:highlight w:val="yellow"/>
        </w:rPr>
        <w:t>Weitere Operationelle Risiken von der Revisionsstelle selber zu definieren</w:t>
      </w:r>
      <w:r w:rsidRPr="006634A7">
        <w:rPr>
          <w:highlight w:val="yellow"/>
        </w:rPr>
        <w:t>]</w:t>
      </w:r>
      <w:r w:rsidR="00543DCA">
        <w:t xml:space="preserve"> (GR-2</w:t>
      </w:r>
      <w:r w:rsidR="00DB5BE8">
        <w:t>8</w:t>
      </w:r>
      <w:r w:rsidR="00543DCA">
        <w:t>)</w:t>
      </w:r>
      <w:bookmarkEnd w:id="48"/>
    </w:p>
    <w:p w14:paraId="2F4786DF"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7F6CE7D8" w14:textId="77777777" w:rsidTr="00DB5BE8">
        <w:trPr>
          <w:trHeight w:val="563"/>
        </w:trPr>
        <w:tc>
          <w:tcPr>
            <w:tcW w:w="1932" w:type="dxa"/>
          </w:tcPr>
          <w:p w14:paraId="660DF80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40F0BDF2"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EB3B6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61457012" w14:textId="77777777" w:rsidTr="00DB5BE8">
        <w:trPr>
          <w:trHeight w:val="698"/>
        </w:trPr>
        <w:tc>
          <w:tcPr>
            <w:tcW w:w="1932" w:type="dxa"/>
          </w:tcPr>
          <w:p w14:paraId="10075537" w14:textId="68E253D3"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45CC952"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6A3F3F3"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AD2B514"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798739"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FCB97A6" w14:textId="77777777" w:rsidTr="00DB5BE8">
        <w:trPr>
          <w:trHeight w:val="636"/>
        </w:trPr>
        <w:tc>
          <w:tcPr>
            <w:tcW w:w="9180" w:type="dxa"/>
            <w:gridSpan w:val="4"/>
          </w:tcPr>
          <w:p w14:paraId="3FE93EA0" w14:textId="77777777" w:rsidR="00A84BF6" w:rsidRDefault="00A84BF6" w:rsidP="00DB5BE8">
            <w:pPr>
              <w:jc w:val="both"/>
              <w:rPr>
                <w:rFonts w:ascii="Arial" w:hAnsi="Arial" w:cs="Arial"/>
                <w:sz w:val="18"/>
                <w:szCs w:val="18"/>
              </w:rPr>
            </w:pPr>
          </w:p>
          <w:p w14:paraId="72146307"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1327FAC2" w14:textId="77777777" w:rsidR="00A84BF6" w:rsidRPr="009872F3" w:rsidRDefault="00A84BF6" w:rsidP="00DB5BE8">
            <w:pPr>
              <w:jc w:val="both"/>
              <w:rPr>
                <w:rFonts w:ascii="Arial" w:hAnsi="Arial" w:cs="Arial"/>
                <w:sz w:val="18"/>
                <w:szCs w:val="18"/>
              </w:rPr>
            </w:pPr>
            <w:r w:rsidRPr="00276C60">
              <w:rPr>
                <w:rFonts w:ascii="Arial" w:hAnsi="Arial" w:cs="Arial"/>
                <w:sz w:val="18"/>
                <w:szCs w:val="18"/>
                <w:highlight w:val="yellow"/>
              </w:rPr>
              <w:t>tbd</w:t>
            </w:r>
          </w:p>
        </w:tc>
      </w:tr>
      <w:tr w:rsidR="00A84BF6" w:rsidRPr="009872F3" w14:paraId="65D0580A" w14:textId="77777777" w:rsidTr="00DB5BE8">
        <w:trPr>
          <w:trHeight w:val="294"/>
        </w:trPr>
        <w:tc>
          <w:tcPr>
            <w:tcW w:w="9180" w:type="dxa"/>
            <w:gridSpan w:val="4"/>
          </w:tcPr>
          <w:p w14:paraId="4085BDD4" w14:textId="77777777" w:rsidR="00A84BF6" w:rsidRPr="009872F3" w:rsidRDefault="00A84BF6" w:rsidP="00DB5BE8">
            <w:pPr>
              <w:jc w:val="both"/>
              <w:rPr>
                <w:rFonts w:ascii="Arial" w:hAnsi="Arial" w:cs="Arial"/>
                <w:sz w:val="18"/>
                <w:szCs w:val="18"/>
              </w:rPr>
            </w:pPr>
          </w:p>
        </w:tc>
      </w:tr>
      <w:tr w:rsidR="00A84BF6" w:rsidRPr="009872F3" w14:paraId="514666AD" w14:textId="77777777" w:rsidTr="00DB5BE8">
        <w:tc>
          <w:tcPr>
            <w:tcW w:w="5798" w:type="dxa"/>
            <w:gridSpan w:val="3"/>
          </w:tcPr>
          <w:p w14:paraId="04CE524D"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7A37FF34"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9D51E00" w14:textId="77777777" w:rsidTr="00DB5BE8">
        <w:tc>
          <w:tcPr>
            <w:tcW w:w="5798" w:type="dxa"/>
            <w:gridSpan w:val="3"/>
          </w:tcPr>
          <w:p w14:paraId="14DDCD32" w14:textId="6B725B8E"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w:t>
            </w:r>
            <w:r w:rsidR="00757204">
              <w:rPr>
                <w:rFonts w:ascii="Arial" w:hAnsi="Arial" w:cs="Arial"/>
                <w:sz w:val="18"/>
                <w:szCs w:val="18"/>
                <w:highlight w:val="yellow"/>
              </w:rPr>
              <w:t>–</w:t>
            </w:r>
            <w:r>
              <w:rPr>
                <w:rFonts w:ascii="Arial" w:hAnsi="Arial" w:cs="Arial"/>
                <w:sz w:val="18"/>
                <w:szCs w:val="18"/>
                <w:highlight w:val="yellow"/>
              </w:rPr>
              <w:t xml:space="preserve"> </w:t>
            </w:r>
            <w:r w:rsidRPr="00276C60">
              <w:rPr>
                <w:rFonts w:ascii="Arial" w:hAnsi="Arial" w:cs="Arial"/>
                <w:sz w:val="18"/>
                <w:szCs w:val="18"/>
                <w:highlight w:val="yellow"/>
              </w:rPr>
              <w:t>tbd</w:t>
            </w:r>
            <w:r w:rsidR="00757204">
              <w:rPr>
                <w:rFonts w:ascii="Arial" w:hAnsi="Arial" w:cs="Arial"/>
                <w:sz w:val="18"/>
                <w:szCs w:val="18"/>
              </w:rPr>
              <w:t>]</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1C15C28B"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0E98F94D" w14:textId="77777777" w:rsidTr="00DB5BE8">
        <w:tc>
          <w:tcPr>
            <w:tcW w:w="5798" w:type="dxa"/>
            <w:gridSpan w:val="3"/>
          </w:tcPr>
          <w:p w14:paraId="4FEC8EC3"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operationellen Risiken – </w:t>
            </w:r>
            <w:r w:rsidRPr="00276C60">
              <w:rPr>
                <w:rFonts w:ascii="Arial" w:hAnsi="Arial" w:cs="Arial"/>
                <w:sz w:val="18"/>
                <w:szCs w:val="18"/>
                <w:highlight w:val="yellow"/>
              </w:rPr>
              <w:t>tbd</w:t>
            </w:r>
            <w:r w:rsidRPr="00CB3EE6">
              <w:rPr>
                <w:rFonts w:ascii="Arial" w:hAnsi="Arial" w:cs="Arial"/>
                <w:sz w:val="18"/>
                <w:szCs w:val="18"/>
                <w:highlight w:val="yellow"/>
              </w:rPr>
              <w:t>]</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412DA17C"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DA0BDFD"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6A6BCF12" w14:textId="77777777" w:rsidTr="00DB5BE8">
        <w:tc>
          <w:tcPr>
            <w:tcW w:w="2660" w:type="dxa"/>
          </w:tcPr>
          <w:p w14:paraId="3AA56389"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E84353"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196EC4AD" w14:textId="77777777" w:rsidTr="00DB5BE8">
        <w:tc>
          <w:tcPr>
            <w:tcW w:w="2660" w:type="dxa"/>
          </w:tcPr>
          <w:p w14:paraId="44F3D28F"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8E19CCD" w14:textId="77777777" w:rsidR="00D8345E" w:rsidRDefault="00D8345E" w:rsidP="00D8345E">
            <w:pPr>
              <w:jc w:val="both"/>
              <w:rPr>
                <w:rFonts w:ascii="Arial" w:hAnsi="Arial" w:cs="Arial"/>
                <w:i/>
                <w:sz w:val="20"/>
                <w:szCs w:val="20"/>
                <w:highlight w:val="lightGray"/>
              </w:rPr>
            </w:pPr>
          </w:p>
          <w:p w14:paraId="6249510B"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31B6F46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2CAF25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4EC045DB" w14:textId="4213E471"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144B0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32ABBAE"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18F7B9BE" w14:textId="77777777" w:rsidTr="00DB5BE8">
        <w:tc>
          <w:tcPr>
            <w:tcW w:w="2660" w:type="dxa"/>
          </w:tcPr>
          <w:p w14:paraId="497BD8BF"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F36F533" w14:textId="77777777" w:rsidR="0074539F" w:rsidRPr="00CE3194" w:rsidRDefault="0074539F" w:rsidP="00DB5BE8">
            <w:pPr>
              <w:jc w:val="both"/>
              <w:rPr>
                <w:rFonts w:ascii="Arial" w:hAnsi="Arial" w:cs="Arial"/>
                <w:i/>
                <w:sz w:val="20"/>
                <w:szCs w:val="20"/>
                <w:highlight w:val="lightGray"/>
              </w:rPr>
            </w:pPr>
          </w:p>
        </w:tc>
        <w:tc>
          <w:tcPr>
            <w:tcW w:w="6520" w:type="dxa"/>
          </w:tcPr>
          <w:p w14:paraId="6A6968E3" w14:textId="521976C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68E9B19E" w14:textId="102F8823" w:rsidR="0074539F" w:rsidRPr="00CE3194" w:rsidRDefault="0074539F" w:rsidP="000362E2">
            <w:pPr>
              <w:pStyle w:val="Listenabsatz"/>
              <w:numPr>
                <w:ilvl w:val="1"/>
                <w:numId w:val="17"/>
              </w:numPr>
              <w:ind w:left="317" w:hanging="283"/>
              <w:jc w:val="both"/>
              <w:rPr>
                <w:rFonts w:cs="Arial"/>
                <w:i/>
                <w:szCs w:val="20"/>
                <w:highlight w:val="lightGray"/>
              </w:rPr>
            </w:pPr>
            <w:r>
              <w:rPr>
                <w:rFonts w:cs="Arial"/>
                <w:i/>
                <w:szCs w:val="20"/>
                <w:highlight w:val="lightGray"/>
              </w:rPr>
              <w:t xml:space="preserve"> </w:t>
            </w: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84FDC7A" w14:textId="0A866C5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ACA2B9B"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5391C1FF" w14:textId="77777777" w:rsidTr="00DB5BE8">
        <w:tc>
          <w:tcPr>
            <w:tcW w:w="2660" w:type="dxa"/>
          </w:tcPr>
          <w:p w14:paraId="729D7F18"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1F21AA17"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986FD42"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7AAEC30F"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D7E20D8"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7F1AF1AB" w14:textId="77777777" w:rsidR="00A84BF6" w:rsidRPr="005B66F8" w:rsidRDefault="00A84BF6"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0ABEC4D4" w14:textId="4FB9892F"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19CC2A55" w14:textId="77777777" w:rsidR="00A84BF6" w:rsidRDefault="00A84BF6" w:rsidP="00CB3EE6">
      <w:pPr>
        <w:jc w:val="both"/>
        <w:rPr>
          <w:rFonts w:cs="Arial"/>
          <w:szCs w:val="20"/>
        </w:rPr>
      </w:pPr>
    </w:p>
    <w:p w14:paraId="4880B86C"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D2FF442" w14:textId="77777777" w:rsidR="00E70DF4" w:rsidRDefault="00E70DF4" w:rsidP="00CB3EE6">
      <w:pPr>
        <w:jc w:val="both"/>
        <w:rPr>
          <w:rFonts w:cs="Arial"/>
          <w:szCs w:val="20"/>
        </w:rPr>
      </w:pPr>
    </w:p>
    <w:p w14:paraId="03BA4679" w14:textId="77777777" w:rsidR="00A84BF6" w:rsidRPr="006730AC" w:rsidRDefault="00A84BF6" w:rsidP="00CB3EE6">
      <w:pPr>
        <w:jc w:val="both"/>
        <w:rPr>
          <w:rFonts w:cs="Arial"/>
          <w:szCs w:val="20"/>
        </w:rPr>
      </w:pPr>
    </w:p>
    <w:p w14:paraId="1C2E2FCE" w14:textId="77777777" w:rsidR="008C30D1" w:rsidRPr="006730AC" w:rsidRDefault="008C30D1" w:rsidP="006F7AB5">
      <w:pPr>
        <w:pStyle w:val="FINMAGliederungEbene3"/>
      </w:pPr>
      <w:bookmarkStart w:id="49" w:name="_Toc147849903"/>
      <w:r>
        <w:t>Kurzfristige Liquiditätsrisiken (Abruf- und Terminrisiken)</w:t>
      </w:r>
      <w:r w:rsidR="00543DCA">
        <w:t xml:space="preserve"> (GR-</w:t>
      </w:r>
      <w:r w:rsidR="00DB5BE8">
        <w:t>29</w:t>
      </w:r>
      <w:r w:rsidR="00543DCA">
        <w:t>)</w:t>
      </w:r>
      <w:bookmarkEnd w:id="49"/>
    </w:p>
    <w:p w14:paraId="32ECACE1" w14:textId="77777777" w:rsidR="00295664" w:rsidRDefault="00295664"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FD0A25" w:rsidRPr="009872F3" w14:paraId="597F6D5A" w14:textId="77777777" w:rsidTr="0036650A">
        <w:trPr>
          <w:trHeight w:val="563"/>
        </w:trPr>
        <w:tc>
          <w:tcPr>
            <w:tcW w:w="1932" w:type="dxa"/>
          </w:tcPr>
          <w:p w14:paraId="3CB112AC"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0262FA4"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3FE9AA5"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FD0A25" w:rsidRPr="009872F3" w14:paraId="2A74E66D" w14:textId="77777777" w:rsidTr="0036650A">
        <w:trPr>
          <w:trHeight w:val="698"/>
        </w:trPr>
        <w:tc>
          <w:tcPr>
            <w:tcW w:w="1932" w:type="dxa"/>
          </w:tcPr>
          <w:p w14:paraId="0893057E" w14:textId="4DB6AF13" w:rsidR="00FD0A25" w:rsidRPr="006749F0" w:rsidRDefault="00FD0A25"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B46668D" w14:textId="77777777" w:rsidR="00FD0A25" w:rsidRPr="006749F0" w:rsidRDefault="00FD0A25"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6D8F668"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C71BCAF" w14:textId="77777777" w:rsidR="00FD0A25" w:rsidRDefault="00FD0A25"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2607BA9" w14:textId="77777777" w:rsidR="00FD0A25" w:rsidRPr="006749F0" w:rsidRDefault="00FD0A25" w:rsidP="0036650A">
            <w:pPr>
              <w:jc w:val="both"/>
              <w:rPr>
                <w:rFonts w:ascii="Arial" w:hAnsi="Arial" w:cs="Arial"/>
                <w:i/>
                <w:sz w:val="18"/>
                <w:szCs w:val="18"/>
              </w:rPr>
            </w:pPr>
            <w:r w:rsidRPr="006749F0">
              <w:rPr>
                <w:rFonts w:ascii="Arial" w:hAnsi="Arial" w:cs="Arial"/>
                <w:i/>
                <w:sz w:val="18"/>
                <w:szCs w:val="18"/>
                <w:highlight w:val="yellow"/>
              </w:rPr>
              <w:t>Jahr</w:t>
            </w:r>
          </w:p>
        </w:tc>
      </w:tr>
      <w:tr w:rsidR="00FD0A25" w:rsidRPr="009872F3" w14:paraId="194AA9DE" w14:textId="77777777" w:rsidTr="0036650A">
        <w:trPr>
          <w:trHeight w:val="636"/>
        </w:trPr>
        <w:tc>
          <w:tcPr>
            <w:tcW w:w="9180" w:type="dxa"/>
            <w:gridSpan w:val="4"/>
          </w:tcPr>
          <w:p w14:paraId="61B8A9E1" w14:textId="77777777" w:rsidR="00FD0A25" w:rsidRDefault="00FD0A25" w:rsidP="0036650A">
            <w:pPr>
              <w:jc w:val="both"/>
              <w:rPr>
                <w:rFonts w:ascii="Arial" w:hAnsi="Arial" w:cs="Arial"/>
                <w:sz w:val="18"/>
                <w:szCs w:val="18"/>
              </w:rPr>
            </w:pPr>
          </w:p>
          <w:p w14:paraId="045A051E" w14:textId="77777777" w:rsidR="00FD0A25" w:rsidRDefault="00FD0A25"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0C83045A" w14:textId="77777777" w:rsidR="00FD0A25" w:rsidRPr="009872F3" w:rsidRDefault="00FD0A25" w:rsidP="0036650A">
            <w:pPr>
              <w:jc w:val="both"/>
              <w:rPr>
                <w:rFonts w:ascii="Arial" w:hAnsi="Arial" w:cs="Arial"/>
                <w:sz w:val="18"/>
                <w:szCs w:val="18"/>
              </w:rPr>
            </w:pPr>
            <w:r w:rsidRPr="00CB3EE6">
              <w:rPr>
                <w:rFonts w:ascii="Arial" w:hAnsi="Arial" w:cs="Arial"/>
                <w:sz w:val="18"/>
                <w:szCs w:val="18"/>
                <w:highlight w:val="yellow"/>
              </w:rPr>
              <w:t xml:space="preserve">Art 5, 7a bis 8 BankG; Art. 21c BankV ff.; FMA-Mitteilung 2017/6; Art. 412 Verordnung (EU) </w:t>
            </w:r>
            <w:r>
              <w:rPr>
                <w:rFonts w:ascii="Arial" w:hAnsi="Arial" w:cs="Arial"/>
                <w:sz w:val="18"/>
                <w:szCs w:val="18"/>
                <w:highlight w:val="yellow"/>
              </w:rPr>
              <w:t xml:space="preserve">Nr. </w:t>
            </w:r>
            <w:r w:rsidRPr="00CB3EE6">
              <w:rPr>
                <w:rFonts w:ascii="Arial" w:hAnsi="Arial" w:cs="Arial"/>
                <w:sz w:val="18"/>
                <w:szCs w:val="18"/>
                <w:highlight w:val="yellow"/>
              </w:rPr>
              <w:t>575/2013</w:t>
            </w:r>
          </w:p>
        </w:tc>
      </w:tr>
      <w:tr w:rsidR="00FD0A25" w:rsidRPr="009872F3" w14:paraId="625F5F1C" w14:textId="77777777" w:rsidTr="0036650A">
        <w:trPr>
          <w:trHeight w:val="294"/>
        </w:trPr>
        <w:tc>
          <w:tcPr>
            <w:tcW w:w="9180" w:type="dxa"/>
            <w:gridSpan w:val="4"/>
          </w:tcPr>
          <w:p w14:paraId="606373D3" w14:textId="77777777" w:rsidR="00FD0A25" w:rsidRPr="009872F3" w:rsidRDefault="00FD0A25" w:rsidP="0036650A">
            <w:pPr>
              <w:jc w:val="both"/>
              <w:rPr>
                <w:rFonts w:ascii="Arial" w:hAnsi="Arial" w:cs="Arial"/>
                <w:sz w:val="18"/>
                <w:szCs w:val="18"/>
              </w:rPr>
            </w:pPr>
          </w:p>
        </w:tc>
      </w:tr>
      <w:tr w:rsidR="00FD0A25" w:rsidRPr="009872F3" w14:paraId="584A1EB4" w14:textId="77777777" w:rsidTr="0036650A">
        <w:tc>
          <w:tcPr>
            <w:tcW w:w="5798" w:type="dxa"/>
            <w:gridSpan w:val="3"/>
          </w:tcPr>
          <w:p w14:paraId="7FD09FDE" w14:textId="77777777" w:rsidR="00FD0A25" w:rsidRPr="00C1307E" w:rsidRDefault="00FD0A2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kurzfristigen Liquiditätsrisiken (Abruf- und Terminrisiken) </w:t>
            </w:r>
            <w:r w:rsidRPr="00C1307E">
              <w:rPr>
                <w:rFonts w:ascii="Arial" w:hAnsi="Arial" w:cs="Arial"/>
                <w:sz w:val="18"/>
                <w:szCs w:val="18"/>
              </w:rPr>
              <w:t>angemessen ausgestaltet ist.</w:t>
            </w:r>
          </w:p>
        </w:tc>
        <w:tc>
          <w:tcPr>
            <w:tcW w:w="3382" w:type="dxa"/>
          </w:tcPr>
          <w:p w14:paraId="0191FAAB" w14:textId="77777777" w:rsidR="00FD0A25" w:rsidRPr="00E109DF" w:rsidRDefault="00FD0A25"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D0A25" w:rsidRPr="009872F3" w14:paraId="78657925" w14:textId="77777777" w:rsidTr="0036650A">
        <w:tc>
          <w:tcPr>
            <w:tcW w:w="5798" w:type="dxa"/>
            <w:gridSpan w:val="3"/>
          </w:tcPr>
          <w:p w14:paraId="2E88BC28" w14:textId="77777777" w:rsidR="00FD0A25" w:rsidRPr="00C1307E" w:rsidRDefault="00FD0A25" w:rsidP="006730AC">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kurzfristigen Liquiditätsrisiken (Abruf- und Terminrisiken)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EA70486" w14:textId="77777777" w:rsidR="00FD0A25" w:rsidRPr="009872F3" w:rsidRDefault="00FD0A25"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D0A25" w:rsidRPr="009872F3" w14:paraId="38C5AD6F" w14:textId="77777777" w:rsidTr="0036650A">
        <w:tc>
          <w:tcPr>
            <w:tcW w:w="5798" w:type="dxa"/>
            <w:gridSpan w:val="3"/>
          </w:tcPr>
          <w:p w14:paraId="67E572EE" w14:textId="77777777" w:rsidR="00FD0A25" w:rsidRPr="00C1307E" w:rsidRDefault="00FD0A25"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kurzfristigen Liquiditätsrisiken (Abruf- und Terminrisiken)</w:t>
            </w:r>
            <w:r w:rsidRPr="00C1307E">
              <w:rPr>
                <w:rFonts w:ascii="Arial" w:hAnsi="Arial" w:cs="Arial"/>
                <w:sz w:val="18"/>
                <w:szCs w:val="18"/>
              </w:rPr>
              <w:t xml:space="preserve"> 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8770347" w14:textId="77777777" w:rsidR="00FD0A25" w:rsidRPr="009872F3" w:rsidRDefault="00FD0A25"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29B51B8" w14:textId="77777777" w:rsidR="00FD0A25" w:rsidRPr="00CE3194" w:rsidRDefault="00FD0A25" w:rsidP="00FD0A2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FD0A25" w:rsidRPr="00CE3194" w14:paraId="1FA64C2C" w14:textId="77777777" w:rsidTr="0036650A">
        <w:tc>
          <w:tcPr>
            <w:tcW w:w="2660" w:type="dxa"/>
          </w:tcPr>
          <w:p w14:paraId="6B9AC3E0" w14:textId="77777777" w:rsidR="00FD0A25" w:rsidRPr="00CE3194" w:rsidRDefault="00FD0A25"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B5965E2" w14:textId="77777777" w:rsidR="00FD0A25" w:rsidRPr="00CE3194" w:rsidRDefault="00FD0A25"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FD0A25" w:rsidRPr="00CE3194" w14:paraId="0716F3CC" w14:textId="77777777" w:rsidTr="0036650A">
        <w:tc>
          <w:tcPr>
            <w:tcW w:w="2660" w:type="dxa"/>
          </w:tcPr>
          <w:p w14:paraId="49C4E8E2"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2270915" w14:textId="77777777" w:rsidR="00D8345E" w:rsidRDefault="00D8345E" w:rsidP="00D8345E">
            <w:pPr>
              <w:jc w:val="both"/>
              <w:rPr>
                <w:rFonts w:ascii="Arial" w:hAnsi="Arial" w:cs="Arial"/>
                <w:i/>
                <w:sz w:val="20"/>
                <w:szCs w:val="20"/>
                <w:highlight w:val="lightGray"/>
              </w:rPr>
            </w:pPr>
          </w:p>
          <w:p w14:paraId="4E944272" w14:textId="77777777" w:rsidR="00FD0A25"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28C5E4C2"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AE5BC0B"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6A6BDC78" w14:textId="61F67C2D"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6F5C5B4"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DAE699F"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54ED36F9" w14:textId="77777777" w:rsidTr="0036650A">
        <w:tc>
          <w:tcPr>
            <w:tcW w:w="2660" w:type="dxa"/>
          </w:tcPr>
          <w:p w14:paraId="1693965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6FAD75A" w14:textId="77777777" w:rsidR="0074539F" w:rsidRPr="00CE3194" w:rsidRDefault="0074539F" w:rsidP="0036650A">
            <w:pPr>
              <w:jc w:val="both"/>
              <w:rPr>
                <w:rFonts w:ascii="Arial" w:hAnsi="Arial" w:cs="Arial"/>
                <w:i/>
                <w:sz w:val="20"/>
                <w:szCs w:val="20"/>
                <w:highlight w:val="lightGray"/>
              </w:rPr>
            </w:pPr>
          </w:p>
        </w:tc>
        <w:tc>
          <w:tcPr>
            <w:tcW w:w="6520" w:type="dxa"/>
          </w:tcPr>
          <w:p w14:paraId="5024726F" w14:textId="068188E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2146E4E4" w14:textId="4806A3E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7C7CD21" w14:textId="41CA17A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07153DB7"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FD0A25" w14:paraId="63B8A6F5" w14:textId="77777777" w:rsidTr="0036650A">
        <w:tc>
          <w:tcPr>
            <w:tcW w:w="2660" w:type="dxa"/>
          </w:tcPr>
          <w:p w14:paraId="2B62CFB7" w14:textId="77777777" w:rsidR="00FD0A25" w:rsidRDefault="00FD0A25"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8C7707B"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632DFB8"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8BD8928"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A43B247"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6F92E37A" w14:textId="77777777" w:rsidR="00FD0A25" w:rsidRPr="005B66F8" w:rsidRDefault="00FD0A25"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021B131B" w14:textId="0DC7865B"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3DE9EF08" w14:textId="77777777" w:rsidR="00295664" w:rsidRDefault="00295664" w:rsidP="00CB3EE6">
      <w:pPr>
        <w:jc w:val="both"/>
        <w:rPr>
          <w:rFonts w:cs="Arial"/>
          <w:szCs w:val="20"/>
        </w:rPr>
      </w:pPr>
    </w:p>
    <w:p w14:paraId="5283D135"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5FDCD26" w14:textId="77777777" w:rsidR="00E70DF4" w:rsidRDefault="00E70DF4" w:rsidP="00CB3EE6">
      <w:pPr>
        <w:jc w:val="both"/>
        <w:rPr>
          <w:rFonts w:cs="Arial"/>
          <w:szCs w:val="20"/>
        </w:rPr>
      </w:pPr>
    </w:p>
    <w:p w14:paraId="14B3FE0E" w14:textId="77777777" w:rsidR="00295664" w:rsidRPr="006730AC" w:rsidRDefault="00295664" w:rsidP="00CB3EE6">
      <w:pPr>
        <w:jc w:val="both"/>
        <w:rPr>
          <w:rFonts w:cs="Arial"/>
          <w:szCs w:val="20"/>
        </w:rPr>
      </w:pPr>
    </w:p>
    <w:p w14:paraId="58260AFE" w14:textId="77777777" w:rsidR="008C30D1" w:rsidRPr="006730AC" w:rsidRDefault="008C30D1" w:rsidP="006F7AB5">
      <w:pPr>
        <w:pStyle w:val="FINMAGliederungEbene3"/>
      </w:pPr>
      <w:bookmarkStart w:id="50" w:name="_Toc147849904"/>
      <w:r>
        <w:t>Strukturelle Refinanzierungsrisiken</w:t>
      </w:r>
      <w:r w:rsidR="00543DCA">
        <w:t xml:space="preserve"> (GR-3</w:t>
      </w:r>
      <w:r w:rsidR="00DB5BE8">
        <w:t>0</w:t>
      </w:r>
      <w:r w:rsidR="00543DCA">
        <w:t>)</w:t>
      </w:r>
      <w:bookmarkEnd w:id="50"/>
    </w:p>
    <w:p w14:paraId="46809D0C" w14:textId="77777777" w:rsidR="00FD0A25" w:rsidRDefault="00FD0A25"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FD0A25" w:rsidRPr="009872F3" w14:paraId="0BC47EC5" w14:textId="77777777" w:rsidTr="0036650A">
        <w:trPr>
          <w:trHeight w:val="563"/>
        </w:trPr>
        <w:tc>
          <w:tcPr>
            <w:tcW w:w="1932" w:type="dxa"/>
          </w:tcPr>
          <w:p w14:paraId="4F15A8FB"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0D0073F0"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56C6DFD"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FD0A25" w:rsidRPr="009872F3" w14:paraId="53E8DD1E" w14:textId="77777777" w:rsidTr="0036650A">
        <w:trPr>
          <w:trHeight w:val="698"/>
        </w:trPr>
        <w:tc>
          <w:tcPr>
            <w:tcW w:w="1932" w:type="dxa"/>
          </w:tcPr>
          <w:p w14:paraId="0C4008B6" w14:textId="74675B8B" w:rsidR="00FD0A25" w:rsidRPr="006749F0" w:rsidRDefault="00FD0A25"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0F9AE9FD" w14:textId="77777777" w:rsidR="00FD0A25" w:rsidRPr="006749F0" w:rsidRDefault="00FD0A25"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50F4768" w14:textId="77777777" w:rsidR="00FD0A25" w:rsidRPr="009872F3" w:rsidRDefault="00FD0A25"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3338F8" w14:textId="77777777" w:rsidR="00FD0A25" w:rsidRDefault="00FD0A25"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61D7A48" w14:textId="77777777" w:rsidR="00FD0A25" w:rsidRPr="006749F0" w:rsidRDefault="00FD0A25" w:rsidP="0036650A">
            <w:pPr>
              <w:jc w:val="both"/>
              <w:rPr>
                <w:rFonts w:ascii="Arial" w:hAnsi="Arial" w:cs="Arial"/>
                <w:i/>
                <w:sz w:val="18"/>
                <w:szCs w:val="18"/>
              </w:rPr>
            </w:pPr>
            <w:r w:rsidRPr="006749F0">
              <w:rPr>
                <w:rFonts w:ascii="Arial" w:hAnsi="Arial" w:cs="Arial"/>
                <w:i/>
                <w:sz w:val="18"/>
                <w:szCs w:val="18"/>
                <w:highlight w:val="yellow"/>
              </w:rPr>
              <w:t>Jahr</w:t>
            </w:r>
          </w:p>
        </w:tc>
      </w:tr>
      <w:tr w:rsidR="00FD0A25" w:rsidRPr="009872F3" w14:paraId="6B476E5F" w14:textId="77777777" w:rsidTr="0036650A">
        <w:trPr>
          <w:trHeight w:val="636"/>
        </w:trPr>
        <w:tc>
          <w:tcPr>
            <w:tcW w:w="9180" w:type="dxa"/>
            <w:gridSpan w:val="4"/>
          </w:tcPr>
          <w:p w14:paraId="2777B43F" w14:textId="77777777" w:rsidR="00FD0A25" w:rsidRDefault="00FD0A25" w:rsidP="0036650A">
            <w:pPr>
              <w:jc w:val="both"/>
              <w:rPr>
                <w:rFonts w:ascii="Arial" w:hAnsi="Arial" w:cs="Arial"/>
                <w:sz w:val="18"/>
                <w:szCs w:val="18"/>
              </w:rPr>
            </w:pPr>
          </w:p>
          <w:p w14:paraId="364AA164" w14:textId="77777777" w:rsidR="00FD0A25" w:rsidRDefault="00FD0A25"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681E3E43" w14:textId="77777777" w:rsidR="00FD0A25" w:rsidRPr="009872F3" w:rsidRDefault="00FD0A25" w:rsidP="0036650A">
            <w:pPr>
              <w:jc w:val="both"/>
              <w:rPr>
                <w:rFonts w:ascii="Arial" w:hAnsi="Arial" w:cs="Arial"/>
                <w:sz w:val="18"/>
                <w:szCs w:val="18"/>
              </w:rPr>
            </w:pPr>
            <w:r w:rsidRPr="00CB3EE6">
              <w:rPr>
                <w:rFonts w:ascii="Arial" w:hAnsi="Arial" w:cs="Arial"/>
                <w:sz w:val="18"/>
                <w:szCs w:val="18"/>
                <w:highlight w:val="yellow"/>
              </w:rPr>
              <w:t>Art 5, 7a bis 8 BankG; Art. 21c BankV ff.; FMA-Mitteilung 2017/6; Art. 413 Verordnung (EU) Nr. 575/2013</w:t>
            </w:r>
          </w:p>
        </w:tc>
      </w:tr>
      <w:tr w:rsidR="00FD0A25" w:rsidRPr="009872F3" w14:paraId="08040B06" w14:textId="77777777" w:rsidTr="0036650A">
        <w:trPr>
          <w:trHeight w:val="294"/>
        </w:trPr>
        <w:tc>
          <w:tcPr>
            <w:tcW w:w="9180" w:type="dxa"/>
            <w:gridSpan w:val="4"/>
          </w:tcPr>
          <w:p w14:paraId="2E623124" w14:textId="77777777" w:rsidR="00FD0A25" w:rsidRPr="009872F3" w:rsidRDefault="00FD0A25" w:rsidP="0036650A">
            <w:pPr>
              <w:jc w:val="both"/>
              <w:rPr>
                <w:rFonts w:ascii="Arial" w:hAnsi="Arial" w:cs="Arial"/>
                <w:sz w:val="18"/>
                <w:szCs w:val="18"/>
              </w:rPr>
            </w:pPr>
          </w:p>
        </w:tc>
      </w:tr>
      <w:tr w:rsidR="00FD0A25" w:rsidRPr="009872F3" w14:paraId="56AE4CC1" w14:textId="77777777" w:rsidTr="0036650A">
        <w:tc>
          <w:tcPr>
            <w:tcW w:w="5798" w:type="dxa"/>
            <w:gridSpan w:val="3"/>
          </w:tcPr>
          <w:p w14:paraId="1E278999" w14:textId="77777777" w:rsidR="00FD0A25" w:rsidRPr="00C1307E" w:rsidRDefault="00FD0A25"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strukturellen Refinanzierungsrisiken </w:t>
            </w:r>
            <w:r w:rsidRPr="00C1307E">
              <w:rPr>
                <w:rFonts w:ascii="Arial" w:hAnsi="Arial" w:cs="Arial"/>
                <w:sz w:val="18"/>
                <w:szCs w:val="18"/>
              </w:rPr>
              <w:t>angemessen ausgestaltet ist.</w:t>
            </w:r>
          </w:p>
        </w:tc>
        <w:tc>
          <w:tcPr>
            <w:tcW w:w="3382" w:type="dxa"/>
          </w:tcPr>
          <w:p w14:paraId="6DD670B2" w14:textId="77777777" w:rsidR="00FD0A25" w:rsidRPr="00E109DF" w:rsidRDefault="00FD0A25"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D0A25" w:rsidRPr="009872F3" w14:paraId="6E05207D" w14:textId="77777777" w:rsidTr="0036650A">
        <w:tc>
          <w:tcPr>
            <w:tcW w:w="5798" w:type="dxa"/>
            <w:gridSpan w:val="3"/>
          </w:tcPr>
          <w:p w14:paraId="77C37E1F" w14:textId="77777777" w:rsidR="00FD0A25" w:rsidRPr="00C1307E" w:rsidRDefault="00FD0A25"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strukturellen Refinanzierungsrisiken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1CA6EB0" w14:textId="77777777" w:rsidR="00FD0A25" w:rsidRPr="009872F3" w:rsidRDefault="00FD0A25"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D0A25" w:rsidRPr="009872F3" w14:paraId="1DD578DE" w14:textId="77777777" w:rsidTr="0036650A">
        <w:tc>
          <w:tcPr>
            <w:tcW w:w="5798" w:type="dxa"/>
            <w:gridSpan w:val="3"/>
          </w:tcPr>
          <w:p w14:paraId="55BC5159" w14:textId="77777777" w:rsidR="00FD0A25" w:rsidRPr="00C1307E" w:rsidRDefault="00FD0A25"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strukturellen Refinanzierungsrisiken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34899993" w14:textId="77777777" w:rsidR="00FD0A25" w:rsidRPr="009872F3" w:rsidRDefault="00FD0A25"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18A95AC" w14:textId="77777777" w:rsidR="00FD0A25" w:rsidRPr="00CE3194" w:rsidRDefault="00FD0A25" w:rsidP="00FD0A25">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FD0A25" w:rsidRPr="00CE3194" w14:paraId="7CEA3B3A" w14:textId="77777777" w:rsidTr="0036650A">
        <w:tc>
          <w:tcPr>
            <w:tcW w:w="2660" w:type="dxa"/>
          </w:tcPr>
          <w:p w14:paraId="5C9CA3BA" w14:textId="77777777" w:rsidR="00FD0A25" w:rsidRPr="00CE3194" w:rsidRDefault="00FD0A25"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0041F1EA" w14:textId="77777777" w:rsidR="00FD0A25" w:rsidRPr="00CE3194" w:rsidRDefault="00FD0A25"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FD0A25" w:rsidRPr="00CE3194" w14:paraId="663C8E7C" w14:textId="77777777" w:rsidTr="0036650A">
        <w:tc>
          <w:tcPr>
            <w:tcW w:w="2660" w:type="dxa"/>
          </w:tcPr>
          <w:p w14:paraId="40EF1A21"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FCA482B" w14:textId="77777777" w:rsidR="00D8345E" w:rsidRDefault="00D8345E" w:rsidP="00D8345E">
            <w:pPr>
              <w:jc w:val="both"/>
              <w:rPr>
                <w:rFonts w:ascii="Arial" w:hAnsi="Arial" w:cs="Arial"/>
                <w:i/>
                <w:sz w:val="20"/>
                <w:szCs w:val="20"/>
                <w:highlight w:val="lightGray"/>
              </w:rPr>
            </w:pPr>
          </w:p>
          <w:p w14:paraId="7E3F6DD6" w14:textId="77777777" w:rsidR="00FD0A25"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6265B13D"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724D4CCB"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A880D92" w14:textId="00F93F01"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707D5D66"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1474F736"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25243CC4" w14:textId="77777777" w:rsidTr="0036650A">
        <w:tc>
          <w:tcPr>
            <w:tcW w:w="2660" w:type="dxa"/>
          </w:tcPr>
          <w:p w14:paraId="3C3309E8"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D0FE17A" w14:textId="77777777" w:rsidR="0074539F" w:rsidRPr="00CE3194" w:rsidRDefault="0074539F" w:rsidP="0036650A">
            <w:pPr>
              <w:jc w:val="both"/>
              <w:rPr>
                <w:rFonts w:ascii="Arial" w:hAnsi="Arial" w:cs="Arial"/>
                <w:i/>
                <w:sz w:val="20"/>
                <w:szCs w:val="20"/>
                <w:highlight w:val="lightGray"/>
              </w:rPr>
            </w:pPr>
          </w:p>
        </w:tc>
        <w:tc>
          <w:tcPr>
            <w:tcW w:w="6520" w:type="dxa"/>
          </w:tcPr>
          <w:p w14:paraId="3549B0C8" w14:textId="619394F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670FA99E" w14:textId="74F2AFB9"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EEAFEBE" w14:textId="1D4C4C6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83BB1E3"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FD0A25" w14:paraId="12CADEA1" w14:textId="77777777" w:rsidTr="0036650A">
        <w:tc>
          <w:tcPr>
            <w:tcW w:w="2660" w:type="dxa"/>
          </w:tcPr>
          <w:p w14:paraId="7A3BE2DF" w14:textId="77777777" w:rsidR="00FD0A25" w:rsidRDefault="00FD0A25"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67B83A3"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B760385"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971D018"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E490D32" w14:textId="77777777" w:rsidR="00FD0A25" w:rsidRPr="00CE3194" w:rsidRDefault="00FD0A25"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71515CF" w14:textId="77777777" w:rsidR="00FD0A25" w:rsidRPr="005B66F8" w:rsidRDefault="00FD0A25" w:rsidP="0036650A">
            <w:pPr>
              <w:pStyle w:val="Listenabsatz"/>
              <w:numPr>
                <w:ilvl w:val="1"/>
                <w:numId w:val="17"/>
              </w:numPr>
              <w:ind w:left="317" w:hanging="283"/>
              <w:jc w:val="both"/>
              <w:rPr>
                <w:rFonts w:cs="Arial"/>
                <w:i/>
                <w:szCs w:val="20"/>
              </w:rPr>
            </w:pPr>
            <w:r w:rsidRPr="00CE3194">
              <w:rPr>
                <w:rFonts w:cs="Arial"/>
                <w:i/>
                <w:szCs w:val="20"/>
                <w:highlight w:val="lightGray"/>
              </w:rPr>
              <w:lastRenderedPageBreak/>
              <w:t>Das Limitwesen ist konsistent mit den Indikatoren der Sanierungsplanung</w:t>
            </w:r>
          </w:p>
          <w:p w14:paraId="638C2741" w14:textId="2EC87DE7"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0BCB7D30" w14:textId="77777777" w:rsidR="00FD0A25" w:rsidRDefault="00FD0A25" w:rsidP="00CB3EE6">
      <w:pPr>
        <w:jc w:val="both"/>
        <w:rPr>
          <w:rFonts w:cs="Arial"/>
          <w:szCs w:val="20"/>
        </w:rPr>
      </w:pPr>
    </w:p>
    <w:p w14:paraId="188E64D8"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9BF741C" w14:textId="77777777" w:rsidR="00E70DF4" w:rsidRDefault="00E70DF4" w:rsidP="00CB3EE6">
      <w:pPr>
        <w:jc w:val="both"/>
        <w:rPr>
          <w:rFonts w:cs="Arial"/>
          <w:szCs w:val="20"/>
        </w:rPr>
      </w:pPr>
    </w:p>
    <w:p w14:paraId="30D60E25" w14:textId="77777777" w:rsidR="00FD0A25" w:rsidRPr="006730AC" w:rsidRDefault="00FD0A25" w:rsidP="00CB3EE6">
      <w:pPr>
        <w:jc w:val="both"/>
        <w:rPr>
          <w:rFonts w:cs="Arial"/>
          <w:szCs w:val="20"/>
        </w:rPr>
      </w:pPr>
    </w:p>
    <w:p w14:paraId="1EE96F38" w14:textId="77777777" w:rsidR="008C30D1" w:rsidRPr="006730AC" w:rsidRDefault="008C30D1" w:rsidP="006F7AB5">
      <w:pPr>
        <w:pStyle w:val="FINMAGliederungEbene3"/>
      </w:pPr>
      <w:bookmarkStart w:id="51" w:name="_Toc147849905"/>
      <w:r>
        <w:t>Risikokonzentrationen aus Kredit</w:t>
      </w:r>
      <w:r w:rsidR="00764E6A">
        <w:t>- und Ausfallrisikokonzentrationen (inkl. Ausserbilanzgeschäft)</w:t>
      </w:r>
      <w:r w:rsidR="00543DCA">
        <w:t xml:space="preserve"> </w:t>
      </w:r>
      <w:r w:rsidR="00DB5BE8">
        <w:t>(GR-31</w:t>
      </w:r>
      <w:r w:rsidR="00543DCA">
        <w:t>)</w:t>
      </w:r>
      <w:bookmarkEnd w:id="51"/>
    </w:p>
    <w:p w14:paraId="7C5C7FA5" w14:textId="77777777"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7CABE2B8" w14:textId="77777777" w:rsidTr="0036650A">
        <w:trPr>
          <w:trHeight w:val="563"/>
        </w:trPr>
        <w:tc>
          <w:tcPr>
            <w:tcW w:w="1932" w:type="dxa"/>
          </w:tcPr>
          <w:p w14:paraId="0399E803"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4266735C"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F647A11"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036A32F5" w14:textId="77777777" w:rsidTr="0036650A">
        <w:trPr>
          <w:trHeight w:val="698"/>
        </w:trPr>
        <w:tc>
          <w:tcPr>
            <w:tcW w:w="1932" w:type="dxa"/>
          </w:tcPr>
          <w:p w14:paraId="6925B97B" w14:textId="3C2FD610"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6749A1A3" w14:textId="77777777"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ECAD105"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15C16863" w14:textId="77777777"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CE60F4" w14:textId="77777777"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21AA7041" w14:textId="77777777" w:rsidTr="0036650A">
        <w:trPr>
          <w:trHeight w:val="636"/>
        </w:trPr>
        <w:tc>
          <w:tcPr>
            <w:tcW w:w="9180" w:type="dxa"/>
            <w:gridSpan w:val="4"/>
          </w:tcPr>
          <w:p w14:paraId="1C318AF7" w14:textId="77777777" w:rsidR="00C9046E" w:rsidRDefault="00C9046E" w:rsidP="0036650A">
            <w:pPr>
              <w:jc w:val="both"/>
              <w:rPr>
                <w:rFonts w:ascii="Arial" w:hAnsi="Arial" w:cs="Arial"/>
                <w:sz w:val="18"/>
                <w:szCs w:val="18"/>
              </w:rPr>
            </w:pPr>
          </w:p>
          <w:p w14:paraId="33ACF4C8" w14:textId="77777777" w:rsidR="00C9046E" w:rsidRDefault="00C9046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0D376856" w14:textId="77777777" w:rsidR="00C9046E" w:rsidRPr="009872F3" w:rsidRDefault="00C9046E" w:rsidP="0036650A">
            <w:pPr>
              <w:jc w:val="both"/>
              <w:rPr>
                <w:rFonts w:ascii="Arial" w:hAnsi="Arial" w:cs="Arial"/>
                <w:sz w:val="18"/>
                <w:szCs w:val="18"/>
              </w:rPr>
            </w:pPr>
            <w:r w:rsidRPr="00CB3EE6">
              <w:rPr>
                <w:rFonts w:ascii="Arial" w:hAnsi="Arial" w:cs="Arial"/>
                <w:sz w:val="18"/>
                <w:szCs w:val="18"/>
                <w:highlight w:val="yellow"/>
              </w:rPr>
              <w:t>Art. 7a BankG; Art. 21k BankV; FMA-Mitteilung 2017/4 (inkl. regulatorische Grundlagen im Anhang)</w:t>
            </w:r>
          </w:p>
        </w:tc>
      </w:tr>
      <w:tr w:rsidR="00C9046E" w:rsidRPr="009872F3" w14:paraId="1C2B8DC3" w14:textId="77777777" w:rsidTr="0036650A">
        <w:trPr>
          <w:trHeight w:val="294"/>
        </w:trPr>
        <w:tc>
          <w:tcPr>
            <w:tcW w:w="9180" w:type="dxa"/>
            <w:gridSpan w:val="4"/>
          </w:tcPr>
          <w:p w14:paraId="22A12C41" w14:textId="77777777" w:rsidR="00C9046E" w:rsidRPr="009872F3" w:rsidRDefault="00C9046E" w:rsidP="0036650A">
            <w:pPr>
              <w:jc w:val="both"/>
              <w:rPr>
                <w:rFonts w:ascii="Arial" w:hAnsi="Arial" w:cs="Arial"/>
                <w:sz w:val="18"/>
                <w:szCs w:val="18"/>
              </w:rPr>
            </w:pPr>
          </w:p>
        </w:tc>
      </w:tr>
      <w:tr w:rsidR="00C9046E" w:rsidRPr="009872F3" w14:paraId="6C2DED74" w14:textId="77777777" w:rsidTr="0036650A">
        <w:tc>
          <w:tcPr>
            <w:tcW w:w="5798" w:type="dxa"/>
            <w:gridSpan w:val="3"/>
          </w:tcPr>
          <w:p w14:paraId="4DEA24A4"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Kredit- und Ausfallrisikokonzentrationen (inkl. Ausserbilanzgeschäft) </w:t>
            </w:r>
            <w:r w:rsidRPr="00C1307E">
              <w:rPr>
                <w:rFonts w:ascii="Arial" w:hAnsi="Arial" w:cs="Arial"/>
                <w:sz w:val="18"/>
                <w:szCs w:val="18"/>
              </w:rPr>
              <w:t>angemessen ausgestaltet ist.</w:t>
            </w:r>
          </w:p>
        </w:tc>
        <w:tc>
          <w:tcPr>
            <w:tcW w:w="3382" w:type="dxa"/>
          </w:tcPr>
          <w:p w14:paraId="2A8C8743" w14:textId="77777777"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550082B4" w14:textId="77777777" w:rsidTr="0036650A">
        <w:tc>
          <w:tcPr>
            <w:tcW w:w="5798" w:type="dxa"/>
            <w:gridSpan w:val="3"/>
          </w:tcPr>
          <w:p w14:paraId="38FB6C5C"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Risikokonzentrationen aus Kredit- und Ausfallrisikokonzentrationen (inkl. Ausserbilanzgeschäft)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078CA95"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714E578D" w14:textId="77777777" w:rsidTr="0036650A">
        <w:tc>
          <w:tcPr>
            <w:tcW w:w="5798" w:type="dxa"/>
            <w:gridSpan w:val="3"/>
          </w:tcPr>
          <w:p w14:paraId="0FA325A9"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Kredit- und Ausfallrisikokonzentrationen (inkl. Ausserbilanzgeschäft)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00E877F3"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581B7DB" w14:textId="77777777"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23EEA886" w14:textId="77777777" w:rsidTr="0036650A">
        <w:tc>
          <w:tcPr>
            <w:tcW w:w="2660" w:type="dxa"/>
          </w:tcPr>
          <w:p w14:paraId="3C7726B3"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2146836"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7329AEBA" w14:textId="77777777" w:rsidTr="0036650A">
        <w:tc>
          <w:tcPr>
            <w:tcW w:w="2660" w:type="dxa"/>
          </w:tcPr>
          <w:p w14:paraId="15C3EC68"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8510F73" w14:textId="77777777" w:rsidR="00D8345E" w:rsidRDefault="00D8345E" w:rsidP="00D8345E">
            <w:pPr>
              <w:jc w:val="both"/>
              <w:rPr>
                <w:rFonts w:ascii="Arial" w:hAnsi="Arial" w:cs="Arial"/>
                <w:i/>
                <w:sz w:val="20"/>
                <w:szCs w:val="20"/>
                <w:highlight w:val="lightGray"/>
              </w:rPr>
            </w:pPr>
          </w:p>
          <w:p w14:paraId="78CA750F" w14:textId="77777777"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09F9A8D4"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49CE818A"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124C71A3" w14:textId="131C3549"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9B04047"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199E90E7"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58ED201" w14:textId="77777777" w:rsidTr="0036650A">
        <w:tc>
          <w:tcPr>
            <w:tcW w:w="2660" w:type="dxa"/>
          </w:tcPr>
          <w:p w14:paraId="21211A58"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0DFC76B7" w14:textId="77777777" w:rsidR="0074539F" w:rsidRPr="00CE3194" w:rsidRDefault="0074539F" w:rsidP="0036650A">
            <w:pPr>
              <w:jc w:val="both"/>
              <w:rPr>
                <w:rFonts w:ascii="Arial" w:hAnsi="Arial" w:cs="Arial"/>
                <w:i/>
                <w:sz w:val="20"/>
                <w:szCs w:val="20"/>
                <w:highlight w:val="lightGray"/>
              </w:rPr>
            </w:pPr>
          </w:p>
        </w:tc>
        <w:tc>
          <w:tcPr>
            <w:tcW w:w="6520" w:type="dxa"/>
          </w:tcPr>
          <w:p w14:paraId="29630EAB" w14:textId="08C887BA"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583674D6" w14:textId="3C34DC87"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3C2D10DB" w14:textId="52FD0AE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27EC769B"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Die internen Verfahren stellen den internen Wissenstransfer (Berichterstattung) angemessen sicher</w:t>
            </w:r>
          </w:p>
        </w:tc>
      </w:tr>
      <w:tr w:rsidR="00C9046E" w14:paraId="3B1EFC83" w14:textId="77777777" w:rsidTr="0036650A">
        <w:tc>
          <w:tcPr>
            <w:tcW w:w="2660" w:type="dxa"/>
          </w:tcPr>
          <w:p w14:paraId="431B44F5" w14:textId="77777777" w:rsidR="00C9046E" w:rsidRDefault="00C9046E"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0831479E"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5953F5B"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9AC606C"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54FBEB52"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750C17BA" w14:textId="77777777" w:rsidR="00C9046E" w:rsidRPr="005B66F8" w:rsidRDefault="00C9046E"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5F7F8BB1" w14:textId="1A51D54E"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2ECA070E" w14:textId="77777777" w:rsidR="00C9046E" w:rsidRDefault="00C9046E" w:rsidP="00CB3EE6">
      <w:pPr>
        <w:jc w:val="both"/>
        <w:rPr>
          <w:rFonts w:cs="Arial"/>
          <w:szCs w:val="20"/>
        </w:rPr>
      </w:pPr>
    </w:p>
    <w:p w14:paraId="177D7948"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43A286CA" w14:textId="77777777" w:rsidR="00E70DF4" w:rsidRDefault="00E70DF4" w:rsidP="00CB3EE6">
      <w:pPr>
        <w:jc w:val="both"/>
        <w:rPr>
          <w:rFonts w:cs="Arial"/>
          <w:szCs w:val="20"/>
        </w:rPr>
      </w:pPr>
    </w:p>
    <w:p w14:paraId="4D19BFBC" w14:textId="77777777" w:rsidR="00C9046E" w:rsidRPr="006730AC" w:rsidRDefault="00C9046E" w:rsidP="00CB3EE6">
      <w:pPr>
        <w:jc w:val="both"/>
        <w:rPr>
          <w:rFonts w:cs="Arial"/>
          <w:szCs w:val="20"/>
        </w:rPr>
      </w:pPr>
    </w:p>
    <w:p w14:paraId="6FDD6CA8" w14:textId="77777777" w:rsidR="008C30D1" w:rsidRPr="006730AC" w:rsidRDefault="008C30D1" w:rsidP="006F7AB5">
      <w:pPr>
        <w:pStyle w:val="FINMAGliederungEbene3"/>
      </w:pPr>
      <w:bookmarkStart w:id="52" w:name="_Toc147849906"/>
      <w:r>
        <w:t>Risikokonzentrationen aus Marktrisiken</w:t>
      </w:r>
      <w:r w:rsidR="00543DCA">
        <w:t xml:space="preserve"> </w:t>
      </w:r>
      <w:r w:rsidR="00DB5BE8">
        <w:t>(GR-32</w:t>
      </w:r>
      <w:r w:rsidR="00543DCA">
        <w:t>)</w:t>
      </w:r>
      <w:bookmarkEnd w:id="52"/>
    </w:p>
    <w:p w14:paraId="1C9E4F50" w14:textId="77777777"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2D68A59A" w14:textId="77777777" w:rsidTr="0036650A">
        <w:trPr>
          <w:trHeight w:val="563"/>
        </w:trPr>
        <w:tc>
          <w:tcPr>
            <w:tcW w:w="1932" w:type="dxa"/>
          </w:tcPr>
          <w:p w14:paraId="0055614B"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66823AAF"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D122D82"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4F260674" w14:textId="77777777" w:rsidTr="0036650A">
        <w:trPr>
          <w:trHeight w:val="698"/>
        </w:trPr>
        <w:tc>
          <w:tcPr>
            <w:tcW w:w="1932" w:type="dxa"/>
          </w:tcPr>
          <w:p w14:paraId="22A5C277" w14:textId="1233F351"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4C220793" w14:textId="77777777"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0898305"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67430E1" w14:textId="77777777"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2840E50" w14:textId="77777777"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0D3A949F" w14:textId="77777777" w:rsidTr="0036650A">
        <w:trPr>
          <w:trHeight w:val="636"/>
        </w:trPr>
        <w:tc>
          <w:tcPr>
            <w:tcW w:w="9180" w:type="dxa"/>
            <w:gridSpan w:val="4"/>
          </w:tcPr>
          <w:p w14:paraId="00D25F7E" w14:textId="77777777" w:rsidR="00C9046E" w:rsidRDefault="00C9046E" w:rsidP="0036650A">
            <w:pPr>
              <w:jc w:val="both"/>
              <w:rPr>
                <w:rFonts w:ascii="Arial" w:hAnsi="Arial" w:cs="Arial"/>
                <w:sz w:val="18"/>
                <w:szCs w:val="18"/>
              </w:rPr>
            </w:pPr>
          </w:p>
          <w:p w14:paraId="21A625F7" w14:textId="77777777" w:rsidR="00C9046E" w:rsidRDefault="00C9046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7E0B2941" w14:textId="77777777" w:rsidR="00C9046E" w:rsidRPr="009872F3" w:rsidRDefault="00C9046E" w:rsidP="0036650A">
            <w:pPr>
              <w:jc w:val="both"/>
              <w:rPr>
                <w:rFonts w:ascii="Arial" w:hAnsi="Arial" w:cs="Arial"/>
                <w:sz w:val="18"/>
                <w:szCs w:val="18"/>
              </w:rPr>
            </w:pPr>
            <w:r w:rsidRPr="00CB3EE6">
              <w:rPr>
                <w:rFonts w:ascii="Arial" w:hAnsi="Arial" w:cs="Arial"/>
                <w:sz w:val="18"/>
                <w:szCs w:val="18"/>
                <w:highlight w:val="yellow"/>
              </w:rPr>
              <w:t>Art. 7a BankG; Art. 21k BankV; FMA-Mitteilung 2017/4 (inkl. regulatorische Grundlagen im Anhang)</w:t>
            </w:r>
          </w:p>
        </w:tc>
      </w:tr>
      <w:tr w:rsidR="00C9046E" w:rsidRPr="009872F3" w14:paraId="70E3BDA0" w14:textId="77777777" w:rsidTr="0036650A">
        <w:trPr>
          <w:trHeight w:val="294"/>
        </w:trPr>
        <w:tc>
          <w:tcPr>
            <w:tcW w:w="9180" w:type="dxa"/>
            <w:gridSpan w:val="4"/>
          </w:tcPr>
          <w:p w14:paraId="1B644625" w14:textId="77777777" w:rsidR="00C9046E" w:rsidRPr="009872F3" w:rsidRDefault="00C9046E" w:rsidP="0036650A">
            <w:pPr>
              <w:jc w:val="both"/>
              <w:rPr>
                <w:rFonts w:ascii="Arial" w:hAnsi="Arial" w:cs="Arial"/>
                <w:sz w:val="18"/>
                <w:szCs w:val="18"/>
              </w:rPr>
            </w:pPr>
          </w:p>
        </w:tc>
      </w:tr>
      <w:tr w:rsidR="00C9046E" w:rsidRPr="009872F3" w14:paraId="52E4F15A" w14:textId="77777777" w:rsidTr="0036650A">
        <w:tc>
          <w:tcPr>
            <w:tcW w:w="5798" w:type="dxa"/>
            <w:gridSpan w:val="3"/>
          </w:tcPr>
          <w:p w14:paraId="6BEE8833"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Marktrisiken </w:t>
            </w:r>
            <w:r w:rsidRPr="00C1307E">
              <w:rPr>
                <w:rFonts w:ascii="Arial" w:hAnsi="Arial" w:cs="Arial"/>
                <w:sz w:val="18"/>
                <w:szCs w:val="18"/>
              </w:rPr>
              <w:t>angemessen ausgestaltet ist.</w:t>
            </w:r>
          </w:p>
        </w:tc>
        <w:tc>
          <w:tcPr>
            <w:tcW w:w="3382" w:type="dxa"/>
          </w:tcPr>
          <w:p w14:paraId="38EC0E14" w14:textId="77777777"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09A56537" w14:textId="77777777" w:rsidTr="0036650A">
        <w:tc>
          <w:tcPr>
            <w:tcW w:w="5798" w:type="dxa"/>
            <w:gridSpan w:val="3"/>
          </w:tcPr>
          <w:p w14:paraId="340BEC9A"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Risikokonzentrationen aus Marktrisiken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4880A0CB"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6FE9D683" w14:textId="77777777" w:rsidTr="0036650A">
        <w:tc>
          <w:tcPr>
            <w:tcW w:w="5798" w:type="dxa"/>
            <w:gridSpan w:val="3"/>
          </w:tcPr>
          <w:p w14:paraId="29289DD0"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Marktrisiken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63AFC32"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78D76350" w14:textId="77777777"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651C1FD2" w14:textId="77777777" w:rsidTr="0036650A">
        <w:tc>
          <w:tcPr>
            <w:tcW w:w="2660" w:type="dxa"/>
          </w:tcPr>
          <w:p w14:paraId="7A09DA7C"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70FD2F0"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040609CD" w14:textId="77777777" w:rsidTr="0036650A">
        <w:tc>
          <w:tcPr>
            <w:tcW w:w="2660" w:type="dxa"/>
          </w:tcPr>
          <w:p w14:paraId="02FDA4F1"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57AD695F" w14:textId="77777777" w:rsidR="00D8345E" w:rsidRDefault="00D8345E" w:rsidP="00D8345E">
            <w:pPr>
              <w:jc w:val="both"/>
              <w:rPr>
                <w:rFonts w:ascii="Arial" w:hAnsi="Arial" w:cs="Arial"/>
                <w:i/>
                <w:sz w:val="20"/>
                <w:szCs w:val="20"/>
                <w:highlight w:val="lightGray"/>
              </w:rPr>
            </w:pPr>
          </w:p>
          <w:p w14:paraId="32B047B8" w14:textId="77777777"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2FBC1F08"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5EFF50CB"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03CB6241" w14:textId="5098DE71"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2C84F74F"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410652C"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C6A348C" w14:textId="77777777" w:rsidTr="0036650A">
        <w:tc>
          <w:tcPr>
            <w:tcW w:w="2660" w:type="dxa"/>
          </w:tcPr>
          <w:p w14:paraId="76B2B584"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40EA8410" w14:textId="77777777" w:rsidR="0074539F" w:rsidRPr="00CE3194" w:rsidRDefault="0074539F" w:rsidP="0036650A">
            <w:pPr>
              <w:jc w:val="both"/>
              <w:rPr>
                <w:rFonts w:ascii="Arial" w:hAnsi="Arial" w:cs="Arial"/>
                <w:i/>
                <w:sz w:val="20"/>
                <w:szCs w:val="20"/>
                <w:highlight w:val="lightGray"/>
              </w:rPr>
            </w:pPr>
          </w:p>
        </w:tc>
        <w:tc>
          <w:tcPr>
            <w:tcW w:w="6520" w:type="dxa"/>
          </w:tcPr>
          <w:p w14:paraId="7FD91E12" w14:textId="4510C4F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47638496" w14:textId="139A85A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4FE245A2" w14:textId="2A06CB3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36963B35"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480C5D24" w14:textId="77777777" w:rsidTr="0036650A">
        <w:tc>
          <w:tcPr>
            <w:tcW w:w="2660" w:type="dxa"/>
          </w:tcPr>
          <w:p w14:paraId="516EC5F6" w14:textId="77777777" w:rsidR="00C9046E" w:rsidRDefault="00C9046E" w:rsidP="0036650A">
            <w:pPr>
              <w:jc w:val="both"/>
              <w:rPr>
                <w:rFonts w:ascii="Arial" w:hAnsi="Arial" w:cs="Arial"/>
                <w:i/>
                <w:sz w:val="20"/>
                <w:szCs w:val="20"/>
              </w:rPr>
            </w:pPr>
            <w:r w:rsidRPr="00CE3194">
              <w:rPr>
                <w:rFonts w:ascii="Arial" w:hAnsi="Arial" w:cs="Arial"/>
                <w:i/>
                <w:sz w:val="20"/>
                <w:szCs w:val="20"/>
                <w:highlight w:val="lightGray"/>
              </w:rPr>
              <w:lastRenderedPageBreak/>
              <w:t>Risikomanagement</w:t>
            </w:r>
          </w:p>
        </w:tc>
        <w:tc>
          <w:tcPr>
            <w:tcW w:w="6520" w:type="dxa"/>
          </w:tcPr>
          <w:p w14:paraId="21AD45D0"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0F5BEF11"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4EF22FC"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51E0625"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78653AA" w14:textId="77777777" w:rsidR="00C9046E" w:rsidRPr="005B66F8" w:rsidRDefault="00C9046E"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1BDEA929" w14:textId="540BA0BB"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1D5E005A" w14:textId="77777777" w:rsidR="00C9046E" w:rsidRDefault="00C9046E" w:rsidP="00CB3EE6">
      <w:pPr>
        <w:jc w:val="both"/>
        <w:rPr>
          <w:rFonts w:cs="Arial"/>
          <w:szCs w:val="20"/>
        </w:rPr>
      </w:pPr>
    </w:p>
    <w:p w14:paraId="3A40411B"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4E0E7C6E" w14:textId="77777777" w:rsidR="00E70DF4" w:rsidRDefault="00E70DF4" w:rsidP="00CB3EE6">
      <w:pPr>
        <w:jc w:val="both"/>
        <w:rPr>
          <w:rFonts w:cs="Arial"/>
          <w:szCs w:val="20"/>
        </w:rPr>
      </w:pPr>
    </w:p>
    <w:p w14:paraId="1CC856B7" w14:textId="77777777" w:rsidR="00C9046E" w:rsidRPr="006730AC" w:rsidRDefault="00C9046E" w:rsidP="00CB3EE6">
      <w:pPr>
        <w:jc w:val="both"/>
        <w:rPr>
          <w:rFonts w:cs="Arial"/>
          <w:szCs w:val="20"/>
        </w:rPr>
      </w:pPr>
    </w:p>
    <w:p w14:paraId="4CB35A49" w14:textId="77777777" w:rsidR="008C30D1" w:rsidRPr="006730AC" w:rsidRDefault="008C30D1" w:rsidP="006F7AB5">
      <w:pPr>
        <w:pStyle w:val="FINMAGliederungEbene3"/>
      </w:pPr>
      <w:bookmarkStart w:id="53" w:name="_Toc147849907"/>
      <w:r>
        <w:t>Risikokonzentrationen aus operationellen Risiken</w:t>
      </w:r>
      <w:r w:rsidR="00543DCA">
        <w:t xml:space="preserve"> </w:t>
      </w:r>
      <w:r w:rsidR="00DB5BE8">
        <w:t>(GR-33</w:t>
      </w:r>
      <w:r w:rsidR="00543DCA">
        <w:t>)</w:t>
      </w:r>
      <w:bookmarkEnd w:id="53"/>
    </w:p>
    <w:p w14:paraId="179B7804" w14:textId="77777777"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4E5D0E68" w14:textId="77777777" w:rsidTr="0036650A">
        <w:trPr>
          <w:trHeight w:val="563"/>
        </w:trPr>
        <w:tc>
          <w:tcPr>
            <w:tcW w:w="1932" w:type="dxa"/>
          </w:tcPr>
          <w:p w14:paraId="4257EE98"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42691F73"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5E85DA3"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B727637" w14:textId="77777777" w:rsidTr="0036650A">
        <w:trPr>
          <w:trHeight w:val="698"/>
        </w:trPr>
        <w:tc>
          <w:tcPr>
            <w:tcW w:w="1932" w:type="dxa"/>
          </w:tcPr>
          <w:p w14:paraId="62FE7D9A" w14:textId="6E0A132F"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58256445" w14:textId="77777777"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D84976A"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52B18A02" w14:textId="77777777"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0085A07" w14:textId="77777777"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6901CCB1" w14:textId="77777777" w:rsidTr="0036650A">
        <w:trPr>
          <w:trHeight w:val="636"/>
        </w:trPr>
        <w:tc>
          <w:tcPr>
            <w:tcW w:w="9180" w:type="dxa"/>
            <w:gridSpan w:val="4"/>
          </w:tcPr>
          <w:p w14:paraId="512DF43F" w14:textId="77777777" w:rsidR="00C9046E" w:rsidRDefault="00C9046E" w:rsidP="0036650A">
            <w:pPr>
              <w:jc w:val="both"/>
              <w:rPr>
                <w:rFonts w:ascii="Arial" w:hAnsi="Arial" w:cs="Arial"/>
                <w:sz w:val="18"/>
                <w:szCs w:val="18"/>
              </w:rPr>
            </w:pPr>
          </w:p>
          <w:p w14:paraId="6AFFFB50" w14:textId="77777777" w:rsidR="00C9046E" w:rsidRDefault="00C9046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79591183" w14:textId="77777777" w:rsidR="00C9046E" w:rsidRPr="009872F3" w:rsidRDefault="00C9046E" w:rsidP="0036650A">
            <w:pPr>
              <w:jc w:val="both"/>
              <w:rPr>
                <w:rFonts w:ascii="Arial" w:hAnsi="Arial" w:cs="Arial"/>
                <w:sz w:val="18"/>
                <w:szCs w:val="18"/>
              </w:rPr>
            </w:pPr>
            <w:r w:rsidRPr="00CB3EE6">
              <w:rPr>
                <w:rFonts w:ascii="Arial" w:hAnsi="Arial" w:cs="Arial"/>
                <w:sz w:val="18"/>
                <w:szCs w:val="18"/>
                <w:highlight w:val="yellow"/>
              </w:rPr>
              <w:t>Art. 7a BankG; Art. 21k BankV; FMA-Mitteilung 2017/4 (inkl. regulatorische Grundlagen im Anhang)</w:t>
            </w:r>
          </w:p>
        </w:tc>
      </w:tr>
      <w:tr w:rsidR="00C9046E" w:rsidRPr="009872F3" w14:paraId="4EB01431" w14:textId="77777777" w:rsidTr="0036650A">
        <w:trPr>
          <w:trHeight w:val="294"/>
        </w:trPr>
        <w:tc>
          <w:tcPr>
            <w:tcW w:w="9180" w:type="dxa"/>
            <w:gridSpan w:val="4"/>
          </w:tcPr>
          <w:p w14:paraId="0516971E" w14:textId="77777777" w:rsidR="00C9046E" w:rsidRPr="009872F3" w:rsidRDefault="00C9046E" w:rsidP="0036650A">
            <w:pPr>
              <w:jc w:val="both"/>
              <w:rPr>
                <w:rFonts w:ascii="Arial" w:hAnsi="Arial" w:cs="Arial"/>
                <w:sz w:val="18"/>
                <w:szCs w:val="18"/>
              </w:rPr>
            </w:pPr>
          </w:p>
        </w:tc>
      </w:tr>
      <w:tr w:rsidR="00C9046E" w:rsidRPr="009872F3" w14:paraId="1C5100EE" w14:textId="77777777" w:rsidTr="0036650A">
        <w:tc>
          <w:tcPr>
            <w:tcW w:w="5798" w:type="dxa"/>
            <w:gridSpan w:val="3"/>
          </w:tcPr>
          <w:p w14:paraId="540381C7"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angemessen ausgestaltet ist.</w:t>
            </w:r>
          </w:p>
        </w:tc>
        <w:tc>
          <w:tcPr>
            <w:tcW w:w="3382" w:type="dxa"/>
          </w:tcPr>
          <w:p w14:paraId="2596914D" w14:textId="77777777"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1922A4AE" w14:textId="77777777" w:rsidTr="0036650A">
        <w:tc>
          <w:tcPr>
            <w:tcW w:w="5798" w:type="dxa"/>
            <w:gridSpan w:val="3"/>
          </w:tcPr>
          <w:p w14:paraId="6A9D68A6"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 xml:space="preserve">Risikokonzentrationen aus operationellen Risiken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33C49F5E"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5C478BD0" w14:textId="77777777" w:rsidTr="0036650A">
        <w:tc>
          <w:tcPr>
            <w:tcW w:w="5798" w:type="dxa"/>
            <w:gridSpan w:val="3"/>
          </w:tcPr>
          <w:p w14:paraId="61145E48"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Risikokonzentrationen aus operationellen 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571DD66"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FCB8AC5" w14:textId="77777777"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21D2EB00" w14:textId="77777777" w:rsidTr="0036650A">
        <w:tc>
          <w:tcPr>
            <w:tcW w:w="2660" w:type="dxa"/>
          </w:tcPr>
          <w:p w14:paraId="7E978A18"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699B574"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469B7AE6" w14:textId="77777777" w:rsidTr="0036650A">
        <w:tc>
          <w:tcPr>
            <w:tcW w:w="2660" w:type="dxa"/>
          </w:tcPr>
          <w:p w14:paraId="338E19E5"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6D843730" w14:textId="77777777" w:rsidR="00D8345E" w:rsidRDefault="00D8345E" w:rsidP="00D8345E">
            <w:pPr>
              <w:jc w:val="both"/>
              <w:rPr>
                <w:rFonts w:ascii="Arial" w:hAnsi="Arial" w:cs="Arial"/>
                <w:i/>
                <w:sz w:val="20"/>
                <w:szCs w:val="20"/>
                <w:highlight w:val="lightGray"/>
              </w:rPr>
            </w:pPr>
          </w:p>
          <w:p w14:paraId="044613D8" w14:textId="77777777"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xml:space="preserve">, </w:t>
            </w:r>
            <w:r w:rsidRPr="00667026">
              <w:rPr>
                <w:rFonts w:ascii="Arial" w:hAnsi="Arial" w:cs="Arial"/>
                <w:i/>
                <w:sz w:val="20"/>
                <w:szCs w:val="20"/>
                <w:highlight w:val="lightGray"/>
              </w:rPr>
              <w:lastRenderedPageBreak/>
              <w:t>Know-How, Interessenskonflikte)</w:t>
            </w:r>
          </w:p>
        </w:tc>
        <w:tc>
          <w:tcPr>
            <w:tcW w:w="6520" w:type="dxa"/>
          </w:tcPr>
          <w:p w14:paraId="0F73EC0F"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6D33C3D4"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5EC87AF" w14:textId="61ADB0A6"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E1E4587"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3A5E16BF"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Anzahl und Zusammensetzung der internen Ausschüsse sind angemessen;</w:t>
            </w:r>
          </w:p>
        </w:tc>
      </w:tr>
      <w:tr w:rsidR="0074539F" w:rsidRPr="00CE3194" w14:paraId="637BF465" w14:textId="77777777" w:rsidTr="0036650A">
        <w:tc>
          <w:tcPr>
            <w:tcW w:w="2660" w:type="dxa"/>
          </w:tcPr>
          <w:p w14:paraId="55C69767"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3EAB400E" w14:textId="77777777" w:rsidR="0074539F" w:rsidRPr="00CE3194" w:rsidRDefault="0074539F" w:rsidP="0036650A">
            <w:pPr>
              <w:jc w:val="both"/>
              <w:rPr>
                <w:rFonts w:ascii="Arial" w:hAnsi="Arial" w:cs="Arial"/>
                <w:i/>
                <w:sz w:val="20"/>
                <w:szCs w:val="20"/>
                <w:highlight w:val="lightGray"/>
              </w:rPr>
            </w:pPr>
          </w:p>
        </w:tc>
        <w:tc>
          <w:tcPr>
            <w:tcW w:w="6520" w:type="dxa"/>
          </w:tcPr>
          <w:p w14:paraId="4AC539AB" w14:textId="12B0639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0B423422" w14:textId="5F5EC3B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05D6BC1F" w14:textId="51865303"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9FB947B"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A430D29" w14:textId="77777777" w:rsidTr="0036650A">
        <w:tc>
          <w:tcPr>
            <w:tcW w:w="2660" w:type="dxa"/>
          </w:tcPr>
          <w:p w14:paraId="255BABFF" w14:textId="77777777"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48E21F4A"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25D748EE"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F158D47"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08D9CD30"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800B720" w14:textId="77777777" w:rsidR="00C9046E" w:rsidRPr="005B66F8" w:rsidRDefault="00C9046E"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26A16F99" w14:textId="4D3A7018"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195CA9CD" w14:textId="77777777" w:rsidR="00C9046E" w:rsidRDefault="00C9046E" w:rsidP="00CB3EE6">
      <w:pPr>
        <w:jc w:val="both"/>
        <w:rPr>
          <w:rFonts w:cs="Arial"/>
          <w:szCs w:val="20"/>
        </w:rPr>
      </w:pPr>
    </w:p>
    <w:p w14:paraId="12EAD107"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561ABD2" w14:textId="77777777" w:rsidR="00E70DF4" w:rsidRDefault="00E70DF4" w:rsidP="00CB3EE6">
      <w:pPr>
        <w:jc w:val="both"/>
        <w:rPr>
          <w:rFonts w:cs="Arial"/>
          <w:szCs w:val="20"/>
        </w:rPr>
      </w:pPr>
    </w:p>
    <w:p w14:paraId="1F096C8F" w14:textId="77777777" w:rsidR="00C9046E" w:rsidRPr="006730AC" w:rsidRDefault="00C9046E" w:rsidP="00CB3EE6">
      <w:pPr>
        <w:jc w:val="both"/>
        <w:rPr>
          <w:rFonts w:cs="Arial"/>
          <w:szCs w:val="20"/>
        </w:rPr>
      </w:pPr>
    </w:p>
    <w:p w14:paraId="4796788D" w14:textId="77777777" w:rsidR="008C30D1" w:rsidRPr="006730AC" w:rsidRDefault="00757204" w:rsidP="006F7AB5">
      <w:pPr>
        <w:pStyle w:val="FINMAGliederungEbene3"/>
      </w:pPr>
      <w:bookmarkStart w:id="54" w:name="_Toc147849908"/>
      <w:r w:rsidRPr="002E5C20">
        <w:rPr>
          <w:highlight w:val="yellow"/>
        </w:rPr>
        <w:t>[</w:t>
      </w:r>
      <w:r w:rsidR="008C30D1" w:rsidRPr="002E5C20">
        <w:rPr>
          <w:highlight w:val="yellow"/>
        </w:rPr>
        <w:t>Weitere Risikokonzentrationen von der Revisionsstelle selber zu definieren</w:t>
      </w:r>
      <w:r w:rsidRPr="002E5C20">
        <w:rPr>
          <w:highlight w:val="yellow"/>
        </w:rPr>
        <w:t>]</w:t>
      </w:r>
      <w:r w:rsidR="00543DCA">
        <w:t xml:space="preserve"> </w:t>
      </w:r>
      <w:r w:rsidR="00DB5BE8">
        <w:t>(GR-34</w:t>
      </w:r>
      <w:r w:rsidR="00543DCA">
        <w:t>)</w:t>
      </w:r>
      <w:bookmarkEnd w:id="54"/>
    </w:p>
    <w:p w14:paraId="729B8173" w14:textId="77777777" w:rsidR="00C9046E" w:rsidRDefault="00C9046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C9046E" w:rsidRPr="009872F3" w14:paraId="0C238517" w14:textId="77777777" w:rsidTr="0036650A">
        <w:trPr>
          <w:trHeight w:val="563"/>
        </w:trPr>
        <w:tc>
          <w:tcPr>
            <w:tcW w:w="1932" w:type="dxa"/>
          </w:tcPr>
          <w:p w14:paraId="52C21CE0"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7BDAA034"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D40DB23"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C9046E" w:rsidRPr="009872F3" w14:paraId="5EEE7E10" w14:textId="77777777" w:rsidTr="0036650A">
        <w:trPr>
          <w:trHeight w:val="698"/>
        </w:trPr>
        <w:tc>
          <w:tcPr>
            <w:tcW w:w="1932" w:type="dxa"/>
          </w:tcPr>
          <w:p w14:paraId="49B57FBF" w14:textId="138EEB16"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52F2ABA9" w14:textId="77777777" w:rsidR="00C9046E" w:rsidRPr="006749F0" w:rsidRDefault="00C9046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2B0541A" w14:textId="77777777" w:rsidR="00C9046E" w:rsidRPr="009872F3" w:rsidRDefault="00C9046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1973DE5" w14:textId="77777777" w:rsidR="00C9046E" w:rsidRDefault="00C9046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22E2281" w14:textId="77777777" w:rsidR="00C9046E" w:rsidRPr="006749F0" w:rsidRDefault="00C9046E" w:rsidP="0036650A">
            <w:pPr>
              <w:jc w:val="both"/>
              <w:rPr>
                <w:rFonts w:ascii="Arial" w:hAnsi="Arial" w:cs="Arial"/>
                <w:i/>
                <w:sz w:val="18"/>
                <w:szCs w:val="18"/>
              </w:rPr>
            </w:pPr>
            <w:r w:rsidRPr="006749F0">
              <w:rPr>
                <w:rFonts w:ascii="Arial" w:hAnsi="Arial" w:cs="Arial"/>
                <w:i/>
                <w:sz w:val="18"/>
                <w:szCs w:val="18"/>
                <w:highlight w:val="yellow"/>
              </w:rPr>
              <w:t>Jahr</w:t>
            </w:r>
          </w:p>
        </w:tc>
      </w:tr>
      <w:tr w:rsidR="00C9046E" w:rsidRPr="009872F3" w14:paraId="407F812D" w14:textId="77777777" w:rsidTr="0036650A">
        <w:trPr>
          <w:trHeight w:val="636"/>
        </w:trPr>
        <w:tc>
          <w:tcPr>
            <w:tcW w:w="9180" w:type="dxa"/>
            <w:gridSpan w:val="4"/>
          </w:tcPr>
          <w:p w14:paraId="7E6710ED" w14:textId="77777777" w:rsidR="00C9046E" w:rsidRDefault="00C9046E" w:rsidP="0036650A">
            <w:pPr>
              <w:jc w:val="both"/>
              <w:rPr>
                <w:rFonts w:ascii="Arial" w:hAnsi="Arial" w:cs="Arial"/>
                <w:sz w:val="18"/>
                <w:szCs w:val="18"/>
              </w:rPr>
            </w:pPr>
          </w:p>
          <w:p w14:paraId="530145D7" w14:textId="77777777" w:rsidR="00C9046E" w:rsidRDefault="00C9046E" w:rsidP="0036650A">
            <w:pPr>
              <w:jc w:val="both"/>
              <w:rPr>
                <w:rFonts w:ascii="Arial" w:hAnsi="Arial" w:cs="Arial"/>
                <w:sz w:val="18"/>
                <w:szCs w:val="18"/>
              </w:rPr>
            </w:pPr>
            <w:r>
              <w:rPr>
                <w:rFonts w:ascii="Arial" w:hAnsi="Arial" w:cs="Arial"/>
                <w:sz w:val="18"/>
                <w:szCs w:val="18"/>
              </w:rPr>
              <w:t>Referenzen:</w:t>
            </w:r>
          </w:p>
          <w:p w14:paraId="72E118C0" w14:textId="77777777" w:rsidR="00C9046E" w:rsidRPr="009872F3" w:rsidRDefault="00C9046E" w:rsidP="0036650A">
            <w:pPr>
              <w:jc w:val="both"/>
              <w:rPr>
                <w:rFonts w:ascii="Arial" w:hAnsi="Arial" w:cs="Arial"/>
                <w:sz w:val="18"/>
                <w:szCs w:val="18"/>
              </w:rPr>
            </w:pPr>
            <w:r w:rsidRPr="00276C60">
              <w:rPr>
                <w:rFonts w:ascii="Arial" w:hAnsi="Arial" w:cs="Arial"/>
                <w:sz w:val="18"/>
                <w:szCs w:val="18"/>
                <w:highlight w:val="yellow"/>
              </w:rPr>
              <w:t>tbd</w:t>
            </w:r>
          </w:p>
        </w:tc>
      </w:tr>
      <w:tr w:rsidR="00C9046E" w:rsidRPr="009872F3" w14:paraId="5CD11E7E" w14:textId="77777777" w:rsidTr="0036650A">
        <w:trPr>
          <w:trHeight w:val="294"/>
        </w:trPr>
        <w:tc>
          <w:tcPr>
            <w:tcW w:w="9180" w:type="dxa"/>
            <w:gridSpan w:val="4"/>
          </w:tcPr>
          <w:p w14:paraId="768B65E6" w14:textId="77777777" w:rsidR="00C9046E" w:rsidRPr="009872F3" w:rsidRDefault="00C9046E" w:rsidP="0036650A">
            <w:pPr>
              <w:jc w:val="both"/>
              <w:rPr>
                <w:rFonts w:ascii="Arial" w:hAnsi="Arial" w:cs="Arial"/>
                <w:sz w:val="18"/>
                <w:szCs w:val="18"/>
              </w:rPr>
            </w:pPr>
          </w:p>
        </w:tc>
      </w:tr>
      <w:tr w:rsidR="00C9046E" w:rsidRPr="009872F3" w14:paraId="56B67F64" w14:textId="77777777" w:rsidTr="0036650A">
        <w:tc>
          <w:tcPr>
            <w:tcW w:w="5798" w:type="dxa"/>
            <w:gridSpan w:val="3"/>
          </w:tcPr>
          <w:p w14:paraId="5D8B9E04" w14:textId="77777777" w:rsidR="00C9046E" w:rsidRPr="00C1307E" w:rsidRDefault="00C9046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5039DBEA" w14:textId="77777777" w:rsidR="00C9046E" w:rsidRPr="00E109DF" w:rsidRDefault="00C9046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24D953D8" w14:textId="77777777" w:rsidTr="0036650A">
        <w:tc>
          <w:tcPr>
            <w:tcW w:w="5798" w:type="dxa"/>
            <w:gridSpan w:val="3"/>
          </w:tcPr>
          <w:p w14:paraId="324201EF"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2951092A"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9046E" w:rsidRPr="009872F3" w14:paraId="3461C9DE" w14:textId="77777777" w:rsidTr="0036650A">
        <w:tc>
          <w:tcPr>
            <w:tcW w:w="5798" w:type="dxa"/>
            <w:gridSpan w:val="3"/>
          </w:tcPr>
          <w:p w14:paraId="4072592A" w14:textId="77777777" w:rsidR="00C9046E" w:rsidRPr="00C1307E" w:rsidRDefault="00C9046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Risikokonzentrationen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7DD375F9" w14:textId="77777777" w:rsidR="00C9046E" w:rsidRPr="009872F3" w:rsidRDefault="00C9046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68A1F98" w14:textId="77777777" w:rsidR="00C9046E" w:rsidRPr="00CE3194" w:rsidRDefault="00C9046E" w:rsidP="00C9046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C9046E" w:rsidRPr="00CE3194" w14:paraId="73204A7F" w14:textId="77777777" w:rsidTr="0036650A">
        <w:tc>
          <w:tcPr>
            <w:tcW w:w="2660" w:type="dxa"/>
          </w:tcPr>
          <w:p w14:paraId="1BEACACF"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97330B5" w14:textId="77777777" w:rsidR="00C9046E" w:rsidRPr="00CE3194" w:rsidRDefault="00C9046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C9046E" w:rsidRPr="00CE3194" w14:paraId="60EB5785" w14:textId="77777777" w:rsidTr="0036650A">
        <w:tc>
          <w:tcPr>
            <w:tcW w:w="2660" w:type="dxa"/>
          </w:tcPr>
          <w:p w14:paraId="38D6D390"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247F04AB" w14:textId="77777777" w:rsidR="00D8345E" w:rsidRDefault="00D8345E" w:rsidP="00D8345E">
            <w:pPr>
              <w:jc w:val="both"/>
              <w:rPr>
                <w:rFonts w:ascii="Arial" w:hAnsi="Arial" w:cs="Arial"/>
                <w:i/>
                <w:sz w:val="20"/>
                <w:szCs w:val="20"/>
                <w:highlight w:val="lightGray"/>
              </w:rPr>
            </w:pPr>
          </w:p>
          <w:p w14:paraId="37E2E74B" w14:textId="77777777" w:rsidR="00C9046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lastRenderedPageBreak/>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6CFF38D"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angemessene Verfahren zur Vermeidung, Reduzierung und Offenlegung von Interessenkonflikten;</w:t>
            </w:r>
          </w:p>
          <w:p w14:paraId="42BF30C1"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3BBE2F5C" w14:textId="292B81A4"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A2BAEB2"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48D9A713"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66176F86" w14:textId="77777777" w:rsidTr="0036650A">
        <w:tc>
          <w:tcPr>
            <w:tcW w:w="2660" w:type="dxa"/>
          </w:tcPr>
          <w:p w14:paraId="3F897E6E"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lastRenderedPageBreak/>
              <w:t>Internes Kontrollsystem</w:t>
            </w:r>
          </w:p>
          <w:p w14:paraId="18C41822" w14:textId="77777777" w:rsidR="0074539F" w:rsidRPr="00CE3194" w:rsidRDefault="0074539F" w:rsidP="0036650A">
            <w:pPr>
              <w:jc w:val="both"/>
              <w:rPr>
                <w:rFonts w:ascii="Arial" w:hAnsi="Arial" w:cs="Arial"/>
                <w:i/>
                <w:sz w:val="20"/>
                <w:szCs w:val="20"/>
                <w:highlight w:val="lightGray"/>
              </w:rPr>
            </w:pPr>
          </w:p>
        </w:tc>
        <w:tc>
          <w:tcPr>
            <w:tcW w:w="6520" w:type="dxa"/>
          </w:tcPr>
          <w:p w14:paraId="35DE7F7B" w14:textId="10A9F1A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33CD7530" w14:textId="05194B7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C1594AB" w14:textId="274FC45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12F542FC"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C9046E" w14:paraId="1183CA70" w14:textId="77777777" w:rsidTr="0036650A">
        <w:tc>
          <w:tcPr>
            <w:tcW w:w="2660" w:type="dxa"/>
          </w:tcPr>
          <w:p w14:paraId="2C1E4771" w14:textId="77777777" w:rsidR="00C9046E" w:rsidRDefault="00C9046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20A772C6"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2EADCA9"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17202B38"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4826C56E" w14:textId="77777777" w:rsidR="00C9046E" w:rsidRPr="00CE3194" w:rsidRDefault="00C9046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6352FCD" w14:textId="77777777" w:rsidR="00C9046E" w:rsidRPr="005B66F8" w:rsidRDefault="00C9046E"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1270EEBF" w14:textId="2D4F6077"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07F9F53F" w14:textId="77777777" w:rsidR="00C9046E" w:rsidRDefault="00C9046E" w:rsidP="00CB3EE6">
      <w:pPr>
        <w:jc w:val="both"/>
        <w:rPr>
          <w:rFonts w:cs="Arial"/>
          <w:szCs w:val="20"/>
        </w:rPr>
      </w:pPr>
    </w:p>
    <w:p w14:paraId="1B421B1A"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216642D" w14:textId="77777777" w:rsidR="00E70DF4" w:rsidRDefault="00E70DF4" w:rsidP="00CB3EE6">
      <w:pPr>
        <w:jc w:val="both"/>
        <w:rPr>
          <w:rFonts w:cs="Arial"/>
          <w:szCs w:val="20"/>
        </w:rPr>
      </w:pPr>
    </w:p>
    <w:p w14:paraId="400DE0DF" w14:textId="77777777" w:rsidR="00C9046E" w:rsidRPr="006730AC" w:rsidRDefault="00C9046E" w:rsidP="00CB3EE6">
      <w:pPr>
        <w:jc w:val="both"/>
        <w:rPr>
          <w:rFonts w:cs="Arial"/>
          <w:szCs w:val="20"/>
        </w:rPr>
      </w:pPr>
    </w:p>
    <w:p w14:paraId="6F78B2A3" w14:textId="77777777" w:rsidR="008C30D1" w:rsidRPr="000C756C" w:rsidRDefault="008C30D1" w:rsidP="006F7AB5">
      <w:pPr>
        <w:pStyle w:val="FINMAGliederungEbene3"/>
      </w:pPr>
      <w:bookmarkStart w:id="55" w:name="_Toc147849909"/>
      <w:r>
        <w:t>Sonstige Risiken im Zusammenhang mit grenzüberschreitenden Dienstleistungen und Korrespondenzbankbeziehungen</w:t>
      </w:r>
      <w:r w:rsidR="00543DCA">
        <w:t xml:space="preserve"> </w:t>
      </w:r>
      <w:r w:rsidR="00DB5BE8">
        <w:t>(GR-35</w:t>
      </w:r>
      <w:r w:rsidR="00543DCA">
        <w:t>)</w:t>
      </w:r>
      <w:bookmarkEnd w:id="55"/>
    </w:p>
    <w:p w14:paraId="0469F913" w14:textId="77777777" w:rsidR="000C756C" w:rsidRPr="006730AC" w:rsidRDefault="000C756C" w:rsidP="000C756C">
      <w:pPr>
        <w:pStyle w:val="Listenabsatz"/>
        <w:ind w:left="1224"/>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A5C48" w:rsidRPr="009872F3" w14:paraId="1F6721C2" w14:textId="77777777" w:rsidTr="0036650A">
        <w:trPr>
          <w:trHeight w:val="563"/>
        </w:trPr>
        <w:tc>
          <w:tcPr>
            <w:tcW w:w="1932" w:type="dxa"/>
          </w:tcPr>
          <w:p w14:paraId="70850A11"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3AE028E9"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48E3A8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A5C48" w:rsidRPr="009872F3" w14:paraId="1E849A1C" w14:textId="77777777" w:rsidTr="0036650A">
        <w:trPr>
          <w:trHeight w:val="698"/>
        </w:trPr>
        <w:tc>
          <w:tcPr>
            <w:tcW w:w="1932" w:type="dxa"/>
          </w:tcPr>
          <w:p w14:paraId="5286E079" w14:textId="6CDD6BF4"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2A45EA">
              <w:rPr>
                <w:rFonts w:ascii="Arial" w:hAnsi="Arial" w:cs="Arial"/>
                <w:i/>
                <w:sz w:val="18"/>
                <w:szCs w:val="18"/>
                <w:highlight w:val="yellow"/>
              </w:rPr>
              <w:t>hoch</w:t>
            </w:r>
          </w:p>
        </w:tc>
        <w:tc>
          <w:tcPr>
            <w:tcW w:w="2145" w:type="dxa"/>
          </w:tcPr>
          <w:p w14:paraId="1B5E695C" w14:textId="77777777" w:rsidR="00AA5C48" w:rsidRPr="006749F0" w:rsidRDefault="00AA5C48"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FFCBB60" w14:textId="77777777" w:rsidR="00AA5C48" w:rsidRPr="009872F3" w:rsidRDefault="00AA5C48"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DAD1A41" w14:textId="77777777" w:rsidR="00AA5C48" w:rsidRDefault="00AA5C48"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4D51B4A" w14:textId="77777777" w:rsidR="00AA5C48" w:rsidRPr="006749F0" w:rsidRDefault="00AA5C48" w:rsidP="0036650A">
            <w:pPr>
              <w:jc w:val="both"/>
              <w:rPr>
                <w:rFonts w:ascii="Arial" w:hAnsi="Arial" w:cs="Arial"/>
                <w:i/>
                <w:sz w:val="18"/>
                <w:szCs w:val="18"/>
              </w:rPr>
            </w:pPr>
            <w:r w:rsidRPr="006749F0">
              <w:rPr>
                <w:rFonts w:ascii="Arial" w:hAnsi="Arial" w:cs="Arial"/>
                <w:i/>
                <w:sz w:val="18"/>
                <w:szCs w:val="18"/>
                <w:highlight w:val="yellow"/>
              </w:rPr>
              <w:t>Jahr</w:t>
            </w:r>
          </w:p>
        </w:tc>
      </w:tr>
      <w:tr w:rsidR="00AA5C48" w:rsidRPr="009872F3" w14:paraId="2011F080" w14:textId="77777777" w:rsidTr="0036650A">
        <w:trPr>
          <w:trHeight w:val="636"/>
        </w:trPr>
        <w:tc>
          <w:tcPr>
            <w:tcW w:w="9180" w:type="dxa"/>
            <w:gridSpan w:val="4"/>
          </w:tcPr>
          <w:p w14:paraId="6018EECC" w14:textId="77777777" w:rsidR="00AA5C48" w:rsidRDefault="00AA5C48" w:rsidP="0036650A">
            <w:pPr>
              <w:jc w:val="both"/>
              <w:rPr>
                <w:rFonts w:ascii="Arial" w:hAnsi="Arial" w:cs="Arial"/>
                <w:sz w:val="18"/>
                <w:szCs w:val="18"/>
              </w:rPr>
            </w:pPr>
          </w:p>
          <w:p w14:paraId="378E0504" w14:textId="77777777" w:rsidR="00AA5C48" w:rsidRDefault="00AA5C48"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5E633C6C" w14:textId="77777777" w:rsidR="00AA5C48" w:rsidRPr="009872F3" w:rsidRDefault="00AA5C48" w:rsidP="0036650A">
            <w:pPr>
              <w:jc w:val="both"/>
              <w:rPr>
                <w:rFonts w:ascii="Arial" w:hAnsi="Arial" w:cs="Arial"/>
                <w:sz w:val="18"/>
                <w:szCs w:val="18"/>
              </w:rPr>
            </w:pPr>
            <w:r w:rsidRPr="00CB3EE6">
              <w:rPr>
                <w:rFonts w:ascii="Arial" w:hAnsi="Arial" w:cs="Arial"/>
                <w:sz w:val="18"/>
                <w:szCs w:val="18"/>
                <w:highlight w:val="yellow"/>
              </w:rPr>
              <w:t>Art. 7a BankG; Art. 21c BankV; Anhang 4.1 BankV; FMA-Mitteilung 2017/4 (inkl. regulatorische Grundlagen im Anhang), FMA-Mitteilung 2015/03</w:t>
            </w:r>
          </w:p>
        </w:tc>
      </w:tr>
      <w:tr w:rsidR="00AA5C48" w:rsidRPr="009872F3" w14:paraId="2EFC43C7" w14:textId="77777777" w:rsidTr="0036650A">
        <w:trPr>
          <w:trHeight w:val="294"/>
        </w:trPr>
        <w:tc>
          <w:tcPr>
            <w:tcW w:w="9180" w:type="dxa"/>
            <w:gridSpan w:val="4"/>
          </w:tcPr>
          <w:p w14:paraId="6B441C3D" w14:textId="77777777" w:rsidR="00AA5C48" w:rsidRPr="009872F3" w:rsidRDefault="00AA5C48" w:rsidP="0036650A">
            <w:pPr>
              <w:jc w:val="both"/>
              <w:rPr>
                <w:rFonts w:ascii="Arial" w:hAnsi="Arial" w:cs="Arial"/>
                <w:sz w:val="18"/>
                <w:szCs w:val="18"/>
              </w:rPr>
            </w:pPr>
          </w:p>
        </w:tc>
      </w:tr>
      <w:tr w:rsidR="00AA5C48" w:rsidRPr="009872F3" w14:paraId="3CBC3D3E" w14:textId="77777777" w:rsidTr="0036650A">
        <w:tc>
          <w:tcPr>
            <w:tcW w:w="5798" w:type="dxa"/>
            <w:gridSpan w:val="3"/>
          </w:tcPr>
          <w:p w14:paraId="1EC0E743" w14:textId="77777777" w:rsidR="00AA5C48" w:rsidRPr="00C1307E" w:rsidRDefault="00AA5C48"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sonstigen Risiken im Zusammenhang mit grenzüberschreitenden Dienstleistungen und Korrespondenzbankbeziehungen </w:t>
            </w:r>
            <w:r w:rsidRPr="00C1307E">
              <w:rPr>
                <w:rFonts w:ascii="Arial" w:hAnsi="Arial" w:cs="Arial"/>
                <w:sz w:val="18"/>
                <w:szCs w:val="18"/>
              </w:rPr>
              <w:t>angemessen ausgestaltet ist.</w:t>
            </w:r>
          </w:p>
        </w:tc>
        <w:tc>
          <w:tcPr>
            <w:tcW w:w="3382" w:type="dxa"/>
          </w:tcPr>
          <w:p w14:paraId="6974B121" w14:textId="77777777" w:rsidR="00AA5C48" w:rsidRPr="00E109DF" w:rsidRDefault="00AA5C48"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22DB9A4A" w14:textId="77777777" w:rsidTr="0036650A">
        <w:tc>
          <w:tcPr>
            <w:tcW w:w="5798" w:type="dxa"/>
            <w:gridSpan w:val="3"/>
          </w:tcPr>
          <w:p w14:paraId="1C864FD6" w14:textId="77777777" w:rsidR="00AA5C48" w:rsidRPr="00C1307E" w:rsidRDefault="00AA5C48"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sonstigen Risiken im Zusammenhang mit grenzüberschreitenden Dienstleistungen und Korrespondenzbankbeziehungen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w:t>
            </w:r>
            <w:r w:rsidRPr="00C1307E">
              <w:rPr>
                <w:rFonts w:ascii="Arial" w:hAnsi="Arial" w:cs="Arial"/>
                <w:sz w:val="18"/>
                <w:szCs w:val="18"/>
              </w:rPr>
              <w:lastRenderedPageBreak/>
              <w:t>ist</w:t>
            </w:r>
            <w:r>
              <w:rPr>
                <w:rFonts w:ascii="Arial" w:hAnsi="Arial" w:cs="Arial"/>
                <w:sz w:val="18"/>
                <w:szCs w:val="18"/>
              </w:rPr>
              <w:t xml:space="preserve"> und im Falle der Prüftiefe Detailprüfung effektiv angewendet wurden.</w:t>
            </w:r>
          </w:p>
        </w:tc>
        <w:tc>
          <w:tcPr>
            <w:tcW w:w="3382" w:type="dxa"/>
          </w:tcPr>
          <w:p w14:paraId="67B19630"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A5C48" w:rsidRPr="009872F3" w14:paraId="6DE68003" w14:textId="77777777" w:rsidTr="0036650A">
        <w:tc>
          <w:tcPr>
            <w:tcW w:w="5798" w:type="dxa"/>
            <w:gridSpan w:val="3"/>
          </w:tcPr>
          <w:p w14:paraId="5DBABD1B" w14:textId="77777777" w:rsidR="00AA5C48" w:rsidRPr="00C1307E" w:rsidRDefault="00AA5C48"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002D4D4E">
              <w:rPr>
                <w:rFonts w:ascii="Arial" w:hAnsi="Arial" w:cs="Arial"/>
                <w:sz w:val="18"/>
                <w:szCs w:val="18"/>
              </w:rPr>
              <w:t>sonstigen Risiken im Zusammenhang mit grenzüberschreitenden Dienstleistungen und Korrespondenzbankbeziehungen</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5FF5A5CD" w14:textId="77777777" w:rsidR="00AA5C48" w:rsidRPr="009872F3" w:rsidRDefault="00AA5C48"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3EC9EB6D" w14:textId="77777777" w:rsidR="00AA5C48" w:rsidRPr="00CE3194" w:rsidRDefault="00AA5C48" w:rsidP="00AA5C48">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A5C48" w:rsidRPr="00CE3194" w14:paraId="6342828E" w14:textId="77777777" w:rsidTr="0036650A">
        <w:tc>
          <w:tcPr>
            <w:tcW w:w="2660" w:type="dxa"/>
          </w:tcPr>
          <w:p w14:paraId="635983A5"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C1C42FB" w14:textId="77777777" w:rsidR="00AA5C48" w:rsidRPr="00CE3194" w:rsidRDefault="00AA5C48"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A5C48" w:rsidRPr="00CE3194" w14:paraId="6DB2E1A6" w14:textId="77777777" w:rsidTr="0036650A">
        <w:tc>
          <w:tcPr>
            <w:tcW w:w="2660" w:type="dxa"/>
          </w:tcPr>
          <w:p w14:paraId="099766AB"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104A62E0" w14:textId="77777777" w:rsidR="00D8345E" w:rsidRDefault="00D8345E" w:rsidP="00D8345E">
            <w:pPr>
              <w:jc w:val="both"/>
              <w:rPr>
                <w:rFonts w:ascii="Arial" w:hAnsi="Arial" w:cs="Arial"/>
                <w:i/>
                <w:sz w:val="20"/>
                <w:szCs w:val="20"/>
                <w:highlight w:val="lightGray"/>
              </w:rPr>
            </w:pPr>
          </w:p>
          <w:p w14:paraId="10BFDA0F" w14:textId="77777777" w:rsidR="00AA5C48"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2B1D2B25"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190CFF0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2A0D8E2" w14:textId="3A2CAA88"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0FAD1D10"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7F40A2CF"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50AA607" w14:textId="77777777" w:rsidTr="0036650A">
        <w:tc>
          <w:tcPr>
            <w:tcW w:w="2660" w:type="dxa"/>
          </w:tcPr>
          <w:p w14:paraId="0287804A"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2351486A" w14:textId="77777777" w:rsidR="0074539F" w:rsidRPr="00CE3194" w:rsidRDefault="0074539F" w:rsidP="0036650A">
            <w:pPr>
              <w:jc w:val="both"/>
              <w:rPr>
                <w:rFonts w:ascii="Arial" w:hAnsi="Arial" w:cs="Arial"/>
                <w:i/>
                <w:sz w:val="20"/>
                <w:szCs w:val="20"/>
                <w:highlight w:val="lightGray"/>
              </w:rPr>
            </w:pPr>
          </w:p>
        </w:tc>
        <w:tc>
          <w:tcPr>
            <w:tcW w:w="6520" w:type="dxa"/>
          </w:tcPr>
          <w:p w14:paraId="0053C076" w14:textId="4637C3D5"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280B30F5" w14:textId="5E96E438"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5061E26C" w14:textId="5DBE16C0"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6383308"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A5C48" w14:paraId="48D70E63" w14:textId="77777777" w:rsidTr="0036650A">
        <w:tc>
          <w:tcPr>
            <w:tcW w:w="2660" w:type="dxa"/>
          </w:tcPr>
          <w:p w14:paraId="44903881" w14:textId="77777777" w:rsidR="00AA5C48" w:rsidRDefault="00AA5C48"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6BD47E28"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51F8C7CE"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50160CAA"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8F0C5FF" w14:textId="77777777" w:rsidR="00AA5C48" w:rsidRPr="00CE3194" w:rsidRDefault="00AA5C48"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19805028" w14:textId="77777777" w:rsidR="00AA5C48" w:rsidRPr="005B66F8" w:rsidRDefault="00AA5C48"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47E8CB96" w14:textId="75267818"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7D4FBE15" w14:textId="77777777" w:rsidR="00C9046E" w:rsidRDefault="00C9046E" w:rsidP="00CB3EE6">
      <w:pPr>
        <w:jc w:val="both"/>
        <w:rPr>
          <w:rFonts w:cs="Arial"/>
          <w:szCs w:val="20"/>
        </w:rPr>
      </w:pPr>
    </w:p>
    <w:p w14:paraId="773C2ED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ADD56F4" w14:textId="77777777" w:rsidR="00C9046E" w:rsidRDefault="00C9046E" w:rsidP="00CB3EE6">
      <w:pPr>
        <w:jc w:val="both"/>
        <w:rPr>
          <w:rFonts w:cs="Arial"/>
          <w:szCs w:val="20"/>
        </w:rPr>
      </w:pPr>
    </w:p>
    <w:p w14:paraId="785DA3AE" w14:textId="77777777" w:rsidR="00C9046E" w:rsidRPr="006730AC" w:rsidRDefault="00C9046E" w:rsidP="00CB3EE6">
      <w:pPr>
        <w:jc w:val="both"/>
        <w:rPr>
          <w:rFonts w:cs="Arial"/>
          <w:szCs w:val="20"/>
        </w:rPr>
      </w:pPr>
    </w:p>
    <w:p w14:paraId="3B5D50A2" w14:textId="77777777" w:rsidR="008C30D1" w:rsidRPr="006730AC" w:rsidRDefault="008C30D1" w:rsidP="006F7AB5">
      <w:pPr>
        <w:pStyle w:val="FINMAGliederungEbene3"/>
      </w:pPr>
      <w:bookmarkStart w:id="56" w:name="_Toc147849910"/>
      <w:r>
        <w:t>Sonstige Risiken im Zusammenhang mit Intragruppenbeziehungen</w:t>
      </w:r>
      <w:r w:rsidR="00543DCA">
        <w:t xml:space="preserve"> </w:t>
      </w:r>
      <w:r w:rsidR="00DB5BE8">
        <w:t>(GR-36</w:t>
      </w:r>
      <w:r w:rsidR="00543DCA">
        <w:t>)</w:t>
      </w:r>
      <w:bookmarkEnd w:id="56"/>
    </w:p>
    <w:p w14:paraId="05EB2B99" w14:textId="77777777" w:rsidR="002D4D4E" w:rsidRDefault="002D4D4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D4D4E" w:rsidRPr="009872F3" w14:paraId="59D5111C" w14:textId="77777777" w:rsidTr="0036650A">
        <w:trPr>
          <w:trHeight w:val="563"/>
        </w:trPr>
        <w:tc>
          <w:tcPr>
            <w:tcW w:w="1932" w:type="dxa"/>
          </w:tcPr>
          <w:p w14:paraId="29F450C5"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Nettorisiko</w:t>
            </w:r>
          </w:p>
        </w:tc>
        <w:tc>
          <w:tcPr>
            <w:tcW w:w="2145" w:type="dxa"/>
          </w:tcPr>
          <w:p w14:paraId="1CCB5449"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F6D2945"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D4D4E" w:rsidRPr="009872F3" w14:paraId="0FC6A22B" w14:textId="77777777" w:rsidTr="0036650A">
        <w:trPr>
          <w:trHeight w:val="698"/>
        </w:trPr>
        <w:tc>
          <w:tcPr>
            <w:tcW w:w="1932" w:type="dxa"/>
          </w:tcPr>
          <w:p w14:paraId="5DFE3F3A" w14:textId="05835BFE"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7DCC8F06" w14:textId="77777777"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B97DC28"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BE5B17C" w14:textId="77777777" w:rsidR="002D4D4E" w:rsidRDefault="002D4D4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5D6E2C6" w14:textId="77777777" w:rsidR="002D4D4E" w:rsidRPr="006749F0" w:rsidRDefault="002D4D4E" w:rsidP="0036650A">
            <w:pPr>
              <w:jc w:val="both"/>
              <w:rPr>
                <w:rFonts w:ascii="Arial" w:hAnsi="Arial" w:cs="Arial"/>
                <w:i/>
                <w:sz w:val="18"/>
                <w:szCs w:val="18"/>
              </w:rPr>
            </w:pPr>
            <w:r w:rsidRPr="006749F0">
              <w:rPr>
                <w:rFonts w:ascii="Arial" w:hAnsi="Arial" w:cs="Arial"/>
                <w:i/>
                <w:sz w:val="18"/>
                <w:szCs w:val="18"/>
                <w:highlight w:val="yellow"/>
              </w:rPr>
              <w:t>Jahr</w:t>
            </w:r>
          </w:p>
        </w:tc>
      </w:tr>
      <w:tr w:rsidR="002D4D4E" w:rsidRPr="009872F3" w14:paraId="12FFED57" w14:textId="77777777" w:rsidTr="0036650A">
        <w:trPr>
          <w:trHeight w:val="636"/>
        </w:trPr>
        <w:tc>
          <w:tcPr>
            <w:tcW w:w="9180" w:type="dxa"/>
            <w:gridSpan w:val="4"/>
          </w:tcPr>
          <w:p w14:paraId="52481619" w14:textId="77777777" w:rsidR="002D4D4E" w:rsidRDefault="002D4D4E" w:rsidP="0036650A">
            <w:pPr>
              <w:jc w:val="both"/>
              <w:rPr>
                <w:rFonts w:ascii="Arial" w:hAnsi="Arial" w:cs="Arial"/>
                <w:sz w:val="18"/>
                <w:szCs w:val="18"/>
              </w:rPr>
            </w:pPr>
          </w:p>
          <w:p w14:paraId="3284AC0D" w14:textId="77777777" w:rsidR="002D4D4E" w:rsidRDefault="002D4D4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26C948F0" w14:textId="77777777" w:rsidR="002D4D4E" w:rsidRPr="009872F3" w:rsidRDefault="002D4D4E" w:rsidP="0036650A">
            <w:pPr>
              <w:jc w:val="both"/>
              <w:rPr>
                <w:rFonts w:ascii="Arial" w:hAnsi="Arial" w:cs="Arial"/>
                <w:sz w:val="18"/>
                <w:szCs w:val="18"/>
              </w:rPr>
            </w:pPr>
            <w:r w:rsidRPr="00CB3EE6">
              <w:rPr>
                <w:rFonts w:ascii="Arial" w:hAnsi="Arial" w:cs="Arial"/>
                <w:sz w:val="18"/>
                <w:szCs w:val="18"/>
                <w:highlight w:val="yellow"/>
              </w:rPr>
              <w:t>Art. 7a BankG iVm Art. 7c BankG, Art. 7d BankG; FMA-Mitteilung 2017/4 (inkl. regulatorische Grundlagen im Anhang)</w:t>
            </w:r>
          </w:p>
        </w:tc>
      </w:tr>
      <w:tr w:rsidR="002D4D4E" w:rsidRPr="009872F3" w14:paraId="77F9B76C" w14:textId="77777777" w:rsidTr="0036650A">
        <w:trPr>
          <w:trHeight w:val="294"/>
        </w:trPr>
        <w:tc>
          <w:tcPr>
            <w:tcW w:w="9180" w:type="dxa"/>
            <w:gridSpan w:val="4"/>
          </w:tcPr>
          <w:p w14:paraId="7F40E763" w14:textId="77777777" w:rsidR="002D4D4E" w:rsidRPr="009872F3" w:rsidRDefault="002D4D4E" w:rsidP="0036650A">
            <w:pPr>
              <w:jc w:val="both"/>
              <w:rPr>
                <w:rFonts w:ascii="Arial" w:hAnsi="Arial" w:cs="Arial"/>
                <w:sz w:val="18"/>
                <w:szCs w:val="18"/>
              </w:rPr>
            </w:pPr>
          </w:p>
        </w:tc>
      </w:tr>
      <w:tr w:rsidR="002D4D4E" w:rsidRPr="009872F3" w14:paraId="48F128D7" w14:textId="77777777" w:rsidTr="0036650A">
        <w:tc>
          <w:tcPr>
            <w:tcW w:w="5798" w:type="dxa"/>
            <w:gridSpan w:val="3"/>
          </w:tcPr>
          <w:p w14:paraId="41FEB12E" w14:textId="77777777"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sonstigen Risiken im Zusammenhang mit Intragruppenbeziehungen </w:t>
            </w:r>
            <w:r w:rsidRPr="00C1307E">
              <w:rPr>
                <w:rFonts w:ascii="Arial" w:hAnsi="Arial" w:cs="Arial"/>
                <w:sz w:val="18"/>
                <w:szCs w:val="18"/>
              </w:rPr>
              <w:t>angemessen ausgestaltet ist.</w:t>
            </w:r>
          </w:p>
        </w:tc>
        <w:tc>
          <w:tcPr>
            <w:tcW w:w="3382" w:type="dxa"/>
          </w:tcPr>
          <w:p w14:paraId="62E010CB" w14:textId="77777777" w:rsidR="002D4D4E" w:rsidRPr="00E109DF" w:rsidRDefault="002D4D4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3DFE5BA4" w14:textId="77777777" w:rsidTr="0036650A">
        <w:tc>
          <w:tcPr>
            <w:tcW w:w="5798" w:type="dxa"/>
            <w:gridSpan w:val="3"/>
          </w:tcPr>
          <w:p w14:paraId="66B8ABED" w14:textId="77777777"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sonstigen Risiken im Zusammenhang mit Intragruppenbeziehungen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5A88B8C"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7BAAEB96" w14:textId="77777777" w:rsidTr="0036650A">
        <w:tc>
          <w:tcPr>
            <w:tcW w:w="5798" w:type="dxa"/>
            <w:gridSpan w:val="3"/>
          </w:tcPr>
          <w:p w14:paraId="620E7DFD" w14:textId="77777777"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sonstigen Risiken im Zusammenhang mit Intragruppenbeziehungen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10443D3"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1CD5F2" w14:textId="77777777" w:rsidR="002D4D4E" w:rsidRPr="00CE3194" w:rsidRDefault="002D4D4E" w:rsidP="002D4D4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D4D4E" w:rsidRPr="00CE3194" w14:paraId="72E54BD4" w14:textId="77777777" w:rsidTr="0036650A">
        <w:tc>
          <w:tcPr>
            <w:tcW w:w="2660" w:type="dxa"/>
          </w:tcPr>
          <w:p w14:paraId="584899E0"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44414F7"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D4D4E" w:rsidRPr="00CE3194" w14:paraId="46A5E1B5" w14:textId="77777777" w:rsidTr="0036650A">
        <w:tc>
          <w:tcPr>
            <w:tcW w:w="2660" w:type="dxa"/>
          </w:tcPr>
          <w:p w14:paraId="619AE6D8"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0E96DCCA" w14:textId="77777777" w:rsidR="00D8345E" w:rsidRDefault="00D8345E" w:rsidP="00D8345E">
            <w:pPr>
              <w:jc w:val="both"/>
              <w:rPr>
                <w:rFonts w:ascii="Arial" w:hAnsi="Arial" w:cs="Arial"/>
                <w:i/>
                <w:sz w:val="20"/>
                <w:szCs w:val="20"/>
                <w:highlight w:val="lightGray"/>
              </w:rPr>
            </w:pPr>
          </w:p>
          <w:p w14:paraId="4CA0EF93" w14:textId="77777777" w:rsidR="002D4D4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5513AB19"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E97CFF8"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511260E4" w14:textId="607BBEDB"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491BF826"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510BA42B"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42572FC7" w14:textId="77777777" w:rsidTr="0036650A">
        <w:tc>
          <w:tcPr>
            <w:tcW w:w="2660" w:type="dxa"/>
          </w:tcPr>
          <w:p w14:paraId="64D0BFA8"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3755873E" w14:textId="77777777" w:rsidR="0074539F" w:rsidRPr="00CE3194" w:rsidRDefault="0074539F" w:rsidP="0036650A">
            <w:pPr>
              <w:jc w:val="both"/>
              <w:rPr>
                <w:rFonts w:ascii="Arial" w:hAnsi="Arial" w:cs="Arial"/>
                <w:i/>
                <w:sz w:val="20"/>
                <w:szCs w:val="20"/>
                <w:highlight w:val="lightGray"/>
              </w:rPr>
            </w:pPr>
          </w:p>
        </w:tc>
        <w:tc>
          <w:tcPr>
            <w:tcW w:w="6520" w:type="dxa"/>
          </w:tcPr>
          <w:p w14:paraId="67322EFC" w14:textId="79CFD3E1"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0B41751B" w14:textId="0655C21C"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9365470" w14:textId="23046AE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64523F67"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D4D4E" w14:paraId="2CA2CC27" w14:textId="77777777" w:rsidTr="0036650A">
        <w:tc>
          <w:tcPr>
            <w:tcW w:w="2660" w:type="dxa"/>
          </w:tcPr>
          <w:p w14:paraId="25D0CB92" w14:textId="77777777" w:rsidR="002D4D4E" w:rsidRDefault="002D4D4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561E778E"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69DD626B"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6D1588EC"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6E32AEB5"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32D73E74" w14:textId="77777777" w:rsidR="002D4D4E" w:rsidRPr="005B66F8" w:rsidRDefault="002D4D4E"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29654207" w14:textId="24B2A1EC"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7C7EC430" w14:textId="77777777" w:rsidR="002D4D4E" w:rsidRDefault="002D4D4E" w:rsidP="00CB3EE6">
      <w:pPr>
        <w:jc w:val="both"/>
        <w:rPr>
          <w:rFonts w:cs="Arial"/>
          <w:szCs w:val="20"/>
        </w:rPr>
      </w:pPr>
    </w:p>
    <w:p w14:paraId="26396558"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02F196D9" w14:textId="77777777" w:rsidR="00E70DF4" w:rsidRDefault="00E70DF4" w:rsidP="00CB3EE6">
      <w:pPr>
        <w:jc w:val="both"/>
        <w:rPr>
          <w:rFonts w:cs="Arial"/>
          <w:szCs w:val="20"/>
        </w:rPr>
      </w:pPr>
    </w:p>
    <w:p w14:paraId="0934A6F3" w14:textId="77777777" w:rsidR="002D4D4E" w:rsidRPr="006730AC" w:rsidRDefault="002D4D4E" w:rsidP="00CB3EE6">
      <w:pPr>
        <w:jc w:val="both"/>
        <w:rPr>
          <w:rFonts w:cs="Arial"/>
          <w:szCs w:val="20"/>
        </w:rPr>
      </w:pPr>
    </w:p>
    <w:p w14:paraId="43F580E3" w14:textId="77777777" w:rsidR="008C30D1" w:rsidRPr="006730AC" w:rsidRDefault="008C30D1" w:rsidP="006F7AB5">
      <w:pPr>
        <w:pStyle w:val="FINMAGliederungEbene3"/>
      </w:pPr>
      <w:bookmarkStart w:id="57" w:name="_Toc147849911"/>
      <w:r>
        <w:t>Reputations- und Step-In-Risiken</w:t>
      </w:r>
      <w:r w:rsidR="00543DCA">
        <w:t xml:space="preserve"> </w:t>
      </w:r>
      <w:r w:rsidR="00DB5BE8">
        <w:t>(GR-37</w:t>
      </w:r>
      <w:r w:rsidR="00543DCA">
        <w:t>)</w:t>
      </w:r>
      <w:bookmarkEnd w:id="57"/>
    </w:p>
    <w:p w14:paraId="3C5E4F4F" w14:textId="77777777" w:rsidR="002D4D4E" w:rsidRDefault="002D4D4E"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2D4D4E" w:rsidRPr="009872F3" w14:paraId="2257B395" w14:textId="77777777" w:rsidTr="0036650A">
        <w:trPr>
          <w:trHeight w:val="563"/>
        </w:trPr>
        <w:tc>
          <w:tcPr>
            <w:tcW w:w="1932" w:type="dxa"/>
          </w:tcPr>
          <w:p w14:paraId="091565DD"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14F192CC"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9968D7"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D4D4E" w:rsidRPr="009872F3" w14:paraId="50B5A1CC" w14:textId="77777777" w:rsidTr="0036650A">
        <w:trPr>
          <w:trHeight w:val="698"/>
        </w:trPr>
        <w:tc>
          <w:tcPr>
            <w:tcW w:w="1932" w:type="dxa"/>
          </w:tcPr>
          <w:p w14:paraId="19912CCE" w14:textId="1B6CC590"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71708DDC" w14:textId="77777777" w:rsidR="002D4D4E" w:rsidRPr="006749F0" w:rsidRDefault="002D4D4E" w:rsidP="0036650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05FF2584" w14:textId="77777777" w:rsidR="002D4D4E" w:rsidRPr="009872F3" w:rsidRDefault="002D4D4E" w:rsidP="0036650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4EDE58" w14:textId="77777777" w:rsidR="002D4D4E" w:rsidRDefault="002D4D4E" w:rsidP="0036650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4B4A1F1" w14:textId="77777777" w:rsidR="002D4D4E" w:rsidRPr="006749F0" w:rsidRDefault="002D4D4E" w:rsidP="0036650A">
            <w:pPr>
              <w:jc w:val="both"/>
              <w:rPr>
                <w:rFonts w:ascii="Arial" w:hAnsi="Arial" w:cs="Arial"/>
                <w:i/>
                <w:sz w:val="18"/>
                <w:szCs w:val="18"/>
              </w:rPr>
            </w:pPr>
            <w:r w:rsidRPr="006749F0">
              <w:rPr>
                <w:rFonts w:ascii="Arial" w:hAnsi="Arial" w:cs="Arial"/>
                <w:i/>
                <w:sz w:val="18"/>
                <w:szCs w:val="18"/>
                <w:highlight w:val="yellow"/>
              </w:rPr>
              <w:t>Jahr</w:t>
            </w:r>
          </w:p>
        </w:tc>
      </w:tr>
      <w:tr w:rsidR="002D4D4E" w:rsidRPr="009872F3" w14:paraId="58D6B227" w14:textId="77777777" w:rsidTr="0036650A">
        <w:trPr>
          <w:trHeight w:val="636"/>
        </w:trPr>
        <w:tc>
          <w:tcPr>
            <w:tcW w:w="9180" w:type="dxa"/>
            <w:gridSpan w:val="4"/>
          </w:tcPr>
          <w:p w14:paraId="630CE3B4" w14:textId="77777777" w:rsidR="002D4D4E" w:rsidRDefault="002D4D4E" w:rsidP="0036650A">
            <w:pPr>
              <w:jc w:val="both"/>
              <w:rPr>
                <w:rFonts w:ascii="Arial" w:hAnsi="Arial" w:cs="Arial"/>
                <w:sz w:val="18"/>
                <w:szCs w:val="18"/>
              </w:rPr>
            </w:pPr>
          </w:p>
          <w:p w14:paraId="00884D02" w14:textId="77777777" w:rsidR="002D4D4E" w:rsidRDefault="002D4D4E" w:rsidP="0036650A">
            <w:pPr>
              <w:jc w:val="both"/>
              <w:rPr>
                <w:rFonts w:ascii="Arial" w:hAnsi="Arial" w:cs="Arial"/>
                <w:sz w:val="18"/>
                <w:szCs w:val="18"/>
              </w:rPr>
            </w:pPr>
            <w:r>
              <w:rPr>
                <w:rFonts w:ascii="Arial" w:hAnsi="Arial" w:cs="Arial"/>
                <w:sz w:val="18"/>
                <w:szCs w:val="18"/>
              </w:rPr>
              <w:t xml:space="preserve">Referenzen </w:t>
            </w:r>
            <w:r w:rsidRPr="00F60909">
              <w:rPr>
                <w:rFonts w:ascii="Arial" w:hAnsi="Arial" w:cs="Arial"/>
                <w:sz w:val="18"/>
                <w:szCs w:val="18"/>
                <w:highlight w:val="yellow"/>
              </w:rPr>
              <w:t>(demonstrativ; nicht abschliessend</w:t>
            </w:r>
            <w:r>
              <w:rPr>
                <w:rFonts w:ascii="Arial" w:hAnsi="Arial" w:cs="Arial"/>
                <w:sz w:val="18"/>
                <w:szCs w:val="18"/>
              </w:rPr>
              <w:t>:</w:t>
            </w:r>
          </w:p>
          <w:p w14:paraId="07FEE653" w14:textId="77777777" w:rsidR="002D4D4E" w:rsidRPr="009872F3" w:rsidRDefault="002D4D4E" w:rsidP="0036650A">
            <w:pPr>
              <w:jc w:val="both"/>
              <w:rPr>
                <w:rFonts w:ascii="Arial" w:hAnsi="Arial" w:cs="Arial"/>
                <w:sz w:val="18"/>
                <w:szCs w:val="18"/>
              </w:rPr>
            </w:pPr>
            <w:r w:rsidRPr="00CB3EE6">
              <w:rPr>
                <w:rFonts w:ascii="Arial" w:hAnsi="Arial" w:cs="Arial"/>
                <w:sz w:val="18"/>
                <w:szCs w:val="18"/>
                <w:highlight w:val="yellow"/>
              </w:rPr>
              <w:t>Art. 7a BankG; Art. 21c ff BankV; FMA-Mitteilung 2017/4 (inkl. regulatorische Grundlagen im Anhang)</w:t>
            </w:r>
          </w:p>
        </w:tc>
      </w:tr>
      <w:tr w:rsidR="002D4D4E" w:rsidRPr="009872F3" w14:paraId="494F02B4" w14:textId="77777777" w:rsidTr="0036650A">
        <w:trPr>
          <w:trHeight w:val="294"/>
        </w:trPr>
        <w:tc>
          <w:tcPr>
            <w:tcW w:w="9180" w:type="dxa"/>
            <w:gridSpan w:val="4"/>
          </w:tcPr>
          <w:p w14:paraId="3F7D69C2" w14:textId="77777777" w:rsidR="002D4D4E" w:rsidRPr="009872F3" w:rsidRDefault="002D4D4E" w:rsidP="0036650A">
            <w:pPr>
              <w:jc w:val="both"/>
              <w:rPr>
                <w:rFonts w:ascii="Arial" w:hAnsi="Arial" w:cs="Arial"/>
                <w:sz w:val="18"/>
                <w:szCs w:val="18"/>
              </w:rPr>
            </w:pPr>
          </w:p>
        </w:tc>
      </w:tr>
      <w:tr w:rsidR="002D4D4E" w:rsidRPr="009872F3" w14:paraId="18E1C2CC" w14:textId="77777777" w:rsidTr="0036650A">
        <w:tc>
          <w:tcPr>
            <w:tcW w:w="5798" w:type="dxa"/>
            <w:gridSpan w:val="3"/>
          </w:tcPr>
          <w:p w14:paraId="77279B50" w14:textId="77777777" w:rsidR="002D4D4E" w:rsidRPr="00C1307E" w:rsidRDefault="002D4D4E"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Pr>
                <w:rFonts w:ascii="Arial" w:hAnsi="Arial" w:cs="Arial"/>
                <w:sz w:val="18"/>
                <w:szCs w:val="18"/>
              </w:rPr>
              <w:t xml:space="preserve">Reputations- und Step-In-Risiken </w:t>
            </w:r>
            <w:r w:rsidRPr="00C1307E">
              <w:rPr>
                <w:rFonts w:ascii="Arial" w:hAnsi="Arial" w:cs="Arial"/>
                <w:sz w:val="18"/>
                <w:szCs w:val="18"/>
              </w:rPr>
              <w:t>angemessen ausgestaltet ist.</w:t>
            </w:r>
          </w:p>
        </w:tc>
        <w:tc>
          <w:tcPr>
            <w:tcW w:w="3382" w:type="dxa"/>
          </w:tcPr>
          <w:p w14:paraId="457E49CB" w14:textId="77777777" w:rsidR="002D4D4E" w:rsidRPr="00E109DF" w:rsidRDefault="002D4D4E" w:rsidP="0036650A">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637CCB71" w14:textId="77777777" w:rsidTr="0036650A">
        <w:tc>
          <w:tcPr>
            <w:tcW w:w="5798" w:type="dxa"/>
            <w:gridSpan w:val="3"/>
          </w:tcPr>
          <w:p w14:paraId="27FABB9E" w14:textId="77777777"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Pr>
                <w:rFonts w:ascii="Arial" w:hAnsi="Arial" w:cs="Arial"/>
                <w:sz w:val="18"/>
                <w:szCs w:val="18"/>
              </w:rPr>
              <w:t>Reputations- und Step-In-Risiken</w:t>
            </w:r>
            <w:r w:rsidRPr="00C1307E">
              <w:rPr>
                <w:rFonts w:ascii="Arial" w:hAnsi="Arial" w:cs="Arial"/>
                <w:sz w:val="18"/>
                <w:szCs w:val="18"/>
              </w:rPr>
              <w:t xml:space="preserve"> 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58FC5604"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D4D4E" w:rsidRPr="009872F3" w14:paraId="55F9A0D4" w14:textId="77777777" w:rsidTr="0036650A">
        <w:tc>
          <w:tcPr>
            <w:tcW w:w="5798" w:type="dxa"/>
            <w:gridSpan w:val="3"/>
          </w:tcPr>
          <w:p w14:paraId="45958EC8" w14:textId="77777777" w:rsidR="002D4D4E" w:rsidRPr="00C1307E" w:rsidRDefault="002D4D4E" w:rsidP="0036650A">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Pr>
                <w:rFonts w:ascii="Arial" w:hAnsi="Arial" w:cs="Arial"/>
                <w:sz w:val="18"/>
                <w:szCs w:val="18"/>
              </w:rPr>
              <w:t xml:space="preserve">Reputations- und Step-In-Risiken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15937B9B" w14:textId="77777777" w:rsidR="002D4D4E" w:rsidRPr="009872F3" w:rsidRDefault="002D4D4E" w:rsidP="0036650A">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49BD5B5" w14:textId="77777777" w:rsidR="002D4D4E" w:rsidRPr="00CE3194" w:rsidRDefault="002D4D4E" w:rsidP="002D4D4E">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2D4D4E" w:rsidRPr="00CE3194" w14:paraId="7ABF9BB8" w14:textId="77777777" w:rsidTr="0036650A">
        <w:tc>
          <w:tcPr>
            <w:tcW w:w="2660" w:type="dxa"/>
          </w:tcPr>
          <w:p w14:paraId="496261C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E4E3E79" w14:textId="77777777" w:rsidR="002D4D4E" w:rsidRPr="00CE3194" w:rsidRDefault="002D4D4E" w:rsidP="0036650A">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2D4D4E" w:rsidRPr="00CE3194" w14:paraId="36CA0FC2" w14:textId="77777777" w:rsidTr="0036650A">
        <w:tc>
          <w:tcPr>
            <w:tcW w:w="2660" w:type="dxa"/>
          </w:tcPr>
          <w:p w14:paraId="23C5D409"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7643036" w14:textId="77777777" w:rsidR="00D8345E" w:rsidRDefault="00D8345E" w:rsidP="00D8345E">
            <w:pPr>
              <w:jc w:val="both"/>
              <w:rPr>
                <w:rFonts w:ascii="Arial" w:hAnsi="Arial" w:cs="Arial"/>
                <w:i/>
                <w:sz w:val="20"/>
                <w:szCs w:val="20"/>
                <w:highlight w:val="lightGray"/>
              </w:rPr>
            </w:pPr>
          </w:p>
          <w:p w14:paraId="599A8ABE" w14:textId="77777777" w:rsidR="002D4D4E"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18C97012"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02DD1C3D"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7790FE63" w14:textId="7B856193"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107C1EF2"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4BBE197"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5632872C" w14:textId="77777777" w:rsidTr="0036650A">
        <w:tc>
          <w:tcPr>
            <w:tcW w:w="2660" w:type="dxa"/>
          </w:tcPr>
          <w:p w14:paraId="00CB5E45"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14EC39E9" w14:textId="77777777" w:rsidR="0074539F" w:rsidRPr="00CE3194" w:rsidRDefault="0074539F" w:rsidP="0036650A">
            <w:pPr>
              <w:jc w:val="both"/>
              <w:rPr>
                <w:rFonts w:ascii="Arial" w:hAnsi="Arial" w:cs="Arial"/>
                <w:i/>
                <w:sz w:val="20"/>
                <w:szCs w:val="20"/>
                <w:highlight w:val="lightGray"/>
              </w:rPr>
            </w:pPr>
          </w:p>
        </w:tc>
        <w:tc>
          <w:tcPr>
            <w:tcW w:w="6520" w:type="dxa"/>
          </w:tcPr>
          <w:p w14:paraId="45766601" w14:textId="601EBB2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6A3408D8" w14:textId="46FD3FC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69442BC5" w14:textId="7C85C85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77501495" w14:textId="77777777" w:rsidR="0074539F" w:rsidRPr="00CE3194" w:rsidRDefault="0074539F"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2D4D4E" w14:paraId="0B8B3AD2" w14:textId="77777777" w:rsidTr="0036650A">
        <w:tc>
          <w:tcPr>
            <w:tcW w:w="2660" w:type="dxa"/>
          </w:tcPr>
          <w:p w14:paraId="6B788450" w14:textId="77777777" w:rsidR="002D4D4E" w:rsidRDefault="002D4D4E" w:rsidP="0036650A">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0978EF65"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7F84B2C1"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20CA97BE"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172C10CB" w14:textId="77777777" w:rsidR="002D4D4E" w:rsidRPr="00CE3194" w:rsidRDefault="002D4D4E" w:rsidP="0036650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C8AF0E7" w14:textId="77777777" w:rsidR="002D4D4E" w:rsidRPr="005B66F8" w:rsidRDefault="002D4D4E" w:rsidP="0036650A">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108CFB23" w14:textId="1E1C473B" w:rsidR="00916839" w:rsidRDefault="00916839" w:rsidP="0036650A">
            <w:pPr>
              <w:pStyle w:val="Listenabsatz"/>
              <w:numPr>
                <w:ilvl w:val="1"/>
                <w:numId w:val="17"/>
              </w:numPr>
              <w:ind w:left="317" w:hanging="283"/>
              <w:jc w:val="both"/>
              <w:rPr>
                <w:rFonts w:cs="Arial"/>
                <w:i/>
                <w:szCs w:val="20"/>
              </w:rPr>
            </w:pPr>
            <w:r w:rsidRPr="00055C14">
              <w:rPr>
                <w:rFonts w:cs="Arial"/>
                <w:i/>
                <w:szCs w:val="20"/>
                <w:highlight w:val="lightGray"/>
              </w:rPr>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775C3A3D" w14:textId="77777777" w:rsidR="002D4D4E" w:rsidRDefault="002D4D4E" w:rsidP="00CB3EE6">
      <w:pPr>
        <w:jc w:val="both"/>
        <w:rPr>
          <w:rFonts w:cs="Arial"/>
          <w:szCs w:val="20"/>
        </w:rPr>
      </w:pPr>
    </w:p>
    <w:p w14:paraId="28333FF4"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1294EFA" w14:textId="77777777" w:rsidR="00E70DF4" w:rsidRDefault="00E70DF4" w:rsidP="00CB3EE6">
      <w:pPr>
        <w:jc w:val="both"/>
        <w:rPr>
          <w:rFonts w:cs="Arial"/>
          <w:szCs w:val="20"/>
        </w:rPr>
      </w:pPr>
    </w:p>
    <w:p w14:paraId="38C7B6C5" w14:textId="77777777" w:rsidR="002D4D4E" w:rsidRPr="006730AC" w:rsidRDefault="002D4D4E" w:rsidP="00CB3EE6">
      <w:pPr>
        <w:jc w:val="both"/>
        <w:rPr>
          <w:rFonts w:cs="Arial"/>
          <w:szCs w:val="20"/>
        </w:rPr>
      </w:pPr>
    </w:p>
    <w:p w14:paraId="60BB7742" w14:textId="77777777" w:rsidR="00A84BF6" w:rsidRDefault="00757204" w:rsidP="006F7AB5">
      <w:pPr>
        <w:pStyle w:val="FINMAGliederungEbene3"/>
      </w:pPr>
      <w:bookmarkStart w:id="58" w:name="_Toc147849912"/>
      <w:r w:rsidRPr="002E5C20">
        <w:rPr>
          <w:highlight w:val="yellow"/>
        </w:rPr>
        <w:t>[</w:t>
      </w:r>
      <w:r w:rsidR="008C30D1" w:rsidRPr="002E5C20">
        <w:rPr>
          <w:highlight w:val="yellow"/>
        </w:rPr>
        <w:t>Weitere sonstige Risiken von der Revisionsstelle zu definieren</w:t>
      </w:r>
      <w:r w:rsidRPr="002E5C20">
        <w:rPr>
          <w:highlight w:val="yellow"/>
        </w:rPr>
        <w:t>]</w:t>
      </w:r>
      <w:r w:rsidR="00543DCA">
        <w:t xml:space="preserve"> </w:t>
      </w:r>
      <w:r w:rsidR="00DB5BE8" w:rsidRPr="006730AC">
        <w:t>(GR-3</w:t>
      </w:r>
      <w:r w:rsidR="00DB5BE8">
        <w:t>8</w:t>
      </w:r>
      <w:r w:rsidR="00543DCA" w:rsidRPr="006730AC">
        <w:t>)</w:t>
      </w:r>
      <w:bookmarkEnd w:id="58"/>
    </w:p>
    <w:p w14:paraId="12DB1B10" w14:textId="77777777" w:rsidR="00A84BF6" w:rsidRDefault="00A84BF6" w:rsidP="00CB3EE6">
      <w:pPr>
        <w:jc w:val="both"/>
        <w:rPr>
          <w:rFonts w:cs="Arial"/>
          <w:szCs w:val="20"/>
        </w:rPr>
      </w:pPr>
    </w:p>
    <w:tbl>
      <w:tblPr>
        <w:tblStyle w:val="Tabellenraster"/>
        <w:tblW w:w="0" w:type="auto"/>
        <w:tblLook w:val="04A0" w:firstRow="1" w:lastRow="0" w:firstColumn="1" w:lastColumn="0" w:noHBand="0" w:noVBand="1"/>
      </w:tblPr>
      <w:tblGrid>
        <w:gridCol w:w="1932"/>
        <w:gridCol w:w="2145"/>
        <w:gridCol w:w="1721"/>
        <w:gridCol w:w="3382"/>
      </w:tblGrid>
      <w:tr w:rsidR="00A84BF6" w:rsidRPr="009872F3" w14:paraId="0EFBBFB4" w14:textId="77777777" w:rsidTr="00DB5BE8">
        <w:trPr>
          <w:trHeight w:val="563"/>
        </w:trPr>
        <w:tc>
          <w:tcPr>
            <w:tcW w:w="1932" w:type="dxa"/>
          </w:tcPr>
          <w:p w14:paraId="7AA9E07E"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Nettorisiko</w:t>
            </w:r>
          </w:p>
        </w:tc>
        <w:tc>
          <w:tcPr>
            <w:tcW w:w="2145" w:type="dxa"/>
          </w:tcPr>
          <w:p w14:paraId="62163E01"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A558C80"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A84BF6" w:rsidRPr="009872F3" w14:paraId="14C9631B" w14:textId="77777777" w:rsidTr="00DB5BE8">
        <w:trPr>
          <w:trHeight w:val="698"/>
        </w:trPr>
        <w:tc>
          <w:tcPr>
            <w:tcW w:w="1932" w:type="dxa"/>
          </w:tcPr>
          <w:p w14:paraId="6AF60E84" w14:textId="36E3F82F"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7C97CBA5" w14:textId="77777777" w:rsidR="00A84BF6" w:rsidRPr="006749F0" w:rsidRDefault="00A84BF6" w:rsidP="00DB5BE8">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666C7625" w14:textId="77777777" w:rsidR="00A84BF6" w:rsidRPr="009872F3" w:rsidRDefault="00A84BF6" w:rsidP="00DB5BE8">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9FD575C" w14:textId="77777777" w:rsidR="00A84BF6" w:rsidRDefault="00A84BF6" w:rsidP="00DB5BE8">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70D502B" w14:textId="77777777" w:rsidR="00A84BF6" w:rsidRPr="006749F0" w:rsidRDefault="00A84BF6" w:rsidP="00DB5BE8">
            <w:pPr>
              <w:jc w:val="both"/>
              <w:rPr>
                <w:rFonts w:ascii="Arial" w:hAnsi="Arial" w:cs="Arial"/>
                <w:i/>
                <w:sz w:val="18"/>
                <w:szCs w:val="18"/>
              </w:rPr>
            </w:pPr>
            <w:r w:rsidRPr="006749F0">
              <w:rPr>
                <w:rFonts w:ascii="Arial" w:hAnsi="Arial" w:cs="Arial"/>
                <w:i/>
                <w:sz w:val="18"/>
                <w:szCs w:val="18"/>
                <w:highlight w:val="yellow"/>
              </w:rPr>
              <w:t>Jahr</w:t>
            </w:r>
          </w:p>
        </w:tc>
      </w:tr>
      <w:tr w:rsidR="00A84BF6" w:rsidRPr="009872F3" w14:paraId="7A5A43AB" w14:textId="77777777" w:rsidTr="00DB5BE8">
        <w:trPr>
          <w:trHeight w:val="636"/>
        </w:trPr>
        <w:tc>
          <w:tcPr>
            <w:tcW w:w="9180" w:type="dxa"/>
            <w:gridSpan w:val="4"/>
          </w:tcPr>
          <w:p w14:paraId="0CEBC25A" w14:textId="77777777" w:rsidR="00A84BF6" w:rsidRDefault="00A84BF6" w:rsidP="00DB5BE8">
            <w:pPr>
              <w:jc w:val="both"/>
              <w:rPr>
                <w:rFonts w:ascii="Arial" w:hAnsi="Arial" w:cs="Arial"/>
                <w:sz w:val="18"/>
                <w:szCs w:val="18"/>
              </w:rPr>
            </w:pPr>
          </w:p>
          <w:p w14:paraId="4B8BAB5F" w14:textId="77777777" w:rsidR="00A84BF6" w:rsidRDefault="00A84BF6" w:rsidP="00DB5BE8">
            <w:pPr>
              <w:jc w:val="both"/>
              <w:rPr>
                <w:rFonts w:ascii="Arial" w:hAnsi="Arial" w:cs="Arial"/>
                <w:sz w:val="18"/>
                <w:szCs w:val="18"/>
              </w:rPr>
            </w:pPr>
            <w:r>
              <w:rPr>
                <w:rFonts w:ascii="Arial" w:hAnsi="Arial" w:cs="Arial"/>
                <w:sz w:val="18"/>
                <w:szCs w:val="18"/>
              </w:rPr>
              <w:t>Referenzen:</w:t>
            </w:r>
          </w:p>
          <w:p w14:paraId="483A2996" w14:textId="77777777" w:rsidR="00A84BF6" w:rsidRPr="009872F3" w:rsidRDefault="00A84BF6" w:rsidP="00DB5BE8">
            <w:pPr>
              <w:jc w:val="both"/>
              <w:rPr>
                <w:rFonts w:ascii="Arial" w:hAnsi="Arial" w:cs="Arial"/>
                <w:sz w:val="18"/>
                <w:szCs w:val="18"/>
              </w:rPr>
            </w:pPr>
            <w:r w:rsidRPr="00276C60">
              <w:rPr>
                <w:rFonts w:ascii="Arial" w:hAnsi="Arial" w:cs="Arial"/>
                <w:sz w:val="18"/>
                <w:szCs w:val="18"/>
                <w:highlight w:val="yellow"/>
              </w:rPr>
              <w:t>tbd</w:t>
            </w:r>
          </w:p>
        </w:tc>
      </w:tr>
      <w:tr w:rsidR="00A84BF6" w:rsidRPr="009872F3" w14:paraId="645F6686" w14:textId="77777777" w:rsidTr="00DB5BE8">
        <w:trPr>
          <w:trHeight w:val="294"/>
        </w:trPr>
        <w:tc>
          <w:tcPr>
            <w:tcW w:w="9180" w:type="dxa"/>
            <w:gridSpan w:val="4"/>
          </w:tcPr>
          <w:p w14:paraId="73E2F1B3" w14:textId="77777777" w:rsidR="00A84BF6" w:rsidRPr="009872F3" w:rsidRDefault="00A84BF6" w:rsidP="00DB5BE8">
            <w:pPr>
              <w:jc w:val="both"/>
              <w:rPr>
                <w:rFonts w:ascii="Arial" w:hAnsi="Arial" w:cs="Arial"/>
                <w:sz w:val="18"/>
                <w:szCs w:val="18"/>
              </w:rPr>
            </w:pPr>
          </w:p>
        </w:tc>
      </w:tr>
      <w:tr w:rsidR="00A84BF6" w:rsidRPr="009872F3" w14:paraId="6729EFAC" w14:textId="77777777" w:rsidTr="00DB5BE8">
        <w:tc>
          <w:tcPr>
            <w:tcW w:w="5798" w:type="dxa"/>
            <w:gridSpan w:val="3"/>
          </w:tcPr>
          <w:p w14:paraId="3AECFE51" w14:textId="77777777" w:rsidR="00A84BF6" w:rsidRPr="00C1307E" w:rsidRDefault="00A84BF6" w:rsidP="006730AC">
            <w:pPr>
              <w:jc w:val="both"/>
              <w:rPr>
                <w:rFonts w:ascii="Arial" w:hAnsi="Arial" w:cs="Arial"/>
                <w:sz w:val="18"/>
                <w:szCs w:val="18"/>
              </w:rPr>
            </w:pPr>
            <w:r w:rsidRPr="00C1307E">
              <w:rPr>
                <w:rFonts w:ascii="Arial" w:hAnsi="Arial" w:cs="Arial"/>
                <w:sz w:val="18"/>
                <w:szCs w:val="18"/>
              </w:rPr>
              <w:t xml:space="preserve">Bestätigung, dass die interne Organisation </w:t>
            </w:r>
            <w:r>
              <w:rPr>
                <w:rFonts w:ascii="Arial" w:hAnsi="Arial" w:cs="Arial"/>
                <w:sz w:val="18"/>
                <w:szCs w:val="18"/>
              </w:rPr>
              <w:t xml:space="preserve">(Organisationsstruktur, Verantwortlichkeiten und Kompetenzen, Internes Weisungswesen, Ressourcen, Know-How, Interessenskonflikte) </w:t>
            </w:r>
            <w:r w:rsidRPr="00C1307E">
              <w:rPr>
                <w:rFonts w:ascii="Arial" w:hAnsi="Arial" w:cs="Arial"/>
                <w:sz w:val="18"/>
                <w:szCs w:val="18"/>
              </w:rPr>
              <w:t xml:space="preserve">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ausgestaltet ist.</w:t>
            </w:r>
          </w:p>
        </w:tc>
        <w:tc>
          <w:tcPr>
            <w:tcW w:w="3382" w:type="dxa"/>
          </w:tcPr>
          <w:p w14:paraId="30E548E3" w14:textId="77777777" w:rsidR="00A84BF6" w:rsidRPr="00E109DF" w:rsidRDefault="00A84BF6" w:rsidP="00DB5BE8">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252FADE4" w14:textId="77777777" w:rsidTr="00DB5BE8">
        <w:tc>
          <w:tcPr>
            <w:tcW w:w="5798" w:type="dxa"/>
            <w:gridSpan w:val="3"/>
          </w:tcPr>
          <w:p w14:paraId="4EDC9710"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das Interne Kontrollsystem für das Management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w:t>
            </w:r>
            <w:r>
              <w:rPr>
                <w:rFonts w:ascii="Arial" w:hAnsi="Arial" w:cs="Arial"/>
                <w:sz w:val="18"/>
                <w:szCs w:val="18"/>
              </w:rPr>
              <w:t>sen</w:t>
            </w:r>
            <w:r w:rsidRPr="00C1307E">
              <w:rPr>
                <w:rFonts w:ascii="Arial" w:hAnsi="Arial" w:cs="Arial"/>
                <w:sz w:val="18"/>
                <w:szCs w:val="18"/>
              </w:rPr>
              <w:t xml:space="preserve"> ist</w:t>
            </w:r>
            <w:r>
              <w:rPr>
                <w:rFonts w:ascii="Arial" w:hAnsi="Arial" w:cs="Arial"/>
                <w:sz w:val="18"/>
                <w:szCs w:val="18"/>
              </w:rPr>
              <w:t xml:space="preserve"> und im Falle der Prüftiefe Detailprüfung effektiv angewendet wurden.</w:t>
            </w:r>
          </w:p>
        </w:tc>
        <w:tc>
          <w:tcPr>
            <w:tcW w:w="3382" w:type="dxa"/>
          </w:tcPr>
          <w:p w14:paraId="7F9C2B22"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A84BF6" w:rsidRPr="009872F3" w14:paraId="7CA52AFF" w14:textId="77777777" w:rsidTr="00DB5BE8">
        <w:tc>
          <w:tcPr>
            <w:tcW w:w="5798" w:type="dxa"/>
            <w:gridSpan w:val="3"/>
          </w:tcPr>
          <w:p w14:paraId="312EC518" w14:textId="77777777" w:rsidR="00A84BF6" w:rsidRPr="00C1307E" w:rsidRDefault="00A84BF6" w:rsidP="00DB5BE8">
            <w:pPr>
              <w:jc w:val="both"/>
              <w:rPr>
                <w:rFonts w:ascii="Arial" w:hAnsi="Arial" w:cs="Arial"/>
                <w:sz w:val="18"/>
                <w:szCs w:val="18"/>
              </w:rPr>
            </w:pPr>
            <w:r w:rsidRPr="00C1307E">
              <w:rPr>
                <w:rFonts w:ascii="Arial" w:hAnsi="Arial" w:cs="Arial"/>
                <w:sz w:val="18"/>
                <w:szCs w:val="18"/>
              </w:rPr>
              <w:t xml:space="preserve">Bestätigung, dass die Methoden zur Identifikation, Bewertung, Messung, Begrenzung, Überwachung und Steuerung von </w:t>
            </w:r>
            <w:r w:rsidRPr="00276C60">
              <w:rPr>
                <w:rFonts w:ascii="Arial" w:hAnsi="Arial" w:cs="Arial"/>
                <w:sz w:val="18"/>
                <w:szCs w:val="18"/>
                <w:highlight w:val="yellow"/>
              </w:rPr>
              <w:t>[</w:t>
            </w:r>
            <w:r>
              <w:rPr>
                <w:rFonts w:ascii="Arial" w:hAnsi="Arial" w:cs="Arial"/>
                <w:sz w:val="18"/>
                <w:szCs w:val="18"/>
                <w:highlight w:val="yellow"/>
              </w:rPr>
              <w:t xml:space="preserve">weiteren sonstigen Risiken – </w:t>
            </w:r>
            <w:r w:rsidRPr="00276C60">
              <w:rPr>
                <w:rFonts w:ascii="Arial" w:hAnsi="Arial" w:cs="Arial"/>
                <w:sz w:val="18"/>
                <w:szCs w:val="18"/>
                <w:highlight w:val="yellow"/>
              </w:rPr>
              <w:t>tbd]</w:t>
            </w:r>
            <w:r>
              <w:rPr>
                <w:rFonts w:ascii="Arial" w:hAnsi="Arial" w:cs="Arial"/>
                <w:sz w:val="18"/>
                <w:szCs w:val="18"/>
              </w:rPr>
              <w:t xml:space="preserve"> </w:t>
            </w:r>
            <w:r w:rsidRPr="00C1307E">
              <w:rPr>
                <w:rFonts w:ascii="Arial" w:hAnsi="Arial" w:cs="Arial"/>
                <w:sz w:val="18"/>
                <w:szCs w:val="18"/>
              </w:rPr>
              <w:t>angemessen sind</w:t>
            </w:r>
            <w:r>
              <w:rPr>
                <w:rFonts w:ascii="Arial" w:hAnsi="Arial" w:cs="Arial"/>
                <w:sz w:val="18"/>
                <w:szCs w:val="18"/>
              </w:rPr>
              <w:t xml:space="preserve"> und im Falle der Prüftiefe Detailprüfung effektiv angewendet wurden</w:t>
            </w:r>
            <w:r w:rsidRPr="00C1307E">
              <w:rPr>
                <w:rFonts w:ascii="Arial" w:hAnsi="Arial" w:cs="Arial"/>
                <w:sz w:val="18"/>
                <w:szCs w:val="18"/>
              </w:rPr>
              <w:t xml:space="preserve">. </w:t>
            </w:r>
          </w:p>
        </w:tc>
        <w:tc>
          <w:tcPr>
            <w:tcW w:w="3382" w:type="dxa"/>
          </w:tcPr>
          <w:p w14:paraId="6A4BE536" w14:textId="77777777" w:rsidR="00A84BF6" w:rsidRPr="009872F3" w:rsidRDefault="00A84BF6" w:rsidP="00DB5BE8">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676F656E" w14:textId="77777777" w:rsidR="00A84BF6" w:rsidRPr="00CE3194" w:rsidRDefault="00A84BF6" w:rsidP="00A84BF6">
      <w:pPr>
        <w:jc w:val="both"/>
        <w:rPr>
          <w:rFonts w:ascii="Arial" w:hAnsi="Arial" w:cs="Arial"/>
          <w:i/>
          <w:sz w:val="20"/>
          <w:szCs w:val="20"/>
          <w:highlight w:val="lightGray"/>
        </w:rPr>
      </w:pPr>
    </w:p>
    <w:tbl>
      <w:tblPr>
        <w:tblStyle w:val="Tabellenraster"/>
        <w:tblW w:w="0" w:type="auto"/>
        <w:tblLook w:val="04A0" w:firstRow="1" w:lastRow="0" w:firstColumn="1" w:lastColumn="0" w:noHBand="0" w:noVBand="1"/>
      </w:tblPr>
      <w:tblGrid>
        <w:gridCol w:w="2660"/>
        <w:gridCol w:w="6520"/>
      </w:tblGrid>
      <w:tr w:rsidR="00A84BF6" w:rsidRPr="00CE3194" w14:paraId="48C26B48" w14:textId="77777777" w:rsidTr="00DB5BE8">
        <w:tc>
          <w:tcPr>
            <w:tcW w:w="2660" w:type="dxa"/>
          </w:tcPr>
          <w:p w14:paraId="37932346"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2BD0701" w14:textId="77777777" w:rsidR="00A84BF6" w:rsidRPr="00CE3194" w:rsidRDefault="00A84BF6" w:rsidP="00DB5BE8">
            <w:pPr>
              <w:jc w:val="both"/>
              <w:rPr>
                <w:rFonts w:ascii="Arial" w:hAnsi="Arial" w:cs="Arial"/>
                <w:b/>
                <w:i/>
                <w:sz w:val="20"/>
                <w:szCs w:val="20"/>
                <w:highlight w:val="lightGray"/>
              </w:rPr>
            </w:pPr>
            <w:r w:rsidRPr="00CE3194">
              <w:rPr>
                <w:rFonts w:ascii="Arial" w:hAnsi="Arial" w:cs="Arial"/>
                <w:b/>
                <w:i/>
                <w:sz w:val="20"/>
                <w:szCs w:val="20"/>
                <w:highlight w:val="lightGray"/>
              </w:rPr>
              <w:t>Min</w:t>
            </w:r>
            <w:r>
              <w:rPr>
                <w:rFonts w:ascii="Arial" w:hAnsi="Arial" w:cs="Arial"/>
                <w:b/>
                <w:i/>
                <w:sz w:val="20"/>
                <w:szCs w:val="20"/>
                <w:highlight w:val="lightGray"/>
              </w:rPr>
              <w:t>destp</w:t>
            </w:r>
            <w:r w:rsidRPr="00CE3194">
              <w:rPr>
                <w:rFonts w:ascii="Arial" w:hAnsi="Arial" w:cs="Arial"/>
                <w:b/>
                <w:i/>
                <w:sz w:val="20"/>
                <w:szCs w:val="20"/>
                <w:highlight w:val="lightGray"/>
              </w:rPr>
              <w:t>rüfinhalte</w:t>
            </w:r>
          </w:p>
        </w:tc>
      </w:tr>
      <w:tr w:rsidR="00A84BF6" w:rsidRPr="00CE3194" w14:paraId="76371B80" w14:textId="77777777" w:rsidTr="00DB5BE8">
        <w:tc>
          <w:tcPr>
            <w:tcW w:w="2660" w:type="dxa"/>
          </w:tcPr>
          <w:p w14:paraId="659A92A7" w14:textId="77777777" w:rsidR="00D8345E" w:rsidRDefault="00D8345E" w:rsidP="00D8345E">
            <w:pPr>
              <w:jc w:val="both"/>
              <w:rPr>
                <w:rFonts w:ascii="Arial" w:hAnsi="Arial" w:cs="Arial"/>
                <w:i/>
                <w:sz w:val="20"/>
                <w:szCs w:val="20"/>
                <w:highlight w:val="lightGray"/>
              </w:rPr>
            </w:pPr>
            <w:r w:rsidRPr="00511890">
              <w:rPr>
                <w:rFonts w:ascii="Arial" w:hAnsi="Arial" w:cs="Arial"/>
                <w:i/>
                <w:sz w:val="20"/>
                <w:szCs w:val="20"/>
                <w:highlight w:val="lightGray"/>
              </w:rPr>
              <w:t xml:space="preserve">Interne Organisation </w:t>
            </w:r>
          </w:p>
          <w:p w14:paraId="75F90747" w14:textId="77777777" w:rsidR="00D8345E" w:rsidRDefault="00D8345E" w:rsidP="00D8345E">
            <w:pPr>
              <w:jc w:val="both"/>
              <w:rPr>
                <w:rFonts w:ascii="Arial" w:hAnsi="Arial" w:cs="Arial"/>
                <w:i/>
                <w:sz w:val="20"/>
                <w:szCs w:val="20"/>
                <w:highlight w:val="lightGray"/>
              </w:rPr>
            </w:pPr>
          </w:p>
          <w:p w14:paraId="6D991D3C" w14:textId="77777777" w:rsidR="00A84BF6" w:rsidRPr="00511890" w:rsidRDefault="00D8345E" w:rsidP="00D8345E">
            <w:pPr>
              <w:jc w:val="both"/>
              <w:rPr>
                <w:rFonts w:ascii="Arial" w:hAnsi="Arial" w:cs="Arial"/>
                <w:i/>
                <w:sz w:val="20"/>
                <w:szCs w:val="20"/>
                <w:highlight w:val="lightGray"/>
              </w:rPr>
            </w:pPr>
            <w:r w:rsidRPr="00667026">
              <w:rPr>
                <w:rFonts w:ascii="Arial" w:hAnsi="Arial" w:cs="Arial"/>
                <w:i/>
                <w:sz w:val="20"/>
                <w:szCs w:val="20"/>
                <w:highlight w:val="lightGray"/>
              </w:rPr>
              <w:t>(Organisationsstruktur, Verantwortlichkeiten und Kompetenzen, Internes Weisungswesen, Ressourcen</w:t>
            </w:r>
            <w:r>
              <w:rPr>
                <w:rFonts w:ascii="Arial" w:hAnsi="Arial" w:cs="Arial"/>
                <w:i/>
                <w:sz w:val="20"/>
                <w:szCs w:val="20"/>
                <w:highlight w:val="lightGray"/>
              </w:rPr>
              <w:t xml:space="preserve"> (personell und technisch)</w:t>
            </w:r>
            <w:r w:rsidRPr="00667026">
              <w:rPr>
                <w:rFonts w:ascii="Arial" w:hAnsi="Arial" w:cs="Arial"/>
                <w:i/>
                <w:sz w:val="20"/>
                <w:szCs w:val="20"/>
                <w:highlight w:val="lightGray"/>
              </w:rPr>
              <w:t>, Know-How, Interessenskonflikte)</w:t>
            </w:r>
          </w:p>
        </w:tc>
        <w:tc>
          <w:tcPr>
            <w:tcW w:w="6520" w:type="dxa"/>
          </w:tcPr>
          <w:p w14:paraId="26037D1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angemessene Verfahren zur Vermeidung, Reduzierung und Offenlegung von Interessenkonflikten;</w:t>
            </w:r>
          </w:p>
          <w:p w14:paraId="6EE36DD1"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 interne Eskalationsmechanismen;</w:t>
            </w:r>
          </w:p>
          <w:p w14:paraId="25F8D22E" w14:textId="33634071"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sind klar </w:t>
            </w:r>
            <w:r w:rsidR="007D341F">
              <w:rPr>
                <w:rFonts w:cs="Arial"/>
                <w:i/>
                <w:szCs w:val="20"/>
                <w:highlight w:val="lightGray"/>
              </w:rPr>
              <w:t>und angemessen</w:t>
            </w:r>
            <w:r w:rsidR="007D341F" w:rsidRPr="00CE3194">
              <w:rPr>
                <w:rFonts w:cs="Arial"/>
                <w:i/>
                <w:szCs w:val="20"/>
                <w:highlight w:val="lightGray"/>
              </w:rPr>
              <w:t xml:space="preserve"> </w:t>
            </w:r>
            <w:r w:rsidRPr="00CE3194">
              <w:rPr>
                <w:rFonts w:cs="Arial"/>
                <w:i/>
                <w:szCs w:val="20"/>
                <w:highlight w:val="lightGray"/>
              </w:rPr>
              <w:t>geregelt;</w:t>
            </w:r>
          </w:p>
          <w:p w14:paraId="55A3EDE0"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die fachliche Eignung und Zuverlässigkeit der Mitarbeiter sicher;</w:t>
            </w:r>
          </w:p>
          <w:p w14:paraId="0CE988F0"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Anzahl und Zusammensetzung der internen Ausschüsse sind angemessen;</w:t>
            </w:r>
          </w:p>
        </w:tc>
      </w:tr>
      <w:tr w:rsidR="0074539F" w:rsidRPr="00CE3194" w14:paraId="3370E05A" w14:textId="77777777" w:rsidTr="00DB5BE8">
        <w:tc>
          <w:tcPr>
            <w:tcW w:w="2660" w:type="dxa"/>
          </w:tcPr>
          <w:p w14:paraId="3B27062B" w14:textId="77777777" w:rsidR="0074539F" w:rsidRDefault="0074539F" w:rsidP="000362E2">
            <w:pPr>
              <w:jc w:val="both"/>
              <w:rPr>
                <w:rFonts w:ascii="Arial" w:hAnsi="Arial" w:cs="Arial"/>
                <w:i/>
                <w:sz w:val="20"/>
                <w:szCs w:val="20"/>
                <w:highlight w:val="lightGray"/>
              </w:rPr>
            </w:pPr>
            <w:r w:rsidRPr="00CE3194">
              <w:rPr>
                <w:rFonts w:ascii="Arial" w:hAnsi="Arial" w:cs="Arial"/>
                <w:i/>
                <w:sz w:val="20"/>
                <w:szCs w:val="20"/>
                <w:highlight w:val="lightGray"/>
              </w:rPr>
              <w:t>Internes Kontrollsystem</w:t>
            </w:r>
          </w:p>
          <w:p w14:paraId="63248572" w14:textId="77777777" w:rsidR="0074539F" w:rsidRPr="00CE3194" w:rsidRDefault="0074539F" w:rsidP="00DB5BE8">
            <w:pPr>
              <w:jc w:val="both"/>
              <w:rPr>
                <w:rFonts w:ascii="Arial" w:hAnsi="Arial" w:cs="Arial"/>
                <w:i/>
                <w:sz w:val="20"/>
                <w:szCs w:val="20"/>
                <w:highlight w:val="lightGray"/>
              </w:rPr>
            </w:pPr>
          </w:p>
        </w:tc>
        <w:tc>
          <w:tcPr>
            <w:tcW w:w="6520" w:type="dxa"/>
          </w:tcPr>
          <w:p w14:paraId="0B2060DA" w14:textId="5858E6CF"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besteht eine angemessene Funktionentrennung zwischen Back- und Frontoffice auf allen wesentlichen Organisationsebenen de</w:t>
            </w:r>
            <w:r>
              <w:rPr>
                <w:rFonts w:cs="Arial"/>
                <w:i/>
                <w:szCs w:val="20"/>
                <w:highlight w:val="lightGray"/>
              </w:rPr>
              <w:t xml:space="preserve">r Bank/Wertpapierfirma bzw. </w:t>
            </w:r>
            <w:r w:rsidRPr="00CE3194">
              <w:rPr>
                <w:rFonts w:cs="Arial"/>
                <w:i/>
                <w:szCs w:val="20"/>
                <w:highlight w:val="lightGray"/>
              </w:rPr>
              <w:t>der Gruppe;</w:t>
            </w:r>
          </w:p>
          <w:p w14:paraId="74303707" w14:textId="3FAA26D4"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sehen die Anwendung des 4-Augen-Prinzips </w:t>
            </w:r>
            <w:r w:rsidR="00546003">
              <w:rPr>
                <w:rFonts w:cs="Arial"/>
                <w:i/>
                <w:szCs w:val="20"/>
                <w:highlight w:val="lightGray"/>
              </w:rPr>
              <w:t>oder Funktionstrennung bei Schlüsselkontrollen</w:t>
            </w:r>
            <w:r w:rsidR="00546003" w:rsidRPr="00CE3194">
              <w:rPr>
                <w:rFonts w:cs="Arial"/>
                <w:i/>
                <w:szCs w:val="20"/>
                <w:highlight w:val="lightGray"/>
              </w:rPr>
              <w:t xml:space="preserve"> </w:t>
            </w:r>
            <w:r w:rsidRPr="00CE3194">
              <w:rPr>
                <w:rFonts w:cs="Arial"/>
                <w:i/>
                <w:szCs w:val="20"/>
                <w:highlight w:val="lightGray"/>
              </w:rPr>
              <w:t>vor;</w:t>
            </w:r>
          </w:p>
          <w:p w14:paraId="78BBEB58" w14:textId="7DA069DB" w:rsidR="0074539F" w:rsidRPr="00CE3194" w:rsidRDefault="0074539F" w:rsidP="000362E2">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sidR="00AF6DD8">
              <w:rPr>
                <w:rFonts w:cs="Arial"/>
                <w:i/>
                <w:szCs w:val="20"/>
                <w:highlight w:val="lightGray"/>
              </w:rPr>
              <w:t>gewährleisten</w:t>
            </w:r>
            <w:r w:rsidRPr="00CE3194">
              <w:rPr>
                <w:rFonts w:cs="Arial"/>
                <w:i/>
                <w:szCs w:val="20"/>
                <w:highlight w:val="lightGray"/>
              </w:rPr>
              <w:t xml:space="preserve"> ein angemessenes Dokumentations- und Archivierungswesen;</w:t>
            </w:r>
          </w:p>
          <w:p w14:paraId="5C408D12" w14:textId="77777777" w:rsidR="0074539F" w:rsidRPr="00CE3194" w:rsidRDefault="0074539F"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internen Verfahren stellen den internen Wissenstransfer (Berichterstattung) angemessen sicher</w:t>
            </w:r>
          </w:p>
        </w:tc>
      </w:tr>
      <w:tr w:rsidR="00A84BF6" w14:paraId="26A479AF" w14:textId="77777777" w:rsidTr="00DB5BE8">
        <w:tc>
          <w:tcPr>
            <w:tcW w:w="2660" w:type="dxa"/>
          </w:tcPr>
          <w:p w14:paraId="0C5BBD5B" w14:textId="77777777" w:rsidR="00A84BF6" w:rsidRDefault="00A84BF6" w:rsidP="00DB5BE8">
            <w:pPr>
              <w:jc w:val="both"/>
              <w:rPr>
                <w:rFonts w:ascii="Arial" w:hAnsi="Arial" w:cs="Arial"/>
                <w:i/>
                <w:sz w:val="20"/>
                <w:szCs w:val="20"/>
              </w:rPr>
            </w:pPr>
            <w:r w:rsidRPr="00CE3194">
              <w:rPr>
                <w:rFonts w:ascii="Arial" w:hAnsi="Arial" w:cs="Arial"/>
                <w:i/>
                <w:sz w:val="20"/>
                <w:szCs w:val="20"/>
                <w:highlight w:val="lightGray"/>
              </w:rPr>
              <w:t>Risikomanagement</w:t>
            </w:r>
          </w:p>
        </w:tc>
        <w:tc>
          <w:tcPr>
            <w:tcW w:w="6520" w:type="dxa"/>
          </w:tcPr>
          <w:p w14:paraId="367C0BAC"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wesentlichen Risiken werden laufend identifiziert, bewertet, gemessen, begrenzt</w:t>
            </w:r>
            <w:r>
              <w:rPr>
                <w:rFonts w:cs="Arial"/>
                <w:i/>
                <w:szCs w:val="20"/>
                <w:highlight w:val="lightGray"/>
              </w:rPr>
              <w:t>, überwacht</w:t>
            </w:r>
            <w:r w:rsidRPr="00CE3194">
              <w:rPr>
                <w:rFonts w:cs="Arial"/>
                <w:i/>
                <w:szCs w:val="20"/>
                <w:highlight w:val="lightGray"/>
              </w:rPr>
              <w:t xml:space="preserve"> und gesteuert;</w:t>
            </w:r>
          </w:p>
          <w:p w14:paraId="4FD8A77D"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Annahmen und Parameter des Risikomanagements werden regelmässig validiert;</w:t>
            </w:r>
          </w:p>
          <w:p w14:paraId="459E56BA"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6672021F" w14:textId="77777777" w:rsidR="00A84BF6" w:rsidRPr="00CE3194" w:rsidRDefault="00A84BF6" w:rsidP="00DB5BE8">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4BBD43ED" w14:textId="77777777" w:rsidR="00A84BF6" w:rsidRPr="005B66F8" w:rsidRDefault="00A84BF6" w:rsidP="00DB5BE8">
            <w:pPr>
              <w:pStyle w:val="Listenabsatz"/>
              <w:numPr>
                <w:ilvl w:val="1"/>
                <w:numId w:val="17"/>
              </w:numPr>
              <w:ind w:left="317" w:hanging="283"/>
              <w:jc w:val="both"/>
              <w:rPr>
                <w:rFonts w:cs="Arial"/>
                <w:i/>
                <w:szCs w:val="20"/>
              </w:rPr>
            </w:pPr>
            <w:r w:rsidRPr="00CE3194">
              <w:rPr>
                <w:rFonts w:cs="Arial"/>
                <w:i/>
                <w:szCs w:val="20"/>
                <w:highlight w:val="lightGray"/>
              </w:rPr>
              <w:t>Das Limitwesen ist konsistent mit den Indikatoren der Sanierungsplanung</w:t>
            </w:r>
          </w:p>
          <w:p w14:paraId="3EC85653" w14:textId="39224B2E" w:rsidR="00916839" w:rsidRDefault="00916839" w:rsidP="00DB5BE8">
            <w:pPr>
              <w:pStyle w:val="Listenabsatz"/>
              <w:numPr>
                <w:ilvl w:val="1"/>
                <w:numId w:val="17"/>
              </w:numPr>
              <w:ind w:left="317" w:hanging="283"/>
              <w:jc w:val="both"/>
              <w:rPr>
                <w:rFonts w:cs="Arial"/>
                <w:i/>
                <w:szCs w:val="20"/>
              </w:rPr>
            </w:pPr>
            <w:r w:rsidRPr="00055C14">
              <w:rPr>
                <w:rFonts w:cs="Arial"/>
                <w:i/>
                <w:szCs w:val="20"/>
                <w:highlight w:val="lightGray"/>
              </w:rPr>
              <w:lastRenderedPageBreak/>
              <w:t>Die limitierten Risiken fliessen in den ICAAP</w:t>
            </w:r>
            <w:r>
              <w:rPr>
                <w:rFonts w:cs="Arial"/>
                <w:i/>
                <w:szCs w:val="20"/>
                <w:highlight w:val="lightGray"/>
              </w:rPr>
              <w:t>/ILAAP</w:t>
            </w:r>
            <w:r w:rsidRPr="00055C14">
              <w:rPr>
                <w:rFonts w:cs="Arial"/>
                <w:i/>
                <w:szCs w:val="20"/>
                <w:highlight w:val="lightGray"/>
              </w:rPr>
              <w:t xml:space="preserve"> und somit in die Gesamtrisikoaggregation sowie in die Gesamtrisikotragfähigkeit der </w:t>
            </w:r>
            <w:r w:rsidR="004D5057" w:rsidRPr="00055C14">
              <w:rPr>
                <w:rFonts w:cs="Arial"/>
                <w:i/>
                <w:szCs w:val="20"/>
                <w:highlight w:val="lightGray"/>
              </w:rPr>
              <w:t>Bank</w:t>
            </w:r>
            <w:r w:rsidR="004D5057">
              <w:rPr>
                <w:rFonts w:cs="Arial"/>
                <w:i/>
                <w:szCs w:val="20"/>
                <w:highlight w:val="lightGray"/>
              </w:rPr>
              <w:t>/Wertpapierfirma bzw. der Gruppe</w:t>
            </w:r>
            <w:r w:rsidR="004D5057" w:rsidRPr="00055C14">
              <w:rPr>
                <w:rFonts w:cs="Arial"/>
                <w:i/>
                <w:szCs w:val="20"/>
                <w:highlight w:val="lightGray"/>
              </w:rPr>
              <w:t xml:space="preserve"> </w:t>
            </w:r>
            <w:r w:rsidRPr="00055C14">
              <w:rPr>
                <w:rFonts w:cs="Arial"/>
                <w:i/>
                <w:szCs w:val="20"/>
                <w:highlight w:val="lightGray"/>
              </w:rPr>
              <w:t>mit ein</w:t>
            </w:r>
          </w:p>
        </w:tc>
      </w:tr>
    </w:tbl>
    <w:p w14:paraId="0EDCE5A6" w14:textId="77777777" w:rsidR="00A84BF6" w:rsidRDefault="00A84BF6" w:rsidP="00CB3EE6">
      <w:pPr>
        <w:jc w:val="both"/>
        <w:rPr>
          <w:rFonts w:cs="Arial"/>
          <w:szCs w:val="20"/>
        </w:rPr>
      </w:pPr>
    </w:p>
    <w:p w14:paraId="4B62D830"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2A0C7CD6" w14:textId="77777777" w:rsidR="00A84BF6" w:rsidRPr="00CB3EE6" w:rsidRDefault="00A84BF6" w:rsidP="00CB3EE6">
      <w:pPr>
        <w:jc w:val="both"/>
        <w:rPr>
          <w:rFonts w:cs="Arial"/>
          <w:szCs w:val="20"/>
        </w:rPr>
      </w:pPr>
    </w:p>
    <w:p w14:paraId="3C1DD796" w14:textId="77777777" w:rsidR="007A36D2" w:rsidRDefault="007A36D2" w:rsidP="000D36E0">
      <w:pPr>
        <w:jc w:val="both"/>
        <w:rPr>
          <w:rFonts w:ascii="Arial" w:hAnsi="Arial" w:cs="Arial"/>
          <w:i/>
          <w:sz w:val="20"/>
          <w:szCs w:val="20"/>
          <w:highlight w:val="lightGray"/>
        </w:rPr>
      </w:pPr>
    </w:p>
    <w:p w14:paraId="5FE47805" w14:textId="77777777" w:rsidR="008C30D1" w:rsidRDefault="008C30D1" w:rsidP="006F7AB5">
      <w:pPr>
        <w:pStyle w:val="FINMAGliederungEbene2"/>
      </w:pPr>
      <w:bookmarkStart w:id="59" w:name="_Toc147849913"/>
      <w:r>
        <w:t>Governance</w:t>
      </w:r>
      <w:bookmarkEnd w:id="59"/>
    </w:p>
    <w:p w14:paraId="5ADD528C" w14:textId="77777777" w:rsidR="0097312C" w:rsidRDefault="0097312C" w:rsidP="00CB3EE6">
      <w:pPr>
        <w:pStyle w:val="Listenabsatz"/>
        <w:ind w:left="792"/>
        <w:jc w:val="both"/>
      </w:pPr>
    </w:p>
    <w:p w14:paraId="77B4B2ED" w14:textId="77777777" w:rsidR="00E864F2" w:rsidRDefault="008C30D1" w:rsidP="006F7AB5">
      <w:pPr>
        <w:pStyle w:val="FINMAGliederungEbene3"/>
      </w:pPr>
      <w:bookmarkStart w:id="60" w:name="_Toc147849914"/>
      <w:r>
        <w:t>Geschäftsleitung</w:t>
      </w:r>
      <w:r w:rsidR="00543DCA">
        <w:t xml:space="preserve"> (GOV-1)</w:t>
      </w:r>
      <w:bookmarkEnd w:id="60"/>
    </w:p>
    <w:p w14:paraId="6A4127C7"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E864F2" w:rsidRPr="009872F3" w14:paraId="00A2E58A" w14:textId="77777777" w:rsidTr="006A378B">
        <w:trPr>
          <w:trHeight w:val="563"/>
        </w:trPr>
        <w:tc>
          <w:tcPr>
            <w:tcW w:w="1932" w:type="dxa"/>
          </w:tcPr>
          <w:p w14:paraId="609FFCE5"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74B5C3D7"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C270976"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E864F2" w:rsidRPr="009872F3" w14:paraId="1C1FA334" w14:textId="77777777" w:rsidTr="006A378B">
        <w:trPr>
          <w:trHeight w:val="698"/>
        </w:trPr>
        <w:tc>
          <w:tcPr>
            <w:tcW w:w="1932" w:type="dxa"/>
          </w:tcPr>
          <w:p w14:paraId="044C8161" w14:textId="62B4F8DE"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060C1A18" w14:textId="77777777" w:rsidR="00E864F2" w:rsidRPr="006749F0" w:rsidRDefault="00E864F2"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951BE01" w14:textId="77777777" w:rsidR="00E864F2" w:rsidRPr="009872F3" w:rsidRDefault="00E864F2"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6FF2F82A" w14:textId="77777777" w:rsidR="00E864F2" w:rsidRDefault="00E864F2"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7275CCA" w14:textId="77777777" w:rsidR="00E864F2" w:rsidRPr="006749F0" w:rsidRDefault="00E864F2" w:rsidP="006A378B">
            <w:pPr>
              <w:jc w:val="both"/>
              <w:rPr>
                <w:rFonts w:ascii="Arial" w:hAnsi="Arial" w:cs="Arial"/>
                <w:i/>
                <w:sz w:val="18"/>
                <w:szCs w:val="18"/>
              </w:rPr>
            </w:pPr>
            <w:r w:rsidRPr="006749F0">
              <w:rPr>
                <w:rFonts w:ascii="Arial" w:hAnsi="Arial" w:cs="Arial"/>
                <w:i/>
                <w:sz w:val="18"/>
                <w:szCs w:val="18"/>
                <w:highlight w:val="yellow"/>
              </w:rPr>
              <w:t>Jahr</w:t>
            </w:r>
          </w:p>
        </w:tc>
      </w:tr>
      <w:tr w:rsidR="00E864F2" w:rsidRPr="009872F3" w14:paraId="6BC61D4F" w14:textId="77777777" w:rsidTr="006A378B">
        <w:trPr>
          <w:trHeight w:val="636"/>
        </w:trPr>
        <w:tc>
          <w:tcPr>
            <w:tcW w:w="9180" w:type="dxa"/>
            <w:gridSpan w:val="4"/>
          </w:tcPr>
          <w:p w14:paraId="04C4B200" w14:textId="77777777" w:rsidR="00E864F2" w:rsidRDefault="00E864F2" w:rsidP="006A378B">
            <w:pPr>
              <w:jc w:val="both"/>
              <w:rPr>
                <w:rFonts w:ascii="Arial" w:hAnsi="Arial" w:cs="Arial"/>
                <w:sz w:val="18"/>
                <w:szCs w:val="18"/>
              </w:rPr>
            </w:pPr>
          </w:p>
          <w:p w14:paraId="08ED4EA5" w14:textId="77777777" w:rsidR="00E864F2" w:rsidRPr="00F60909" w:rsidRDefault="00E864F2"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2EEBC9A" w14:textId="12CC457F" w:rsidR="00E864F2" w:rsidRPr="009872F3" w:rsidRDefault="00E864F2" w:rsidP="006A378B">
            <w:pPr>
              <w:jc w:val="both"/>
              <w:rPr>
                <w:rFonts w:ascii="Arial" w:hAnsi="Arial" w:cs="Arial"/>
                <w:sz w:val="18"/>
                <w:szCs w:val="18"/>
              </w:rPr>
            </w:pPr>
            <w:r w:rsidRPr="00E864F2">
              <w:rPr>
                <w:rFonts w:ascii="Arial" w:hAnsi="Arial" w:cs="Arial"/>
                <w:sz w:val="18"/>
                <w:szCs w:val="18"/>
                <w:highlight w:val="yellow"/>
              </w:rPr>
              <w:t>Art. 22 BankG; Art. 21c BankV; Anhang 4.3 BankV; EBA/GL/</w:t>
            </w:r>
            <w:r w:rsidR="00C0732A">
              <w:rPr>
                <w:rFonts w:ascii="Arial" w:hAnsi="Arial" w:cs="Arial"/>
                <w:sz w:val="18"/>
                <w:szCs w:val="18"/>
                <w:highlight w:val="yellow"/>
              </w:rPr>
              <w:t>2021/05</w:t>
            </w:r>
            <w:r w:rsidRPr="00E864F2">
              <w:rPr>
                <w:rFonts w:ascii="Arial" w:hAnsi="Arial" w:cs="Arial"/>
                <w:sz w:val="18"/>
                <w:szCs w:val="18"/>
                <w:highlight w:val="yellow"/>
              </w:rPr>
              <w:t>; EBA/GL/201</w:t>
            </w:r>
            <w:r w:rsidR="00C0732A">
              <w:rPr>
                <w:rFonts w:ascii="Arial" w:hAnsi="Arial" w:cs="Arial"/>
                <w:sz w:val="18"/>
                <w:szCs w:val="18"/>
                <w:highlight w:val="yellow"/>
              </w:rPr>
              <w:t>8/03</w:t>
            </w:r>
          </w:p>
        </w:tc>
      </w:tr>
      <w:tr w:rsidR="00E864F2" w:rsidRPr="009872F3" w14:paraId="26932264" w14:textId="77777777" w:rsidTr="006A378B">
        <w:trPr>
          <w:trHeight w:val="294"/>
        </w:trPr>
        <w:tc>
          <w:tcPr>
            <w:tcW w:w="9180" w:type="dxa"/>
            <w:gridSpan w:val="4"/>
          </w:tcPr>
          <w:p w14:paraId="2A5F56D6" w14:textId="77777777" w:rsidR="00E864F2" w:rsidRPr="009872F3" w:rsidRDefault="00E864F2" w:rsidP="006A378B">
            <w:pPr>
              <w:jc w:val="both"/>
              <w:rPr>
                <w:rFonts w:ascii="Arial" w:hAnsi="Arial" w:cs="Arial"/>
                <w:sz w:val="18"/>
                <w:szCs w:val="18"/>
              </w:rPr>
            </w:pPr>
          </w:p>
        </w:tc>
      </w:tr>
      <w:tr w:rsidR="00E864F2" w:rsidRPr="009872F3" w14:paraId="14BA601F" w14:textId="77777777" w:rsidTr="006A378B">
        <w:tc>
          <w:tcPr>
            <w:tcW w:w="5798" w:type="dxa"/>
            <w:gridSpan w:val="3"/>
          </w:tcPr>
          <w:p w14:paraId="759B1737" w14:textId="77777777" w:rsidR="00E864F2" w:rsidRPr="009872F3" w:rsidRDefault="00E864F2" w:rsidP="00E864F2">
            <w:pPr>
              <w:jc w:val="both"/>
              <w:rPr>
                <w:rFonts w:ascii="Arial" w:hAnsi="Arial" w:cs="Arial"/>
                <w:sz w:val="18"/>
                <w:szCs w:val="18"/>
              </w:rPr>
            </w:pPr>
            <w:r>
              <w:rPr>
                <w:rFonts w:ascii="Arial" w:hAnsi="Arial" w:cs="Arial"/>
                <w:sz w:val="18"/>
                <w:szCs w:val="18"/>
              </w:rPr>
              <w:t xml:space="preserve">Bestätigung, dass die </w:t>
            </w:r>
            <w:r w:rsidR="0052155F">
              <w:rPr>
                <w:rFonts w:ascii="Arial" w:hAnsi="Arial" w:cs="Arial"/>
                <w:sz w:val="18"/>
                <w:szCs w:val="18"/>
              </w:rPr>
              <w:t>die Verantwortlichkeiten und Kompetenzen der Geschäftsleitung angemessen ausgestaltet sind</w:t>
            </w:r>
          </w:p>
        </w:tc>
        <w:tc>
          <w:tcPr>
            <w:tcW w:w="3382" w:type="dxa"/>
          </w:tcPr>
          <w:p w14:paraId="59D67E5B" w14:textId="77777777" w:rsidR="00E864F2" w:rsidRPr="00E109DF" w:rsidRDefault="00E864F2"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33E8692C" w14:textId="77777777" w:rsidTr="006A378B">
        <w:tc>
          <w:tcPr>
            <w:tcW w:w="5798" w:type="dxa"/>
            <w:gridSpan w:val="3"/>
          </w:tcPr>
          <w:p w14:paraId="4D0650CA" w14:textId="77777777" w:rsidR="00E864F2" w:rsidRPr="009872F3" w:rsidRDefault="0052155F" w:rsidP="006A378B">
            <w:pPr>
              <w:jc w:val="both"/>
              <w:rPr>
                <w:rFonts w:ascii="Arial" w:hAnsi="Arial" w:cs="Arial"/>
                <w:sz w:val="18"/>
                <w:szCs w:val="18"/>
              </w:rPr>
            </w:pPr>
            <w:r>
              <w:rPr>
                <w:rFonts w:ascii="Arial" w:hAnsi="Arial" w:cs="Arial"/>
                <w:sz w:val="18"/>
                <w:szCs w:val="18"/>
              </w:rPr>
              <w:t>Bestätigung, dass die Mitglieder der Geschäftsleitung sowohl individuell als auch kollektiv geeignet sind</w:t>
            </w:r>
            <w:r w:rsidR="00C1307E">
              <w:rPr>
                <w:rFonts w:ascii="Arial" w:hAnsi="Arial" w:cs="Arial"/>
                <w:sz w:val="18"/>
                <w:szCs w:val="18"/>
              </w:rPr>
              <w:t xml:space="preserve"> und ihre fachliche Eignung regelmässig </w:t>
            </w:r>
            <w:r w:rsidR="006A378B">
              <w:rPr>
                <w:rFonts w:ascii="Arial" w:hAnsi="Arial" w:cs="Arial"/>
                <w:sz w:val="18"/>
                <w:szCs w:val="18"/>
              </w:rPr>
              <w:t xml:space="preserve">intern </w:t>
            </w:r>
            <w:r w:rsidR="00C1307E">
              <w:rPr>
                <w:rFonts w:ascii="Arial" w:hAnsi="Arial" w:cs="Arial"/>
                <w:sz w:val="18"/>
                <w:szCs w:val="18"/>
              </w:rPr>
              <w:t>überprüft wird</w:t>
            </w:r>
          </w:p>
        </w:tc>
        <w:tc>
          <w:tcPr>
            <w:tcW w:w="3382" w:type="dxa"/>
          </w:tcPr>
          <w:p w14:paraId="065632D2"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864F2" w:rsidRPr="009872F3" w14:paraId="13792CF3" w14:textId="77777777" w:rsidTr="006A378B">
        <w:tc>
          <w:tcPr>
            <w:tcW w:w="5798" w:type="dxa"/>
            <w:gridSpan w:val="3"/>
          </w:tcPr>
          <w:p w14:paraId="76179060" w14:textId="77777777" w:rsidR="00E864F2" w:rsidRDefault="00C1307E" w:rsidP="00C1307E">
            <w:pPr>
              <w:jc w:val="both"/>
              <w:rPr>
                <w:rFonts w:ascii="Arial" w:hAnsi="Arial" w:cs="Arial"/>
                <w:sz w:val="18"/>
                <w:szCs w:val="18"/>
              </w:rPr>
            </w:pPr>
            <w:r>
              <w:rPr>
                <w:rFonts w:ascii="Arial" w:hAnsi="Arial" w:cs="Arial"/>
                <w:sz w:val="18"/>
                <w:szCs w:val="18"/>
              </w:rPr>
              <w:t>Bestätigung, dass die Mitglieder der Geschäftsleitung die Struktur de</w:t>
            </w:r>
            <w:r w:rsidR="0067062C">
              <w:rPr>
                <w:rFonts w:ascii="Arial" w:hAnsi="Arial" w:cs="Arial"/>
                <w:sz w:val="18"/>
                <w:szCs w:val="18"/>
              </w:rPr>
              <w:t xml:space="preserve">r </w:t>
            </w:r>
            <w:r w:rsidR="0067062C" w:rsidRPr="00B80B23">
              <w:rPr>
                <w:rFonts w:ascii="Arial" w:hAnsi="Arial" w:cs="Arial"/>
                <w:sz w:val="18"/>
                <w:szCs w:val="18"/>
                <w:highlight w:val="yellow"/>
              </w:rPr>
              <w:t>Bank oder Wertpapierfirma / Gruppe</w:t>
            </w:r>
            <w:r>
              <w:rPr>
                <w:rFonts w:ascii="Arial" w:hAnsi="Arial" w:cs="Arial"/>
                <w:sz w:val="18"/>
                <w:szCs w:val="18"/>
              </w:rPr>
              <w:t xml:space="preserve"> sowie deren Geschäftsfelder und Risiken kennen</w:t>
            </w:r>
          </w:p>
        </w:tc>
        <w:tc>
          <w:tcPr>
            <w:tcW w:w="3382" w:type="dxa"/>
          </w:tcPr>
          <w:p w14:paraId="010AB973" w14:textId="77777777" w:rsidR="00E864F2" w:rsidRPr="009872F3" w:rsidRDefault="00E864F2"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C1307E" w:rsidRPr="009872F3" w14:paraId="49BE4C8A" w14:textId="77777777" w:rsidTr="006A378B">
        <w:tc>
          <w:tcPr>
            <w:tcW w:w="5798" w:type="dxa"/>
            <w:gridSpan w:val="3"/>
          </w:tcPr>
          <w:p w14:paraId="2ABE1449" w14:textId="77777777" w:rsidR="00C1307E" w:rsidRDefault="00C1307E" w:rsidP="006A378B">
            <w:pPr>
              <w:jc w:val="both"/>
              <w:rPr>
                <w:rFonts w:ascii="Arial" w:hAnsi="Arial" w:cs="Arial"/>
                <w:sz w:val="18"/>
                <w:szCs w:val="18"/>
              </w:rPr>
            </w:pPr>
            <w:r>
              <w:rPr>
                <w:rFonts w:ascii="Arial" w:hAnsi="Arial" w:cs="Arial"/>
                <w:sz w:val="18"/>
                <w:szCs w:val="18"/>
              </w:rPr>
              <w:t xml:space="preserve">Bestätigung, dass die Mitglieder </w:t>
            </w:r>
            <w:r w:rsidR="006A378B">
              <w:rPr>
                <w:rFonts w:ascii="Arial" w:hAnsi="Arial" w:cs="Arial"/>
                <w:sz w:val="18"/>
                <w:szCs w:val="18"/>
              </w:rPr>
              <w:t>der Geschäftsleitung sich fortlaufend fachlich adäquat weiterbilden</w:t>
            </w:r>
          </w:p>
        </w:tc>
        <w:tc>
          <w:tcPr>
            <w:tcW w:w="3382" w:type="dxa"/>
          </w:tcPr>
          <w:p w14:paraId="591D07BA" w14:textId="77777777" w:rsidR="00C1307E" w:rsidRPr="00E109DF" w:rsidRDefault="00C1307E"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95586DC" w14:textId="77777777" w:rsidR="00E864F2" w:rsidRDefault="00E864F2" w:rsidP="00E864F2">
      <w:pPr>
        <w:jc w:val="both"/>
      </w:pPr>
    </w:p>
    <w:tbl>
      <w:tblPr>
        <w:tblStyle w:val="Tabellenraster"/>
        <w:tblW w:w="0" w:type="auto"/>
        <w:tblLook w:val="04A0" w:firstRow="1" w:lastRow="0" w:firstColumn="1" w:lastColumn="0" w:noHBand="0" w:noVBand="1"/>
      </w:tblPr>
      <w:tblGrid>
        <w:gridCol w:w="2660"/>
        <w:gridCol w:w="6520"/>
      </w:tblGrid>
      <w:tr w:rsidR="00E864F2" w:rsidRPr="00CE3194" w14:paraId="75C29B18" w14:textId="77777777" w:rsidTr="006A378B">
        <w:tc>
          <w:tcPr>
            <w:tcW w:w="2660" w:type="dxa"/>
          </w:tcPr>
          <w:p w14:paraId="312355E1" w14:textId="77777777" w:rsidR="00E864F2" w:rsidRPr="00CE3194" w:rsidRDefault="00E864F2"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33A255CE" w14:textId="77777777" w:rsidR="00E864F2" w:rsidRPr="00CE3194" w:rsidRDefault="003B5EE4"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E864F2" w:rsidRPr="00CE3194">
              <w:rPr>
                <w:rFonts w:ascii="Arial" w:hAnsi="Arial" w:cs="Arial"/>
                <w:b/>
                <w:i/>
                <w:sz w:val="20"/>
                <w:szCs w:val="20"/>
                <w:highlight w:val="lightGray"/>
              </w:rPr>
              <w:t>rüfinhalte</w:t>
            </w:r>
          </w:p>
        </w:tc>
      </w:tr>
      <w:tr w:rsidR="00E864F2" w:rsidRPr="00CE3194" w14:paraId="0EF0F02F" w14:textId="77777777" w:rsidTr="006A378B">
        <w:tc>
          <w:tcPr>
            <w:tcW w:w="2660" w:type="dxa"/>
          </w:tcPr>
          <w:p w14:paraId="45C4F110"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2F60CAB4" w14:textId="77777777" w:rsidR="00E864F2" w:rsidRDefault="00E864F2" w:rsidP="00E864F2">
            <w:pPr>
              <w:pStyle w:val="Listenabsatz"/>
              <w:ind w:left="34"/>
              <w:jc w:val="both"/>
              <w:rPr>
                <w:rFonts w:cs="Arial"/>
                <w:i/>
                <w:szCs w:val="20"/>
                <w:highlight w:val="lightGray"/>
              </w:rPr>
            </w:pPr>
            <w:r>
              <w:rPr>
                <w:rFonts w:cs="Arial"/>
                <w:i/>
                <w:szCs w:val="20"/>
                <w:highlight w:val="lightGray"/>
              </w:rPr>
              <w:t>Es besteht eine klare und effektive Aufteilung von Verantwortlichkeiten und Kompetenzen, insbesondere hinsichtlich</w:t>
            </w:r>
          </w:p>
          <w:p w14:paraId="2F4D37B4" w14:textId="77777777" w:rsidR="00E864F2" w:rsidRDefault="00E864F2" w:rsidP="00E864F2">
            <w:pPr>
              <w:pStyle w:val="Listenabsatz"/>
              <w:ind w:left="34"/>
              <w:jc w:val="both"/>
              <w:rPr>
                <w:rFonts w:cs="Arial"/>
                <w:i/>
                <w:szCs w:val="20"/>
                <w:highlight w:val="lightGray"/>
              </w:rPr>
            </w:pPr>
            <w:r>
              <w:rPr>
                <w:rFonts w:cs="Arial"/>
                <w:i/>
                <w:szCs w:val="20"/>
                <w:highlight w:val="lightGray"/>
              </w:rPr>
              <w:t>a) Führung des Tagesgeschäfts</w:t>
            </w:r>
          </w:p>
          <w:p w14:paraId="405EC5D7" w14:textId="77777777" w:rsidR="00E864F2" w:rsidRDefault="00E864F2" w:rsidP="00E864F2">
            <w:pPr>
              <w:pStyle w:val="Listenabsatz"/>
              <w:ind w:left="34"/>
              <w:jc w:val="both"/>
              <w:rPr>
                <w:rFonts w:cs="Arial"/>
                <w:i/>
                <w:szCs w:val="20"/>
                <w:highlight w:val="lightGray"/>
              </w:rPr>
            </w:pPr>
            <w:r>
              <w:rPr>
                <w:rFonts w:cs="Arial"/>
                <w:i/>
                <w:szCs w:val="20"/>
                <w:highlight w:val="lightGray"/>
              </w:rPr>
              <w:t>b) Operative Ertrags- und Risikosteuerung</w:t>
            </w:r>
          </w:p>
          <w:p w14:paraId="0ED88D98" w14:textId="77777777" w:rsidR="00E864F2" w:rsidRDefault="00E864F2" w:rsidP="00E864F2">
            <w:pPr>
              <w:pStyle w:val="Listenabsatz"/>
              <w:ind w:left="34"/>
              <w:jc w:val="both"/>
              <w:rPr>
                <w:rFonts w:cs="Arial"/>
                <w:i/>
                <w:szCs w:val="20"/>
                <w:highlight w:val="lightGray"/>
              </w:rPr>
            </w:pPr>
            <w:r>
              <w:rPr>
                <w:rFonts w:cs="Arial"/>
                <w:i/>
                <w:szCs w:val="20"/>
                <w:highlight w:val="lightGray"/>
              </w:rPr>
              <w:t>c) Bilanzstruktur- und Liquidationsmanagement</w:t>
            </w:r>
          </w:p>
          <w:p w14:paraId="24BCB472" w14:textId="77777777" w:rsidR="00E864F2" w:rsidRDefault="00E864F2" w:rsidP="00E864F2">
            <w:pPr>
              <w:pStyle w:val="Listenabsatz"/>
              <w:ind w:left="34"/>
              <w:jc w:val="both"/>
              <w:rPr>
                <w:rFonts w:cs="Arial"/>
                <w:i/>
                <w:szCs w:val="20"/>
                <w:highlight w:val="lightGray"/>
              </w:rPr>
            </w:pPr>
            <w:r>
              <w:rPr>
                <w:rFonts w:cs="Arial"/>
                <w:i/>
                <w:szCs w:val="20"/>
                <w:highlight w:val="lightGray"/>
              </w:rPr>
              <w:t>d) Antragstellung von Geschäften an den Verwaltungsrat</w:t>
            </w:r>
          </w:p>
          <w:p w14:paraId="7663440A" w14:textId="77777777" w:rsidR="00E864F2" w:rsidRDefault="00E864F2" w:rsidP="00E864F2">
            <w:pPr>
              <w:pStyle w:val="Listenabsatz"/>
              <w:ind w:left="34"/>
              <w:jc w:val="both"/>
              <w:rPr>
                <w:rFonts w:cs="Arial"/>
                <w:i/>
                <w:szCs w:val="20"/>
                <w:highlight w:val="lightGray"/>
              </w:rPr>
            </w:pPr>
            <w:r>
              <w:rPr>
                <w:rFonts w:cs="Arial"/>
                <w:i/>
                <w:szCs w:val="20"/>
                <w:highlight w:val="lightGray"/>
              </w:rPr>
              <w:t>e) Erlass von Vorschriften zur Regelung des operativen Geschäftsbetriebs</w:t>
            </w:r>
          </w:p>
          <w:p w14:paraId="59363089" w14:textId="77777777" w:rsidR="00E864F2" w:rsidRPr="00CE3194" w:rsidRDefault="00E864F2" w:rsidP="00E864F2">
            <w:pPr>
              <w:pStyle w:val="Listenabsatz"/>
              <w:ind w:left="34"/>
              <w:jc w:val="both"/>
              <w:rPr>
                <w:rFonts w:cs="Arial"/>
                <w:i/>
                <w:szCs w:val="20"/>
                <w:highlight w:val="lightGray"/>
              </w:rPr>
            </w:pPr>
            <w:r>
              <w:rPr>
                <w:rFonts w:cs="Arial"/>
                <w:i/>
                <w:szCs w:val="20"/>
                <w:highlight w:val="lightGray"/>
              </w:rPr>
              <w:t>f) Ausgestaltung und Unterhalt interner Prozesse, Managementinformationssystem, IKS, ICAAP / ILAAP und Technologieinfrastruktur</w:t>
            </w:r>
          </w:p>
        </w:tc>
      </w:tr>
      <w:tr w:rsidR="00E864F2" w:rsidRPr="00CE3194" w14:paraId="1BA48C0E" w14:textId="77777777" w:rsidTr="006A378B">
        <w:tc>
          <w:tcPr>
            <w:tcW w:w="2660" w:type="dxa"/>
          </w:tcPr>
          <w:p w14:paraId="4C3AEA94" w14:textId="77777777" w:rsidR="00E864F2" w:rsidRPr="00CE3194" w:rsidRDefault="00E864F2"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0B460FC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sind sowohl individuell als auch kollektiv geeignet</w:t>
            </w:r>
          </w:p>
          <w:p w14:paraId="19D70661"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Es besteht ein internes Verfahren zur regelmässigen Überprüfung der individuellen und kol</w:t>
            </w:r>
            <w:r w:rsidR="00E70DF4">
              <w:rPr>
                <w:rFonts w:cs="Arial"/>
                <w:i/>
                <w:szCs w:val="20"/>
                <w:highlight w:val="lightGray"/>
              </w:rPr>
              <w:t>l</w:t>
            </w:r>
            <w:r w:rsidRPr="00E864F2">
              <w:rPr>
                <w:rFonts w:cs="Arial"/>
                <w:i/>
                <w:szCs w:val="20"/>
                <w:highlight w:val="lightGray"/>
              </w:rPr>
              <w:t>ektiven Eignung</w:t>
            </w:r>
          </w:p>
          <w:p w14:paraId="691C719B" w14:textId="292B3AF0"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kennen die Struktur, in denen sich d</w:t>
            </w:r>
            <w:r w:rsidR="0067062C">
              <w:rPr>
                <w:rFonts w:cs="Arial"/>
                <w:i/>
                <w:szCs w:val="20"/>
                <w:highlight w:val="lightGray"/>
              </w:rPr>
              <w:t xml:space="preserve">ie Bank oder Wertpapierfirma / Gruppe </w:t>
            </w:r>
            <w:r w:rsidRPr="00E864F2">
              <w:rPr>
                <w:rFonts w:cs="Arial"/>
                <w:i/>
                <w:szCs w:val="20"/>
                <w:highlight w:val="lightGray"/>
              </w:rPr>
              <w:t>bewegt ("Know-Your-Structure")</w:t>
            </w:r>
          </w:p>
          <w:p w14:paraId="033F3442" w14:textId="3A131A3C"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t>Die Mitglieder des Gremiums kennen sämtliche Geschäftsfelder und Risiken de</w:t>
            </w:r>
            <w:r w:rsidR="00E70DF4">
              <w:rPr>
                <w:rFonts w:cs="Arial"/>
                <w:i/>
                <w:szCs w:val="20"/>
                <w:highlight w:val="lightGray"/>
              </w:rPr>
              <w:t>r Bank oder Wertpapierfirma / Gruppe</w:t>
            </w:r>
            <w:r w:rsidRPr="00E864F2">
              <w:rPr>
                <w:rFonts w:cs="Arial"/>
                <w:i/>
                <w:szCs w:val="20"/>
                <w:highlight w:val="lightGray"/>
              </w:rPr>
              <w:t xml:space="preserve"> ("Know Your Business and Risks")</w:t>
            </w:r>
          </w:p>
          <w:p w14:paraId="2AC47F80" w14:textId="77777777" w:rsidR="00E864F2" w:rsidRPr="00E864F2" w:rsidRDefault="00E864F2" w:rsidP="00E864F2">
            <w:pPr>
              <w:pStyle w:val="Listenabsatz"/>
              <w:numPr>
                <w:ilvl w:val="1"/>
                <w:numId w:val="17"/>
              </w:numPr>
              <w:ind w:left="317" w:hanging="283"/>
              <w:jc w:val="both"/>
              <w:rPr>
                <w:rFonts w:cs="Arial"/>
                <w:i/>
                <w:szCs w:val="20"/>
                <w:highlight w:val="lightGray"/>
              </w:rPr>
            </w:pPr>
            <w:r w:rsidRPr="00E864F2">
              <w:rPr>
                <w:rFonts w:cs="Arial"/>
                <w:i/>
                <w:szCs w:val="20"/>
                <w:highlight w:val="lightGray"/>
              </w:rPr>
              <w:lastRenderedPageBreak/>
              <w:t>Die Mitglieder des Gremiums werden regelmässig fachlich einschlägig weitergebildet</w:t>
            </w:r>
          </w:p>
          <w:p w14:paraId="4F5C1BD5" w14:textId="49D39C84" w:rsidR="00E864F2" w:rsidRPr="00CE3194" w:rsidRDefault="00E864F2" w:rsidP="0074539F">
            <w:pPr>
              <w:pStyle w:val="Listenabsatz"/>
              <w:numPr>
                <w:ilvl w:val="1"/>
                <w:numId w:val="17"/>
              </w:numPr>
              <w:ind w:left="317" w:hanging="283"/>
              <w:jc w:val="both"/>
              <w:rPr>
                <w:rFonts w:cs="Arial"/>
                <w:i/>
                <w:szCs w:val="20"/>
                <w:highlight w:val="lightGray"/>
              </w:rPr>
            </w:pPr>
            <w:r w:rsidRPr="00E864F2">
              <w:rPr>
                <w:rFonts w:cs="Arial"/>
                <w:i/>
                <w:szCs w:val="20"/>
                <w:highlight w:val="lightGray"/>
              </w:rPr>
              <w:t xml:space="preserve">Die Mitglieder des Gremiums sind zuverlässig, kümmern sich ausnahmslos um das gesetzeskonforme </w:t>
            </w:r>
            <w:r w:rsidR="008F0E6F" w:rsidRPr="00E864F2">
              <w:rPr>
                <w:rFonts w:cs="Arial"/>
                <w:i/>
                <w:szCs w:val="20"/>
                <w:highlight w:val="lightGray"/>
              </w:rPr>
              <w:t>Gebaren</w:t>
            </w:r>
            <w:r w:rsidRPr="00E864F2">
              <w:rPr>
                <w:rFonts w:cs="Arial"/>
                <w:i/>
                <w:szCs w:val="20"/>
                <w:highlight w:val="lightGray"/>
              </w:rPr>
              <w:t xml:space="preserve"> de</w:t>
            </w:r>
            <w:r w:rsidR="0074539F">
              <w:rPr>
                <w:rFonts w:cs="Arial"/>
                <w:i/>
                <w:szCs w:val="20"/>
                <w:highlight w:val="lightGray"/>
              </w:rPr>
              <w:t>r Bank oder Wertpapierfirma bzw. der Gruppe</w:t>
            </w:r>
            <w:r w:rsidRPr="00E864F2">
              <w:rPr>
                <w:rFonts w:cs="Arial"/>
                <w:i/>
                <w:szCs w:val="20"/>
                <w:highlight w:val="lightGray"/>
              </w:rPr>
              <w:t xml:space="preserve"> und haben einen guten Ruf.</w:t>
            </w:r>
          </w:p>
        </w:tc>
      </w:tr>
    </w:tbl>
    <w:p w14:paraId="129DA81D" w14:textId="77777777" w:rsidR="00E864F2" w:rsidRDefault="00E864F2" w:rsidP="00E864F2">
      <w:pPr>
        <w:jc w:val="both"/>
      </w:pPr>
    </w:p>
    <w:p w14:paraId="45472EC3" w14:textId="77777777" w:rsidR="00E70DF4" w:rsidRPr="00276C60" w:rsidRDefault="00E70DF4" w:rsidP="00E70DF4">
      <w:pPr>
        <w:jc w:val="both"/>
        <w:rPr>
          <w:rFonts w:ascii="Arial" w:hAnsi="Arial" w:cs="Arial"/>
          <w:i/>
          <w:sz w:val="20"/>
          <w:szCs w:val="20"/>
        </w:rPr>
      </w:pPr>
      <w:r w:rsidRPr="00276C60">
        <w:rPr>
          <w:rFonts w:ascii="Arial" w:hAnsi="Arial" w:cs="Arial"/>
          <w:i/>
          <w:sz w:val="20"/>
          <w:szCs w:val="20"/>
          <w:highlight w:val="yellow"/>
        </w:rPr>
        <w:t>Text</w:t>
      </w:r>
    </w:p>
    <w:p w14:paraId="56D9BA97" w14:textId="77777777" w:rsidR="00E70DF4" w:rsidRDefault="00E70DF4" w:rsidP="00E864F2">
      <w:pPr>
        <w:jc w:val="both"/>
      </w:pPr>
    </w:p>
    <w:p w14:paraId="79D82531" w14:textId="77777777" w:rsidR="00E864F2" w:rsidRDefault="00E864F2" w:rsidP="00E864F2">
      <w:pPr>
        <w:jc w:val="both"/>
      </w:pPr>
    </w:p>
    <w:p w14:paraId="7417D00B" w14:textId="77777777" w:rsidR="00E864F2" w:rsidRDefault="008C30D1" w:rsidP="006F7AB5">
      <w:pPr>
        <w:pStyle w:val="FINMAGliederungEbene3"/>
      </w:pPr>
      <w:bookmarkStart w:id="61" w:name="_Toc147849915"/>
      <w:r>
        <w:t>Verwaltungsrat</w:t>
      </w:r>
      <w:r w:rsidR="00543DCA">
        <w:t xml:space="preserve"> (GOV-2)</w:t>
      </w:r>
      <w:bookmarkEnd w:id="61"/>
    </w:p>
    <w:p w14:paraId="509530F4" w14:textId="77777777" w:rsidR="00E864F2" w:rsidRDefault="00E864F2" w:rsidP="00E864F2">
      <w:pPr>
        <w:jc w:val="both"/>
      </w:pPr>
    </w:p>
    <w:tbl>
      <w:tblPr>
        <w:tblStyle w:val="Tabellenraster"/>
        <w:tblW w:w="0" w:type="auto"/>
        <w:tblLook w:val="04A0" w:firstRow="1" w:lastRow="0" w:firstColumn="1" w:lastColumn="0" w:noHBand="0" w:noVBand="1"/>
      </w:tblPr>
      <w:tblGrid>
        <w:gridCol w:w="1932"/>
        <w:gridCol w:w="2145"/>
        <w:gridCol w:w="1721"/>
        <w:gridCol w:w="3382"/>
      </w:tblGrid>
      <w:tr w:rsidR="006A378B" w:rsidRPr="009872F3" w14:paraId="4E257FB5" w14:textId="77777777" w:rsidTr="006A378B">
        <w:trPr>
          <w:trHeight w:val="563"/>
        </w:trPr>
        <w:tc>
          <w:tcPr>
            <w:tcW w:w="1932" w:type="dxa"/>
          </w:tcPr>
          <w:p w14:paraId="0683DD55"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Nettorisiko</w:t>
            </w:r>
          </w:p>
        </w:tc>
        <w:tc>
          <w:tcPr>
            <w:tcW w:w="2145" w:type="dxa"/>
          </w:tcPr>
          <w:p w14:paraId="0BCEAD72"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12E09E4C"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A378B" w:rsidRPr="009872F3" w14:paraId="1B6264CD" w14:textId="77777777" w:rsidTr="006A378B">
        <w:trPr>
          <w:trHeight w:val="698"/>
        </w:trPr>
        <w:tc>
          <w:tcPr>
            <w:tcW w:w="1932" w:type="dxa"/>
          </w:tcPr>
          <w:p w14:paraId="0FA12224" w14:textId="53BC35AA"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33A77B52" w14:textId="77777777" w:rsidR="006A378B" w:rsidRPr="006749F0" w:rsidRDefault="006A378B" w:rsidP="006A378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3B32D421" w14:textId="77777777" w:rsidR="006A378B" w:rsidRPr="009872F3" w:rsidRDefault="006A378B" w:rsidP="006A378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800B993" w14:textId="77777777" w:rsidR="006A378B" w:rsidRDefault="006A378B" w:rsidP="006A378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EDC1019" w14:textId="77777777" w:rsidR="006A378B" w:rsidRPr="006749F0" w:rsidRDefault="006A378B" w:rsidP="006A378B">
            <w:pPr>
              <w:jc w:val="both"/>
              <w:rPr>
                <w:rFonts w:ascii="Arial" w:hAnsi="Arial" w:cs="Arial"/>
                <w:i/>
                <w:sz w:val="18"/>
                <w:szCs w:val="18"/>
              </w:rPr>
            </w:pPr>
            <w:r w:rsidRPr="006749F0">
              <w:rPr>
                <w:rFonts w:ascii="Arial" w:hAnsi="Arial" w:cs="Arial"/>
                <w:i/>
                <w:sz w:val="18"/>
                <w:szCs w:val="18"/>
                <w:highlight w:val="yellow"/>
              </w:rPr>
              <w:t>Jahr</w:t>
            </w:r>
          </w:p>
        </w:tc>
      </w:tr>
      <w:tr w:rsidR="006A378B" w:rsidRPr="009872F3" w14:paraId="5AD4A613" w14:textId="77777777" w:rsidTr="006A378B">
        <w:trPr>
          <w:trHeight w:val="636"/>
        </w:trPr>
        <w:tc>
          <w:tcPr>
            <w:tcW w:w="9180" w:type="dxa"/>
            <w:gridSpan w:val="4"/>
          </w:tcPr>
          <w:p w14:paraId="28C1DE85" w14:textId="77777777" w:rsidR="006A378B" w:rsidRDefault="006A378B" w:rsidP="006A378B">
            <w:pPr>
              <w:jc w:val="both"/>
              <w:rPr>
                <w:rFonts w:ascii="Arial" w:hAnsi="Arial" w:cs="Arial"/>
                <w:sz w:val="18"/>
                <w:szCs w:val="18"/>
              </w:rPr>
            </w:pPr>
          </w:p>
          <w:p w14:paraId="30826A2F" w14:textId="77777777" w:rsidR="006A378B" w:rsidRPr="00F60909" w:rsidRDefault="006A378B" w:rsidP="006A378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6306D0F" w14:textId="5D90B6B5" w:rsidR="006A378B" w:rsidRPr="009872F3" w:rsidRDefault="006A378B" w:rsidP="006A378B">
            <w:pPr>
              <w:jc w:val="both"/>
              <w:rPr>
                <w:rFonts w:ascii="Arial" w:hAnsi="Arial" w:cs="Arial"/>
                <w:sz w:val="18"/>
                <w:szCs w:val="18"/>
              </w:rPr>
            </w:pPr>
            <w:r w:rsidRPr="006A378B">
              <w:rPr>
                <w:rFonts w:ascii="Arial" w:hAnsi="Arial" w:cs="Arial"/>
                <w:sz w:val="18"/>
                <w:szCs w:val="18"/>
                <w:highlight w:val="yellow"/>
              </w:rPr>
              <w:t xml:space="preserve">Art. 22 BankG; </w:t>
            </w:r>
            <w:r w:rsidR="00E667CF">
              <w:rPr>
                <w:rFonts w:ascii="Arial" w:hAnsi="Arial" w:cs="Arial"/>
                <w:sz w:val="18"/>
                <w:szCs w:val="18"/>
                <w:highlight w:val="yellow"/>
              </w:rPr>
              <w:t xml:space="preserve">Art. 23 BankG; </w:t>
            </w:r>
            <w:r w:rsidRPr="006A378B">
              <w:rPr>
                <w:rFonts w:ascii="Arial" w:hAnsi="Arial" w:cs="Arial"/>
                <w:sz w:val="18"/>
                <w:szCs w:val="18"/>
                <w:highlight w:val="yellow"/>
              </w:rPr>
              <w:t xml:space="preserve">Art. 21c BankV; Anhang 4.3 BankV; </w:t>
            </w:r>
            <w:r w:rsidR="00E667CF" w:rsidRPr="00E864F2">
              <w:rPr>
                <w:rFonts w:ascii="Arial" w:hAnsi="Arial" w:cs="Arial"/>
                <w:sz w:val="18"/>
                <w:szCs w:val="18"/>
                <w:highlight w:val="yellow"/>
              </w:rPr>
              <w:t>EBA/GL/</w:t>
            </w:r>
            <w:r w:rsidR="00E667CF">
              <w:rPr>
                <w:rFonts w:ascii="Arial" w:hAnsi="Arial" w:cs="Arial"/>
                <w:sz w:val="18"/>
                <w:szCs w:val="18"/>
                <w:highlight w:val="yellow"/>
              </w:rPr>
              <w:t>2021/05</w:t>
            </w:r>
            <w:r w:rsidR="00E667CF" w:rsidRPr="00E864F2">
              <w:rPr>
                <w:rFonts w:ascii="Arial" w:hAnsi="Arial" w:cs="Arial"/>
                <w:sz w:val="18"/>
                <w:szCs w:val="18"/>
                <w:highlight w:val="yellow"/>
              </w:rPr>
              <w:t>; EBA/GL/201</w:t>
            </w:r>
            <w:r w:rsidR="00E667CF">
              <w:rPr>
                <w:rFonts w:ascii="Arial" w:hAnsi="Arial" w:cs="Arial"/>
                <w:sz w:val="18"/>
                <w:szCs w:val="18"/>
                <w:highlight w:val="yellow"/>
              </w:rPr>
              <w:t>8/03</w:t>
            </w:r>
          </w:p>
        </w:tc>
      </w:tr>
      <w:tr w:rsidR="006A378B" w:rsidRPr="009872F3" w14:paraId="6ED5BECB" w14:textId="77777777" w:rsidTr="006A378B">
        <w:trPr>
          <w:trHeight w:val="294"/>
        </w:trPr>
        <w:tc>
          <w:tcPr>
            <w:tcW w:w="9180" w:type="dxa"/>
            <w:gridSpan w:val="4"/>
          </w:tcPr>
          <w:p w14:paraId="2AF407A3" w14:textId="77777777" w:rsidR="006A378B" w:rsidRPr="009872F3" w:rsidRDefault="006A378B" w:rsidP="006A378B">
            <w:pPr>
              <w:jc w:val="both"/>
              <w:rPr>
                <w:rFonts w:ascii="Arial" w:hAnsi="Arial" w:cs="Arial"/>
                <w:sz w:val="18"/>
                <w:szCs w:val="18"/>
              </w:rPr>
            </w:pPr>
          </w:p>
        </w:tc>
      </w:tr>
      <w:tr w:rsidR="006A378B" w:rsidRPr="009872F3" w14:paraId="0665A1A3" w14:textId="77777777" w:rsidTr="006A378B">
        <w:tc>
          <w:tcPr>
            <w:tcW w:w="5798" w:type="dxa"/>
            <w:gridSpan w:val="3"/>
          </w:tcPr>
          <w:p w14:paraId="190575FF"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die Verantwortlichkeiten und Kompetenzen des Verwaltungsrats angemessen ausgestaltet sind</w:t>
            </w:r>
          </w:p>
        </w:tc>
        <w:tc>
          <w:tcPr>
            <w:tcW w:w="3382" w:type="dxa"/>
          </w:tcPr>
          <w:p w14:paraId="018C820B" w14:textId="77777777" w:rsidR="006A378B" w:rsidRPr="00E109DF" w:rsidRDefault="006A378B" w:rsidP="006A378B">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7B2AE971" w14:textId="77777777" w:rsidTr="006A378B">
        <w:tc>
          <w:tcPr>
            <w:tcW w:w="5798" w:type="dxa"/>
            <w:gridSpan w:val="3"/>
          </w:tcPr>
          <w:p w14:paraId="03F6A231" w14:textId="77777777" w:rsidR="006A378B" w:rsidRPr="009872F3" w:rsidRDefault="006A378B" w:rsidP="006A378B">
            <w:pPr>
              <w:jc w:val="both"/>
              <w:rPr>
                <w:rFonts w:ascii="Arial" w:hAnsi="Arial" w:cs="Arial"/>
                <w:sz w:val="18"/>
                <w:szCs w:val="18"/>
              </w:rPr>
            </w:pPr>
            <w:r>
              <w:rPr>
                <w:rFonts w:ascii="Arial" w:hAnsi="Arial" w:cs="Arial"/>
                <w:sz w:val="18"/>
                <w:szCs w:val="18"/>
              </w:rPr>
              <w:t>Bestätigung, dass die Mitglieder des Verwaltungsrats sowohl individuell als auch kollektiv geeignet sind und ihre fachliche Eignung regelmässig intern überprüft wird</w:t>
            </w:r>
          </w:p>
        </w:tc>
        <w:tc>
          <w:tcPr>
            <w:tcW w:w="3382" w:type="dxa"/>
          </w:tcPr>
          <w:p w14:paraId="27B8E4B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0BADF86D" w14:textId="77777777" w:rsidTr="006A378B">
        <w:tc>
          <w:tcPr>
            <w:tcW w:w="5798" w:type="dxa"/>
            <w:gridSpan w:val="3"/>
          </w:tcPr>
          <w:p w14:paraId="384A7BD4" w14:textId="77777777" w:rsidR="006A378B" w:rsidRDefault="006A378B" w:rsidP="006A378B">
            <w:pPr>
              <w:jc w:val="both"/>
              <w:rPr>
                <w:rFonts w:ascii="Arial" w:hAnsi="Arial" w:cs="Arial"/>
                <w:sz w:val="18"/>
                <w:szCs w:val="18"/>
              </w:rPr>
            </w:pPr>
            <w:r>
              <w:rPr>
                <w:rFonts w:ascii="Arial" w:hAnsi="Arial" w:cs="Arial"/>
                <w:sz w:val="18"/>
                <w:szCs w:val="18"/>
              </w:rPr>
              <w:t>Bestätigung, dass die Mitglieder des Verwaltungsrats die Struktur de</w:t>
            </w:r>
            <w:r w:rsidR="0067062C">
              <w:rPr>
                <w:rFonts w:ascii="Arial" w:hAnsi="Arial" w:cs="Arial"/>
                <w:sz w:val="18"/>
                <w:szCs w:val="18"/>
              </w:rPr>
              <w:t xml:space="preserve">r </w:t>
            </w:r>
            <w:r w:rsidR="0067062C" w:rsidRPr="00B80B23">
              <w:rPr>
                <w:rFonts w:ascii="Arial" w:hAnsi="Arial" w:cs="Arial"/>
                <w:sz w:val="18"/>
                <w:szCs w:val="18"/>
                <w:highlight w:val="yellow"/>
              </w:rPr>
              <w:t>Bank oder Wertpapierfirma / Gruppe</w:t>
            </w:r>
            <w:r>
              <w:rPr>
                <w:rFonts w:ascii="Arial" w:hAnsi="Arial" w:cs="Arial"/>
                <w:sz w:val="18"/>
                <w:szCs w:val="18"/>
              </w:rPr>
              <w:t xml:space="preserve"> sowie deren Geschäftsfelder und Risiken kennen</w:t>
            </w:r>
          </w:p>
        </w:tc>
        <w:tc>
          <w:tcPr>
            <w:tcW w:w="3382" w:type="dxa"/>
          </w:tcPr>
          <w:p w14:paraId="1C7D3D86" w14:textId="77777777" w:rsidR="006A378B" w:rsidRPr="009872F3" w:rsidRDefault="006A378B" w:rsidP="006A378B">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58DC950C" w14:textId="77777777" w:rsidTr="006A378B">
        <w:tc>
          <w:tcPr>
            <w:tcW w:w="5798" w:type="dxa"/>
            <w:gridSpan w:val="3"/>
          </w:tcPr>
          <w:p w14:paraId="2C2030A9" w14:textId="77777777" w:rsidR="006A378B" w:rsidRDefault="006A378B" w:rsidP="006A378B">
            <w:pPr>
              <w:jc w:val="both"/>
              <w:rPr>
                <w:rFonts w:ascii="Arial" w:hAnsi="Arial" w:cs="Arial"/>
                <w:sz w:val="18"/>
                <w:szCs w:val="18"/>
              </w:rPr>
            </w:pPr>
            <w:r>
              <w:rPr>
                <w:rFonts w:ascii="Arial" w:hAnsi="Arial" w:cs="Arial"/>
                <w:sz w:val="18"/>
                <w:szCs w:val="18"/>
              </w:rPr>
              <w:t>Bestätigung, dass die Mitglieder des Verwaltungsrats sich fortlaufend fachlich adäquat weiterbilden</w:t>
            </w:r>
          </w:p>
        </w:tc>
        <w:tc>
          <w:tcPr>
            <w:tcW w:w="3382" w:type="dxa"/>
          </w:tcPr>
          <w:p w14:paraId="69F78CAC" w14:textId="77777777" w:rsidR="006A378B" w:rsidRPr="00E109DF" w:rsidRDefault="006A378B"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A378B" w:rsidRPr="009872F3" w14:paraId="7064E422" w14:textId="77777777" w:rsidTr="006A378B">
        <w:tc>
          <w:tcPr>
            <w:tcW w:w="5798" w:type="dxa"/>
            <w:gridSpan w:val="3"/>
          </w:tcPr>
          <w:p w14:paraId="214EE326" w14:textId="77777777" w:rsidR="006A378B" w:rsidRDefault="006A378B" w:rsidP="006A378B">
            <w:pPr>
              <w:jc w:val="both"/>
              <w:rPr>
                <w:rFonts w:ascii="Arial" w:hAnsi="Arial" w:cs="Arial"/>
                <w:sz w:val="18"/>
                <w:szCs w:val="18"/>
              </w:rPr>
            </w:pPr>
            <w:r>
              <w:rPr>
                <w:rFonts w:ascii="Arial" w:hAnsi="Arial" w:cs="Arial"/>
                <w:sz w:val="18"/>
                <w:szCs w:val="18"/>
              </w:rPr>
              <w:t>Bestätigung, dass das interne Ausschusswesen angemessen ausgestaltet ist</w:t>
            </w:r>
          </w:p>
        </w:tc>
        <w:tc>
          <w:tcPr>
            <w:tcW w:w="3382" w:type="dxa"/>
          </w:tcPr>
          <w:p w14:paraId="6A6CF0F5" w14:textId="77777777" w:rsidR="006A378B" w:rsidRPr="00E109DF" w:rsidRDefault="006A378B"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54EE1" w:rsidRPr="009872F3" w14:paraId="4C5FBD75" w14:textId="77777777" w:rsidTr="006A378B">
        <w:tc>
          <w:tcPr>
            <w:tcW w:w="5798" w:type="dxa"/>
            <w:gridSpan w:val="3"/>
          </w:tcPr>
          <w:p w14:paraId="535F4FBA" w14:textId="38130EF0" w:rsidR="00854EE1" w:rsidRDefault="00854EE1" w:rsidP="00C12AAC">
            <w:pPr>
              <w:jc w:val="both"/>
              <w:rPr>
                <w:rFonts w:ascii="Arial" w:hAnsi="Arial" w:cs="Arial"/>
                <w:sz w:val="18"/>
                <w:szCs w:val="18"/>
              </w:rPr>
            </w:pPr>
            <w:r>
              <w:rPr>
                <w:rFonts w:ascii="Arial" w:hAnsi="Arial" w:cs="Arial"/>
                <w:sz w:val="18"/>
                <w:szCs w:val="18"/>
              </w:rPr>
              <w:t xml:space="preserve">Bestätigung, dass das Whistleblowing-Verfahren innerhalb der </w:t>
            </w:r>
            <w:r w:rsidRPr="00B80B23">
              <w:rPr>
                <w:rFonts w:ascii="Arial" w:hAnsi="Arial" w:cs="Arial"/>
                <w:sz w:val="18"/>
                <w:szCs w:val="18"/>
                <w:highlight w:val="yellow"/>
              </w:rPr>
              <w:t>Bank oder Wertpapierfirma / Gruppe</w:t>
            </w:r>
            <w:r w:rsidR="00C12AAC">
              <w:rPr>
                <w:rFonts w:ascii="Arial" w:hAnsi="Arial" w:cs="Arial"/>
                <w:sz w:val="18"/>
                <w:szCs w:val="18"/>
              </w:rPr>
              <w:t xml:space="preserve"> kommuniziert sowie</w:t>
            </w:r>
            <w:r>
              <w:rPr>
                <w:rFonts w:ascii="Arial" w:hAnsi="Arial" w:cs="Arial"/>
                <w:sz w:val="18"/>
                <w:szCs w:val="18"/>
              </w:rPr>
              <w:t xml:space="preserve"> </w:t>
            </w:r>
            <w:r w:rsidR="00C12AAC">
              <w:rPr>
                <w:rFonts w:ascii="Arial" w:hAnsi="Arial" w:cs="Arial"/>
                <w:sz w:val="18"/>
                <w:szCs w:val="18"/>
              </w:rPr>
              <w:t xml:space="preserve">angemessen </w:t>
            </w:r>
            <w:r>
              <w:rPr>
                <w:rFonts w:ascii="Arial" w:hAnsi="Arial" w:cs="Arial"/>
                <w:sz w:val="18"/>
                <w:szCs w:val="18"/>
              </w:rPr>
              <w:t xml:space="preserve">ausgestaltet </w:t>
            </w:r>
            <w:r w:rsidR="00C12AAC">
              <w:rPr>
                <w:rFonts w:ascii="Arial" w:hAnsi="Arial" w:cs="Arial"/>
                <w:sz w:val="18"/>
                <w:szCs w:val="18"/>
              </w:rPr>
              <w:t xml:space="preserve">und im Falle der Prüftiefe Detailprüfung auch effektiv ausgestaltet </w:t>
            </w:r>
            <w:r>
              <w:rPr>
                <w:rFonts w:ascii="Arial" w:hAnsi="Arial" w:cs="Arial"/>
                <w:sz w:val="18"/>
                <w:szCs w:val="18"/>
              </w:rPr>
              <w:t xml:space="preserve">wurde. </w:t>
            </w:r>
          </w:p>
        </w:tc>
        <w:tc>
          <w:tcPr>
            <w:tcW w:w="3382" w:type="dxa"/>
          </w:tcPr>
          <w:p w14:paraId="0A82861D" w14:textId="77777777" w:rsidR="00854EE1" w:rsidRPr="00E109DF" w:rsidRDefault="00A25387" w:rsidP="006A378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FF410D1" w14:textId="77777777" w:rsidR="006A378B" w:rsidRDefault="006A378B" w:rsidP="00E864F2">
      <w:pPr>
        <w:jc w:val="both"/>
      </w:pPr>
    </w:p>
    <w:tbl>
      <w:tblPr>
        <w:tblStyle w:val="Tabellenraster"/>
        <w:tblW w:w="0" w:type="auto"/>
        <w:tblLook w:val="04A0" w:firstRow="1" w:lastRow="0" w:firstColumn="1" w:lastColumn="0" w:noHBand="0" w:noVBand="1"/>
      </w:tblPr>
      <w:tblGrid>
        <w:gridCol w:w="2660"/>
        <w:gridCol w:w="6520"/>
      </w:tblGrid>
      <w:tr w:rsidR="006A378B" w:rsidRPr="00CE3194" w14:paraId="3919131F" w14:textId="77777777" w:rsidTr="006A378B">
        <w:tc>
          <w:tcPr>
            <w:tcW w:w="2660" w:type="dxa"/>
          </w:tcPr>
          <w:p w14:paraId="2135D734" w14:textId="77777777" w:rsidR="006A378B" w:rsidRPr="00CE3194" w:rsidRDefault="006A378B" w:rsidP="006A378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98D9EFD" w14:textId="77777777" w:rsidR="006A378B" w:rsidRPr="00CE3194" w:rsidRDefault="004F1B33" w:rsidP="006A378B">
            <w:pPr>
              <w:jc w:val="both"/>
              <w:rPr>
                <w:rFonts w:ascii="Arial" w:hAnsi="Arial" w:cs="Arial"/>
                <w:b/>
                <w:i/>
                <w:sz w:val="20"/>
                <w:szCs w:val="20"/>
                <w:highlight w:val="lightGray"/>
              </w:rPr>
            </w:pPr>
            <w:r>
              <w:rPr>
                <w:rFonts w:ascii="Arial" w:hAnsi="Arial" w:cs="Arial"/>
                <w:b/>
                <w:i/>
                <w:sz w:val="20"/>
                <w:szCs w:val="20"/>
                <w:highlight w:val="lightGray"/>
              </w:rPr>
              <w:t>Mindestp</w:t>
            </w:r>
            <w:r w:rsidR="006A378B" w:rsidRPr="00CE3194">
              <w:rPr>
                <w:rFonts w:ascii="Arial" w:hAnsi="Arial" w:cs="Arial"/>
                <w:b/>
                <w:i/>
                <w:sz w:val="20"/>
                <w:szCs w:val="20"/>
                <w:highlight w:val="lightGray"/>
              </w:rPr>
              <w:t>rüfinhalte</w:t>
            </w:r>
          </w:p>
        </w:tc>
      </w:tr>
      <w:tr w:rsidR="006A378B" w:rsidRPr="00CE3194" w14:paraId="0C5A85A8" w14:textId="77777777" w:rsidTr="006A378B">
        <w:tc>
          <w:tcPr>
            <w:tcW w:w="2660" w:type="dxa"/>
          </w:tcPr>
          <w:p w14:paraId="11FF637B"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Verantwortlichkeiten / Kompetenzen</w:t>
            </w:r>
          </w:p>
        </w:tc>
        <w:tc>
          <w:tcPr>
            <w:tcW w:w="6520" w:type="dxa"/>
          </w:tcPr>
          <w:p w14:paraId="0D9829A6" w14:textId="77777777" w:rsidR="006A378B" w:rsidRPr="006A378B" w:rsidRDefault="006A378B" w:rsidP="006A378B">
            <w:pPr>
              <w:pStyle w:val="Listenabsatz"/>
              <w:ind w:left="34"/>
              <w:jc w:val="both"/>
              <w:rPr>
                <w:rFonts w:cs="Arial"/>
                <w:i/>
                <w:szCs w:val="20"/>
                <w:highlight w:val="lightGray"/>
              </w:rPr>
            </w:pPr>
            <w:r>
              <w:rPr>
                <w:rFonts w:cs="Arial"/>
                <w:i/>
                <w:szCs w:val="20"/>
                <w:highlight w:val="lightGray"/>
              </w:rPr>
              <w:t xml:space="preserve">Es besteht eine klare und effektive Aufteilung von Verantwortlichkeiten </w:t>
            </w:r>
            <w:r w:rsidRPr="006A378B">
              <w:rPr>
                <w:rFonts w:cs="Arial"/>
                <w:i/>
                <w:szCs w:val="20"/>
                <w:highlight w:val="lightGray"/>
              </w:rPr>
              <w:t>und Kompetenzen, insbesondere hinsichtlich</w:t>
            </w:r>
          </w:p>
          <w:p w14:paraId="21826F1E"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a) Geschäftsstrategie, </w:t>
            </w:r>
          </w:p>
          <w:p w14:paraId="23ED9303"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b) Risikostrategie, Risikoappetit, Risikomanagementrahmenwerk</w:t>
            </w:r>
          </w:p>
          <w:p w14:paraId="6C2DAE02"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c) Angemessene Organisationsstruktur </w:t>
            </w:r>
          </w:p>
          <w:p w14:paraId="2F796D5A"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d) Höhe, Arten und Verteilung sowohl vom internen als auch vom regulatorischem Eigenkapital</w:t>
            </w:r>
          </w:p>
          <w:p w14:paraId="6064DB74"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e) Liquiditätsmanagementziele, </w:t>
            </w:r>
          </w:p>
          <w:p w14:paraId="1CDC3608" w14:textId="47119F95" w:rsidR="000F7AF4" w:rsidRPr="006A378B" w:rsidRDefault="006A378B" w:rsidP="006A378B">
            <w:pPr>
              <w:pStyle w:val="Listenabsatz"/>
              <w:ind w:left="34"/>
              <w:jc w:val="both"/>
              <w:rPr>
                <w:rFonts w:cs="Arial"/>
                <w:i/>
                <w:szCs w:val="20"/>
                <w:highlight w:val="lightGray"/>
              </w:rPr>
            </w:pPr>
            <w:r w:rsidRPr="006A378B">
              <w:rPr>
                <w:rFonts w:cs="Arial"/>
                <w:i/>
                <w:szCs w:val="20"/>
                <w:highlight w:val="lightGray"/>
              </w:rPr>
              <w:t xml:space="preserve">f) Vergütungspolitik, </w:t>
            </w:r>
          </w:p>
          <w:p w14:paraId="7C6CE9BD" w14:textId="77777777" w:rsidR="006A378B" w:rsidRPr="006A378B" w:rsidRDefault="006A378B" w:rsidP="006A378B">
            <w:pPr>
              <w:pStyle w:val="Listenabsatz"/>
              <w:ind w:left="34"/>
              <w:jc w:val="both"/>
              <w:rPr>
                <w:rFonts w:cs="Arial"/>
                <w:i/>
                <w:szCs w:val="20"/>
                <w:highlight w:val="lightGray"/>
              </w:rPr>
            </w:pPr>
            <w:r w:rsidRPr="006A378B">
              <w:rPr>
                <w:rFonts w:cs="Arial"/>
                <w:i/>
                <w:szCs w:val="20"/>
                <w:highlight w:val="lightGray"/>
              </w:rPr>
              <w:t>g) Unternehmenskultur-/werte und Code of Conduct</w:t>
            </w:r>
          </w:p>
          <w:p w14:paraId="794FFAEE" w14:textId="77777777" w:rsidR="006A378B" w:rsidRPr="00CE3194" w:rsidRDefault="006A378B" w:rsidP="00417B23">
            <w:pPr>
              <w:pStyle w:val="Listenabsatz"/>
              <w:ind w:left="34"/>
              <w:jc w:val="both"/>
              <w:rPr>
                <w:rFonts w:cs="Arial"/>
                <w:i/>
                <w:szCs w:val="20"/>
                <w:highlight w:val="lightGray"/>
              </w:rPr>
            </w:pPr>
            <w:r w:rsidRPr="006A378B">
              <w:rPr>
                <w:rFonts w:cs="Arial"/>
                <w:i/>
                <w:szCs w:val="20"/>
                <w:highlight w:val="lightGray"/>
              </w:rPr>
              <w:t>h)</w:t>
            </w:r>
            <w:r w:rsidR="00417B23">
              <w:rPr>
                <w:rFonts w:cs="Arial"/>
                <w:i/>
                <w:szCs w:val="20"/>
                <w:highlight w:val="lightGray"/>
              </w:rPr>
              <w:t xml:space="preserve"> </w:t>
            </w:r>
            <w:r w:rsidRPr="006A378B">
              <w:rPr>
                <w:rFonts w:cs="Arial"/>
                <w:i/>
                <w:szCs w:val="20"/>
                <w:highlight w:val="lightGray"/>
              </w:rPr>
              <w:t>Whistleblowing-Verfahren</w:t>
            </w:r>
            <w:r w:rsidR="00854EE1">
              <w:rPr>
                <w:rFonts w:cs="Arial"/>
                <w:i/>
                <w:szCs w:val="20"/>
                <w:highlight w:val="lightGray"/>
              </w:rPr>
              <w:t xml:space="preserve"> (Gewährleistung der Anonymität; Effektive Kommunikation innerhalb des Unternehmens; </w:t>
            </w:r>
            <w:r w:rsidR="00A25387">
              <w:rPr>
                <w:rFonts w:cs="Arial"/>
                <w:i/>
                <w:szCs w:val="20"/>
                <w:highlight w:val="lightGray"/>
              </w:rPr>
              <w:t>direkte Rapportierung an den Verwaltungsrat)</w:t>
            </w:r>
          </w:p>
        </w:tc>
      </w:tr>
      <w:tr w:rsidR="006A378B" w:rsidRPr="00CE3194" w14:paraId="2FD80001" w14:textId="77777777" w:rsidTr="006A378B">
        <w:tc>
          <w:tcPr>
            <w:tcW w:w="2660" w:type="dxa"/>
          </w:tcPr>
          <w:p w14:paraId="07C647FD" w14:textId="77777777" w:rsidR="006A378B" w:rsidRPr="00CE3194" w:rsidRDefault="006A378B" w:rsidP="006A378B">
            <w:pPr>
              <w:jc w:val="both"/>
              <w:rPr>
                <w:rFonts w:ascii="Arial" w:hAnsi="Arial" w:cs="Arial"/>
                <w:i/>
                <w:sz w:val="20"/>
                <w:szCs w:val="20"/>
                <w:highlight w:val="lightGray"/>
              </w:rPr>
            </w:pPr>
            <w:r>
              <w:rPr>
                <w:rFonts w:ascii="Arial" w:hAnsi="Arial" w:cs="Arial"/>
                <w:i/>
                <w:sz w:val="20"/>
                <w:szCs w:val="20"/>
                <w:highlight w:val="lightGray"/>
              </w:rPr>
              <w:t>Fachliche Eignung / Weiterbildung</w:t>
            </w:r>
          </w:p>
        </w:tc>
        <w:tc>
          <w:tcPr>
            <w:tcW w:w="6520" w:type="dxa"/>
          </w:tcPr>
          <w:p w14:paraId="5CC47319"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sind sowohl individuell als auch kollektiv geeignet</w:t>
            </w:r>
          </w:p>
          <w:p w14:paraId="77807D24"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lastRenderedPageBreak/>
              <w:t>Es besteht ein internes Verfahren zur regelmässigen Überprüfung der individuellen und kol</w:t>
            </w:r>
            <w:r w:rsidR="00746BAD">
              <w:rPr>
                <w:rFonts w:cs="Arial"/>
                <w:i/>
                <w:szCs w:val="20"/>
                <w:highlight w:val="lightGray"/>
              </w:rPr>
              <w:t>l</w:t>
            </w:r>
            <w:r w:rsidRPr="006A378B">
              <w:rPr>
                <w:rFonts w:cs="Arial"/>
                <w:i/>
                <w:szCs w:val="20"/>
                <w:highlight w:val="lightGray"/>
              </w:rPr>
              <w:t>ektiven Eignung</w:t>
            </w:r>
          </w:p>
          <w:p w14:paraId="174DBFF9" w14:textId="21370565"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kennen die Struktur, in denen sich d</w:t>
            </w:r>
            <w:r w:rsidR="00E70DF4">
              <w:rPr>
                <w:rFonts w:cs="Arial"/>
                <w:i/>
                <w:szCs w:val="20"/>
                <w:highlight w:val="lightGray"/>
              </w:rPr>
              <w:t>ie Bank oder Wertpapierfirma / Gruppe</w:t>
            </w:r>
            <w:r w:rsidRPr="006A378B">
              <w:rPr>
                <w:rFonts w:cs="Arial"/>
                <w:i/>
                <w:szCs w:val="20"/>
                <w:highlight w:val="lightGray"/>
              </w:rPr>
              <w:t xml:space="preserve"> bewegt ("Know-Your-Structure")</w:t>
            </w:r>
          </w:p>
          <w:p w14:paraId="1CCA6A88" w14:textId="31B3E6AD"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kennen sämtliche Geschäftsfelder und Risiken de</w:t>
            </w:r>
            <w:r w:rsidR="00E70DF4">
              <w:rPr>
                <w:rFonts w:cs="Arial"/>
                <w:i/>
                <w:szCs w:val="20"/>
                <w:highlight w:val="lightGray"/>
              </w:rPr>
              <w:t>r Bank oder Wertpapierfirma / Gruppe</w:t>
            </w:r>
            <w:r w:rsidRPr="006A378B">
              <w:rPr>
                <w:rFonts w:cs="Arial"/>
                <w:i/>
                <w:szCs w:val="20"/>
                <w:highlight w:val="lightGray"/>
              </w:rPr>
              <w:t xml:space="preserve"> ("Know Your Business and Risks")</w:t>
            </w:r>
          </w:p>
          <w:p w14:paraId="1C65AA4A"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Mitglieder des Gremiums werden regelmässig fachlich einschlägig weitergebildet</w:t>
            </w:r>
          </w:p>
          <w:p w14:paraId="0342AC48" w14:textId="28C04BDB" w:rsidR="006A378B" w:rsidRPr="00CE3194"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 xml:space="preserve">Die Mitglieder des Gremiums sind zuverlässig, kümmern sich ausnahmslos um das gesetzeskonforme </w:t>
            </w:r>
            <w:r w:rsidR="008F0E6F" w:rsidRPr="006A378B">
              <w:rPr>
                <w:rFonts w:cs="Arial"/>
                <w:i/>
                <w:szCs w:val="20"/>
                <w:highlight w:val="lightGray"/>
              </w:rPr>
              <w:t>Gebaren</w:t>
            </w:r>
            <w:r w:rsidRPr="006A378B">
              <w:rPr>
                <w:rFonts w:cs="Arial"/>
                <w:i/>
                <w:szCs w:val="20"/>
                <w:highlight w:val="lightGray"/>
              </w:rPr>
              <w:t xml:space="preserve"> de</w:t>
            </w:r>
            <w:r w:rsidR="00E70DF4">
              <w:rPr>
                <w:rFonts w:cs="Arial"/>
                <w:i/>
                <w:szCs w:val="20"/>
                <w:highlight w:val="lightGray"/>
              </w:rPr>
              <w:t>r Bank oder Wertpapierfirma / Gruppe</w:t>
            </w:r>
            <w:r w:rsidRPr="006A378B">
              <w:rPr>
                <w:rFonts w:cs="Arial"/>
                <w:i/>
                <w:szCs w:val="20"/>
                <w:highlight w:val="lightGray"/>
              </w:rPr>
              <w:t xml:space="preserve"> und haben einen guten Ruf.</w:t>
            </w:r>
          </w:p>
        </w:tc>
      </w:tr>
      <w:tr w:rsidR="006A378B" w:rsidRPr="00CE3194" w14:paraId="5CCDB653" w14:textId="77777777" w:rsidTr="00CB3EE6">
        <w:trPr>
          <w:trHeight w:val="984"/>
        </w:trPr>
        <w:tc>
          <w:tcPr>
            <w:tcW w:w="2660" w:type="dxa"/>
          </w:tcPr>
          <w:p w14:paraId="0C84E289" w14:textId="77777777" w:rsidR="006A378B" w:rsidRDefault="006A378B" w:rsidP="006A378B">
            <w:pPr>
              <w:jc w:val="both"/>
              <w:rPr>
                <w:rFonts w:ascii="Arial" w:hAnsi="Arial" w:cs="Arial"/>
                <w:i/>
                <w:sz w:val="20"/>
                <w:szCs w:val="20"/>
                <w:highlight w:val="lightGray"/>
              </w:rPr>
            </w:pPr>
            <w:r>
              <w:rPr>
                <w:rFonts w:ascii="Arial" w:hAnsi="Arial" w:cs="Arial"/>
                <w:i/>
                <w:sz w:val="20"/>
                <w:szCs w:val="20"/>
                <w:highlight w:val="lightGray"/>
              </w:rPr>
              <w:lastRenderedPageBreak/>
              <w:t>Ausschusswesen</w:t>
            </w:r>
          </w:p>
        </w:tc>
        <w:tc>
          <w:tcPr>
            <w:tcW w:w="6520" w:type="dxa"/>
          </w:tcPr>
          <w:p w14:paraId="60F366C7" w14:textId="334632DE" w:rsid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w:t>
            </w:r>
            <w:r w:rsidR="00E70DF4">
              <w:rPr>
                <w:rFonts w:cs="Arial"/>
                <w:i/>
                <w:szCs w:val="20"/>
                <w:highlight w:val="lightGray"/>
              </w:rPr>
              <w:t>ie Bank oder Wertpapierfirma / Gruppe</w:t>
            </w:r>
            <w:r w:rsidRPr="006A378B">
              <w:rPr>
                <w:rFonts w:cs="Arial"/>
                <w:i/>
                <w:szCs w:val="20"/>
                <w:highlight w:val="lightGray"/>
              </w:rPr>
              <w:t xml:space="preserve"> hat im Rahmen des Proportionalitätsprinzips </w:t>
            </w:r>
            <w:r w:rsidR="0067062C">
              <w:rPr>
                <w:rFonts w:cs="Arial"/>
                <w:i/>
                <w:szCs w:val="20"/>
                <w:highlight w:val="lightGray"/>
              </w:rPr>
              <w:t xml:space="preserve">sowie anhand der Vorgaben nach BankG/BankV ausreichend viele und effektiv tätige </w:t>
            </w:r>
            <w:r w:rsidRPr="006A378B">
              <w:rPr>
                <w:rFonts w:cs="Arial"/>
                <w:i/>
                <w:szCs w:val="20"/>
                <w:highlight w:val="lightGray"/>
              </w:rPr>
              <w:t>Ausschüsse eingerichtet</w:t>
            </w:r>
          </w:p>
          <w:p w14:paraId="74BAC54B" w14:textId="15E07E39" w:rsidR="0067062C" w:rsidRPr="006A378B" w:rsidRDefault="00E70DF4" w:rsidP="006A378B">
            <w:pPr>
              <w:pStyle w:val="Listenabsatz"/>
              <w:numPr>
                <w:ilvl w:val="1"/>
                <w:numId w:val="17"/>
              </w:numPr>
              <w:ind w:left="317" w:hanging="283"/>
              <w:jc w:val="both"/>
              <w:rPr>
                <w:rFonts w:cs="Arial"/>
                <w:i/>
                <w:szCs w:val="20"/>
                <w:highlight w:val="lightGray"/>
              </w:rPr>
            </w:pPr>
            <w:r>
              <w:rPr>
                <w:rFonts w:cs="Arial"/>
                <w:i/>
                <w:szCs w:val="20"/>
                <w:highlight w:val="lightGray"/>
              </w:rPr>
              <w:t xml:space="preserve">Die Bank oder Wertpapierfirma / Gruppe </w:t>
            </w:r>
            <w:r w:rsidR="0067062C">
              <w:rPr>
                <w:rFonts w:cs="Arial"/>
                <w:i/>
                <w:szCs w:val="20"/>
                <w:highlight w:val="lightGray"/>
              </w:rPr>
              <w:t xml:space="preserve">verfügt über </w:t>
            </w:r>
            <w:r>
              <w:rPr>
                <w:rFonts w:cs="Arial"/>
                <w:i/>
                <w:szCs w:val="20"/>
                <w:highlight w:val="lightGray"/>
              </w:rPr>
              <w:t>dokumentierte</w:t>
            </w:r>
            <w:r w:rsidR="0067062C">
              <w:rPr>
                <w:rFonts w:cs="Arial"/>
                <w:i/>
                <w:szCs w:val="20"/>
                <w:highlight w:val="lightGray"/>
              </w:rPr>
              <w:t xml:space="preserve"> Verfahren zur Einsetzung von ad-hoc-Ausschüssen sowie zum fachlichen Austausch von Ausschüssen untereinander</w:t>
            </w:r>
          </w:p>
          <w:p w14:paraId="3C2FC8C1"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Zusammensetzung der Ausschüsse ist angemessen (insb</w:t>
            </w:r>
            <w:r w:rsidR="0067062C">
              <w:rPr>
                <w:rFonts w:cs="Arial"/>
                <w:i/>
                <w:szCs w:val="20"/>
                <w:highlight w:val="lightGray"/>
              </w:rPr>
              <w:t>.</w:t>
            </w:r>
            <w:r w:rsidRPr="006A378B">
              <w:rPr>
                <w:rFonts w:cs="Arial"/>
                <w:i/>
                <w:szCs w:val="20"/>
                <w:highlight w:val="lightGray"/>
              </w:rPr>
              <w:t xml:space="preserve"> hinsichtlich Unabhängigkeit </w:t>
            </w:r>
            <w:r w:rsidR="0067062C">
              <w:rPr>
                <w:rFonts w:cs="Arial"/>
                <w:i/>
                <w:szCs w:val="20"/>
                <w:highlight w:val="lightGray"/>
              </w:rPr>
              <w:t>der Mitglieder und der Ausschüsse untereinander; fachliche Eignung der Mitglieder;</w:t>
            </w:r>
            <w:r w:rsidRPr="006A378B">
              <w:rPr>
                <w:rFonts w:cs="Arial"/>
                <w:i/>
                <w:szCs w:val="20"/>
                <w:highlight w:val="lightGray"/>
              </w:rPr>
              <w:t xml:space="preserve"> Trennung Markt-Marktfolge)</w:t>
            </w:r>
          </w:p>
          <w:p w14:paraId="10356D5B" w14:textId="77777777" w:rsidR="006A378B" w:rsidRPr="006A378B"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Geschäftsordnungen der Ausschüsse sind angemessen</w:t>
            </w:r>
          </w:p>
          <w:p w14:paraId="6CB0FC58" w14:textId="77777777" w:rsidR="006A378B" w:rsidRPr="00E864F2" w:rsidRDefault="006A378B" w:rsidP="006A378B">
            <w:pPr>
              <w:pStyle w:val="Listenabsatz"/>
              <w:numPr>
                <w:ilvl w:val="1"/>
                <w:numId w:val="17"/>
              </w:numPr>
              <w:ind w:left="317" w:hanging="283"/>
              <w:jc w:val="both"/>
              <w:rPr>
                <w:rFonts w:cs="Arial"/>
                <w:i/>
                <w:szCs w:val="20"/>
                <w:highlight w:val="lightGray"/>
              </w:rPr>
            </w:pPr>
            <w:r w:rsidRPr="006A378B">
              <w:rPr>
                <w:rFonts w:cs="Arial"/>
                <w:i/>
                <w:szCs w:val="20"/>
                <w:highlight w:val="lightGray"/>
              </w:rPr>
              <w:t>Die Ausschüsse können direkt und ungefiltert an den Verwaltungsrat berichten</w:t>
            </w:r>
          </w:p>
        </w:tc>
      </w:tr>
      <w:tr w:rsidR="00A25387" w:rsidRPr="00CE3194" w14:paraId="6763EE8E" w14:textId="77777777" w:rsidTr="006A378B">
        <w:trPr>
          <w:trHeight w:val="2050"/>
        </w:trPr>
        <w:tc>
          <w:tcPr>
            <w:tcW w:w="2660" w:type="dxa"/>
          </w:tcPr>
          <w:p w14:paraId="5AD87FD1" w14:textId="77777777" w:rsidR="00A25387" w:rsidRDefault="00A25387" w:rsidP="006A378B">
            <w:pPr>
              <w:jc w:val="both"/>
              <w:rPr>
                <w:rFonts w:ascii="Arial" w:hAnsi="Arial" w:cs="Arial"/>
                <w:i/>
                <w:sz w:val="20"/>
                <w:szCs w:val="20"/>
                <w:highlight w:val="lightGray"/>
              </w:rPr>
            </w:pPr>
            <w:r>
              <w:rPr>
                <w:rFonts w:ascii="Arial" w:hAnsi="Arial" w:cs="Arial"/>
                <w:i/>
                <w:sz w:val="20"/>
                <w:szCs w:val="20"/>
                <w:highlight w:val="lightGray"/>
              </w:rPr>
              <w:t>Whistleblowing-Verfahren</w:t>
            </w:r>
          </w:p>
        </w:tc>
        <w:tc>
          <w:tcPr>
            <w:tcW w:w="6520" w:type="dxa"/>
          </w:tcPr>
          <w:p w14:paraId="3EAC63D2" w14:textId="531CDEA5" w:rsidR="00A25387" w:rsidRDefault="00A25387" w:rsidP="00CB3EE6">
            <w:pPr>
              <w:pStyle w:val="Listenabsatz"/>
              <w:numPr>
                <w:ilvl w:val="1"/>
                <w:numId w:val="17"/>
              </w:numPr>
              <w:ind w:left="317" w:hanging="283"/>
              <w:jc w:val="both"/>
              <w:rPr>
                <w:rFonts w:cs="Arial"/>
                <w:i/>
                <w:szCs w:val="20"/>
                <w:highlight w:val="lightGray"/>
              </w:rPr>
            </w:pPr>
            <w:r w:rsidRPr="00EE5944">
              <w:rPr>
                <w:rFonts w:cs="Arial"/>
                <w:i/>
                <w:szCs w:val="20"/>
                <w:highlight w:val="lightGray"/>
              </w:rPr>
              <w:t>D</w:t>
            </w:r>
            <w:r w:rsidR="00AB193D">
              <w:rPr>
                <w:rFonts w:cs="Arial"/>
                <w:i/>
                <w:szCs w:val="20"/>
                <w:highlight w:val="lightGray"/>
              </w:rPr>
              <w:t>ie Bank oder Wertpapierfirma /</w:t>
            </w:r>
            <w:r>
              <w:rPr>
                <w:rFonts w:cs="Arial"/>
                <w:i/>
                <w:szCs w:val="20"/>
                <w:highlight w:val="lightGray"/>
              </w:rPr>
              <w:t xml:space="preserve"> Gruppe</w:t>
            </w:r>
            <w:r w:rsidRPr="00CB3EE6">
              <w:rPr>
                <w:rFonts w:cs="Arial"/>
                <w:i/>
                <w:szCs w:val="20"/>
                <w:highlight w:val="lightGray"/>
              </w:rPr>
              <w:t xml:space="preserve"> hat Verfahren eingerichtet, die in aussergewöhnlichen Fällen eine zulässige direkte Meldung von Mitarbeitern an den Verwaltungsrat (zulässige Durchbrechung der Hierarchie) vorsehen</w:t>
            </w:r>
          </w:p>
          <w:p w14:paraId="767E4288" w14:textId="72CCE163" w:rsidR="00A25387" w:rsidRDefault="00A25387" w:rsidP="00CB3EE6">
            <w:pPr>
              <w:pStyle w:val="Listenabsatz"/>
              <w:numPr>
                <w:ilvl w:val="1"/>
                <w:numId w:val="17"/>
              </w:numPr>
              <w:ind w:left="317" w:hanging="283"/>
              <w:jc w:val="both"/>
              <w:rPr>
                <w:rFonts w:cs="Arial"/>
                <w:i/>
                <w:szCs w:val="20"/>
                <w:highlight w:val="lightGray"/>
              </w:rPr>
            </w:pPr>
            <w:r w:rsidRPr="00CB3EE6">
              <w:rPr>
                <w:rFonts w:cs="Arial"/>
                <w:i/>
                <w:szCs w:val="20"/>
                <w:highlight w:val="lightGray"/>
              </w:rPr>
              <w:t>Der Verwaltungsrat hat die Einrichtung eines effektiven internen Hinweisgebersystems („Whistleblowing“) gesichert und dessen Funktions</w:t>
            </w:r>
            <w:r w:rsidRPr="00EE5944">
              <w:rPr>
                <w:rFonts w:cs="Arial"/>
                <w:i/>
                <w:szCs w:val="20"/>
                <w:highlight w:val="lightGray"/>
              </w:rPr>
              <w:t>weise innerhalb de</w:t>
            </w:r>
            <w:r>
              <w:rPr>
                <w:rFonts w:cs="Arial"/>
                <w:i/>
                <w:szCs w:val="20"/>
                <w:highlight w:val="lightGray"/>
              </w:rPr>
              <w:t xml:space="preserve">r Bank oder Wertpapierfirma </w:t>
            </w:r>
            <w:r w:rsidRPr="00CB3EE6">
              <w:rPr>
                <w:rFonts w:cs="Arial"/>
                <w:i/>
                <w:szCs w:val="20"/>
                <w:highlight w:val="lightGray"/>
              </w:rPr>
              <w:t>/</w:t>
            </w:r>
            <w:r>
              <w:rPr>
                <w:rFonts w:cs="Arial"/>
                <w:i/>
                <w:szCs w:val="20"/>
                <w:highlight w:val="lightGray"/>
              </w:rPr>
              <w:t xml:space="preserve"> </w:t>
            </w:r>
            <w:r w:rsidRPr="00CB3EE6">
              <w:rPr>
                <w:rFonts w:cs="Arial"/>
                <w:i/>
                <w:szCs w:val="20"/>
                <w:highlight w:val="lightGray"/>
              </w:rPr>
              <w:t>Gruppe angemessen kommuniziert</w:t>
            </w:r>
          </w:p>
          <w:p w14:paraId="64CB540A" w14:textId="77777777" w:rsidR="00A25387" w:rsidRPr="006A378B" w:rsidRDefault="00A25387" w:rsidP="00CB3EE6">
            <w:pPr>
              <w:pStyle w:val="Listenabsatz"/>
              <w:numPr>
                <w:ilvl w:val="1"/>
                <w:numId w:val="17"/>
              </w:numPr>
              <w:ind w:left="317" w:hanging="283"/>
              <w:jc w:val="both"/>
              <w:rPr>
                <w:rFonts w:cs="Arial"/>
                <w:i/>
                <w:szCs w:val="20"/>
                <w:highlight w:val="lightGray"/>
              </w:rPr>
            </w:pPr>
            <w:r w:rsidRPr="00CB3EE6">
              <w:rPr>
                <w:rFonts w:cs="Arial"/>
                <w:i/>
                <w:szCs w:val="20"/>
                <w:highlight w:val="lightGray"/>
              </w:rPr>
              <w:t>Das eingerichtete Hinweisgebersystem stellt sicher, dass Hinweisgeber anonym bleiben und dadurch mit keinen negativen Auswirkungen bei Erstattung von Hinweisen rechnen müssen</w:t>
            </w:r>
          </w:p>
        </w:tc>
      </w:tr>
    </w:tbl>
    <w:p w14:paraId="26E1FAA0" w14:textId="77777777" w:rsidR="00F8275A" w:rsidRDefault="00F8275A" w:rsidP="00E864F2">
      <w:pPr>
        <w:jc w:val="both"/>
      </w:pPr>
    </w:p>
    <w:p w14:paraId="0EBD14F4" w14:textId="77777777" w:rsidR="006A378B" w:rsidRPr="00CB3EE6" w:rsidRDefault="00E70DF4" w:rsidP="00E864F2">
      <w:pPr>
        <w:jc w:val="both"/>
        <w:rPr>
          <w:rFonts w:ascii="Arial" w:hAnsi="Arial" w:cs="Arial"/>
          <w:i/>
          <w:sz w:val="20"/>
          <w:szCs w:val="20"/>
        </w:rPr>
      </w:pPr>
      <w:r w:rsidRPr="00CB3EE6">
        <w:rPr>
          <w:rFonts w:ascii="Arial" w:hAnsi="Arial" w:cs="Arial"/>
          <w:i/>
          <w:sz w:val="20"/>
          <w:szCs w:val="20"/>
          <w:highlight w:val="yellow"/>
        </w:rPr>
        <w:t>Text</w:t>
      </w:r>
    </w:p>
    <w:p w14:paraId="06D98546" w14:textId="77777777" w:rsidR="00E864F2" w:rsidRDefault="00E864F2" w:rsidP="00E864F2">
      <w:pPr>
        <w:jc w:val="both"/>
      </w:pPr>
    </w:p>
    <w:p w14:paraId="61DA7D7C" w14:textId="77777777" w:rsidR="00543DCA" w:rsidRDefault="00743771" w:rsidP="006F7AB5">
      <w:pPr>
        <w:pStyle w:val="FINMAGliederungEbene3"/>
      </w:pPr>
      <w:bookmarkStart w:id="62" w:name="_Toc147849916"/>
      <w:r>
        <w:t>Interessenskonflikte</w:t>
      </w:r>
      <w:r w:rsidR="00543DCA">
        <w:t xml:space="preserve"> (GOV-3)</w:t>
      </w:r>
      <w:bookmarkEnd w:id="62"/>
    </w:p>
    <w:p w14:paraId="160CDA96" w14:textId="77777777" w:rsidR="00543DCA" w:rsidRDefault="00543DCA"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43771" w:rsidRPr="009872F3" w14:paraId="702B2D4E" w14:textId="77777777" w:rsidTr="00BC19D0">
        <w:trPr>
          <w:trHeight w:val="563"/>
        </w:trPr>
        <w:tc>
          <w:tcPr>
            <w:tcW w:w="1932" w:type="dxa"/>
          </w:tcPr>
          <w:p w14:paraId="062A6C7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490892C"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57EB1255"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43771" w:rsidRPr="009872F3" w14:paraId="1D1962D9" w14:textId="77777777" w:rsidTr="00BC19D0">
        <w:trPr>
          <w:trHeight w:val="698"/>
        </w:trPr>
        <w:tc>
          <w:tcPr>
            <w:tcW w:w="1932" w:type="dxa"/>
          </w:tcPr>
          <w:p w14:paraId="4375EECA" w14:textId="76638C80"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1E569320" w14:textId="77777777" w:rsidR="00743771" w:rsidRPr="006749F0" w:rsidRDefault="00743771"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A5700FF" w14:textId="77777777" w:rsidR="00743771" w:rsidRPr="009872F3" w:rsidRDefault="00743771"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6CE36B0" w14:textId="77777777" w:rsidR="00743771" w:rsidRDefault="00743771"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014E81C" w14:textId="77777777" w:rsidR="00743771" w:rsidRPr="006749F0" w:rsidRDefault="00743771" w:rsidP="00BC19D0">
            <w:pPr>
              <w:jc w:val="both"/>
              <w:rPr>
                <w:rFonts w:ascii="Arial" w:hAnsi="Arial" w:cs="Arial"/>
                <w:i/>
                <w:sz w:val="18"/>
                <w:szCs w:val="18"/>
              </w:rPr>
            </w:pPr>
            <w:r w:rsidRPr="006749F0">
              <w:rPr>
                <w:rFonts w:ascii="Arial" w:hAnsi="Arial" w:cs="Arial"/>
                <w:i/>
                <w:sz w:val="18"/>
                <w:szCs w:val="18"/>
                <w:highlight w:val="yellow"/>
              </w:rPr>
              <w:t>Jahr</w:t>
            </w:r>
          </w:p>
        </w:tc>
      </w:tr>
      <w:tr w:rsidR="00743771" w:rsidRPr="00E667CF" w14:paraId="7D188D13" w14:textId="77777777" w:rsidTr="00BC19D0">
        <w:trPr>
          <w:trHeight w:val="636"/>
        </w:trPr>
        <w:tc>
          <w:tcPr>
            <w:tcW w:w="9180" w:type="dxa"/>
            <w:gridSpan w:val="4"/>
          </w:tcPr>
          <w:p w14:paraId="71F1EF27" w14:textId="77777777" w:rsidR="00743771" w:rsidRDefault="00743771" w:rsidP="00BC19D0">
            <w:pPr>
              <w:jc w:val="both"/>
              <w:rPr>
                <w:rFonts w:ascii="Arial" w:hAnsi="Arial" w:cs="Arial"/>
                <w:sz w:val="18"/>
                <w:szCs w:val="18"/>
              </w:rPr>
            </w:pPr>
          </w:p>
          <w:p w14:paraId="6970A094" w14:textId="77777777" w:rsidR="00743771" w:rsidRPr="00F60909" w:rsidRDefault="00743771"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20CD3FE2" w14:textId="01C0CFAF" w:rsidR="00743771" w:rsidRPr="007B1593" w:rsidRDefault="00743771" w:rsidP="00BC19D0">
            <w:pPr>
              <w:jc w:val="both"/>
              <w:rPr>
                <w:rFonts w:ascii="Arial" w:hAnsi="Arial" w:cs="Arial"/>
                <w:sz w:val="18"/>
                <w:szCs w:val="18"/>
              </w:rPr>
            </w:pPr>
            <w:r w:rsidRPr="007B1593">
              <w:rPr>
                <w:rFonts w:ascii="Arial" w:hAnsi="Arial" w:cs="Arial"/>
                <w:sz w:val="18"/>
                <w:szCs w:val="18"/>
                <w:highlight w:val="yellow"/>
              </w:rPr>
              <w:t xml:space="preserve">Art. 8h BankG; Art. 9 BankG; Art. 23 BankG; Anhang 7.1 BankV; </w:t>
            </w:r>
            <w:r w:rsidR="00E667CF" w:rsidRPr="007B1593">
              <w:rPr>
                <w:rFonts w:ascii="Arial" w:hAnsi="Arial" w:cs="Arial"/>
                <w:sz w:val="18"/>
                <w:szCs w:val="18"/>
                <w:highlight w:val="yellow"/>
              </w:rPr>
              <w:t>EBA/GL/2021/05; EBA/GL/2018/03</w:t>
            </w:r>
          </w:p>
        </w:tc>
      </w:tr>
      <w:tr w:rsidR="00743771" w:rsidRPr="00E667CF" w14:paraId="56769B66" w14:textId="77777777" w:rsidTr="00BC19D0">
        <w:trPr>
          <w:trHeight w:val="294"/>
        </w:trPr>
        <w:tc>
          <w:tcPr>
            <w:tcW w:w="9180" w:type="dxa"/>
            <w:gridSpan w:val="4"/>
          </w:tcPr>
          <w:p w14:paraId="31E91926" w14:textId="77777777" w:rsidR="00743771" w:rsidRPr="007B1593" w:rsidRDefault="00743771" w:rsidP="00BC19D0">
            <w:pPr>
              <w:jc w:val="both"/>
              <w:rPr>
                <w:rFonts w:ascii="Arial" w:hAnsi="Arial" w:cs="Arial"/>
                <w:sz w:val="18"/>
                <w:szCs w:val="18"/>
              </w:rPr>
            </w:pPr>
          </w:p>
        </w:tc>
      </w:tr>
      <w:tr w:rsidR="00743771" w:rsidRPr="009872F3" w14:paraId="712058A0" w14:textId="77777777" w:rsidTr="00BC19D0">
        <w:tc>
          <w:tcPr>
            <w:tcW w:w="5798" w:type="dxa"/>
            <w:gridSpan w:val="3"/>
          </w:tcPr>
          <w:p w14:paraId="1F3474AB" w14:textId="77777777" w:rsidR="00743771" w:rsidRPr="009872F3" w:rsidRDefault="00743771" w:rsidP="00BC19D0">
            <w:pPr>
              <w:jc w:val="both"/>
              <w:rPr>
                <w:rFonts w:ascii="Arial" w:hAnsi="Arial" w:cs="Arial"/>
                <w:sz w:val="18"/>
                <w:szCs w:val="18"/>
              </w:rPr>
            </w:pPr>
            <w:r>
              <w:rPr>
                <w:rFonts w:ascii="Arial" w:hAnsi="Arial" w:cs="Arial"/>
                <w:sz w:val="18"/>
                <w:szCs w:val="18"/>
              </w:rPr>
              <w:lastRenderedPageBreak/>
              <w:t xml:space="preserve">Bestätigung, dass adäquate Richtlinien und Verfahren für den Umgang mit Interessenskonflikten auf Ebene </w:t>
            </w:r>
            <w:r w:rsidRPr="002E5C20">
              <w:rPr>
                <w:rFonts w:ascii="Arial" w:hAnsi="Arial" w:cs="Arial"/>
                <w:sz w:val="18"/>
                <w:szCs w:val="18"/>
                <w:highlight w:val="yellow"/>
              </w:rPr>
              <w:t>de</w:t>
            </w:r>
            <w:r w:rsidR="00E70DF4" w:rsidRPr="002E5C20">
              <w:rPr>
                <w:rFonts w:ascii="Arial" w:hAnsi="Arial" w:cs="Arial"/>
                <w:sz w:val="18"/>
                <w:szCs w:val="18"/>
                <w:highlight w:val="yellow"/>
              </w:rPr>
              <w:t>r Bank oder Wertpapierfirma / Gruppe</w:t>
            </w:r>
            <w:r>
              <w:rPr>
                <w:rFonts w:ascii="Arial" w:hAnsi="Arial" w:cs="Arial"/>
                <w:sz w:val="18"/>
                <w:szCs w:val="18"/>
              </w:rPr>
              <w:t xml:space="preserve"> bestehen</w:t>
            </w:r>
          </w:p>
        </w:tc>
        <w:tc>
          <w:tcPr>
            <w:tcW w:w="3382" w:type="dxa"/>
          </w:tcPr>
          <w:p w14:paraId="3A6C8B14" w14:textId="77777777" w:rsidR="00743771" w:rsidRPr="00E109DF" w:rsidRDefault="00743771"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49FE1D6B" w14:textId="77777777" w:rsidTr="00BC19D0">
        <w:tc>
          <w:tcPr>
            <w:tcW w:w="5798" w:type="dxa"/>
            <w:gridSpan w:val="3"/>
          </w:tcPr>
          <w:p w14:paraId="00F4F494" w14:textId="77777777" w:rsidR="00743771" w:rsidRPr="009872F3"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Mitarbeiter bestehen</w:t>
            </w:r>
          </w:p>
        </w:tc>
        <w:tc>
          <w:tcPr>
            <w:tcW w:w="3382" w:type="dxa"/>
          </w:tcPr>
          <w:p w14:paraId="50578E62"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5DFF49B" w14:textId="77777777" w:rsidTr="00743771">
        <w:trPr>
          <w:trHeight w:val="123"/>
        </w:trPr>
        <w:tc>
          <w:tcPr>
            <w:tcW w:w="5798" w:type="dxa"/>
            <w:gridSpan w:val="3"/>
          </w:tcPr>
          <w:p w14:paraId="34BB72AE"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den Verwaltungsrat bestehen</w:t>
            </w:r>
          </w:p>
        </w:tc>
        <w:tc>
          <w:tcPr>
            <w:tcW w:w="3382" w:type="dxa"/>
          </w:tcPr>
          <w:p w14:paraId="162B4AC4" w14:textId="77777777" w:rsidR="00743771" w:rsidRPr="009872F3" w:rsidRDefault="00743771"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0AD2A2CD" w14:textId="77777777" w:rsidTr="00BC19D0">
        <w:tc>
          <w:tcPr>
            <w:tcW w:w="5798" w:type="dxa"/>
            <w:gridSpan w:val="3"/>
          </w:tcPr>
          <w:p w14:paraId="4BB7A903" w14:textId="77777777" w:rsidR="00743771" w:rsidRDefault="00743771" w:rsidP="00743771">
            <w:pPr>
              <w:jc w:val="both"/>
              <w:rPr>
                <w:rFonts w:ascii="Arial" w:hAnsi="Arial" w:cs="Arial"/>
                <w:sz w:val="18"/>
                <w:szCs w:val="18"/>
              </w:rPr>
            </w:pPr>
            <w:r>
              <w:rPr>
                <w:rFonts w:ascii="Arial" w:hAnsi="Arial" w:cs="Arial"/>
                <w:sz w:val="18"/>
                <w:szCs w:val="18"/>
              </w:rPr>
              <w:t>Bestätigung, dass adäquate Richtlinien und Verfahren für den Umgang mit Interessenskonflikten für die Geschäftsleitung bestehen</w:t>
            </w:r>
          </w:p>
        </w:tc>
        <w:tc>
          <w:tcPr>
            <w:tcW w:w="3382" w:type="dxa"/>
          </w:tcPr>
          <w:p w14:paraId="5FDBB599"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743771" w:rsidRPr="009872F3" w14:paraId="10D08D16" w14:textId="77777777" w:rsidTr="00BC19D0">
        <w:tc>
          <w:tcPr>
            <w:tcW w:w="5798" w:type="dxa"/>
            <w:gridSpan w:val="3"/>
          </w:tcPr>
          <w:p w14:paraId="4DBC3B62" w14:textId="77777777" w:rsidR="00743771" w:rsidRDefault="00743771" w:rsidP="00BC19D0">
            <w:pPr>
              <w:jc w:val="both"/>
              <w:rPr>
                <w:rFonts w:ascii="Arial" w:hAnsi="Arial" w:cs="Arial"/>
                <w:sz w:val="18"/>
                <w:szCs w:val="18"/>
              </w:rPr>
            </w:pPr>
            <w:r>
              <w:rPr>
                <w:rFonts w:ascii="Arial" w:hAnsi="Arial" w:cs="Arial"/>
                <w:sz w:val="18"/>
                <w:szCs w:val="18"/>
              </w:rPr>
              <w:t xml:space="preserve">Bestätigung, dass adäquate Richtlinien und Verfahren für den Umgang mit Interessenskonflikten für die nahestehende Personen </w:t>
            </w:r>
            <w:r w:rsidR="00D85688">
              <w:rPr>
                <w:rFonts w:ascii="Arial" w:hAnsi="Arial" w:cs="Arial"/>
                <w:sz w:val="18"/>
                <w:szCs w:val="18"/>
              </w:rPr>
              <w:t xml:space="preserve">der Organe </w:t>
            </w:r>
            <w:r w:rsidR="00D85688" w:rsidRPr="0073127F">
              <w:rPr>
                <w:rFonts w:ascii="Arial" w:hAnsi="Arial" w:cs="Arial"/>
                <w:sz w:val="18"/>
                <w:szCs w:val="18"/>
                <w:highlight w:val="yellow"/>
              </w:rPr>
              <w:t>der Bank oder Wertpapierfirma / Gruppe</w:t>
            </w:r>
            <w:r w:rsidR="00D85688">
              <w:rPr>
                <w:rFonts w:ascii="Arial" w:hAnsi="Arial" w:cs="Arial"/>
                <w:sz w:val="18"/>
                <w:szCs w:val="18"/>
              </w:rPr>
              <w:t xml:space="preserve"> </w:t>
            </w:r>
            <w:r>
              <w:rPr>
                <w:rFonts w:ascii="Arial" w:hAnsi="Arial" w:cs="Arial"/>
                <w:sz w:val="18"/>
                <w:szCs w:val="18"/>
              </w:rPr>
              <w:t>bestehen</w:t>
            </w:r>
          </w:p>
        </w:tc>
        <w:tc>
          <w:tcPr>
            <w:tcW w:w="3382" w:type="dxa"/>
          </w:tcPr>
          <w:p w14:paraId="493EFF2F" w14:textId="77777777" w:rsidR="00743771" w:rsidRPr="00E109DF" w:rsidRDefault="00743771"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BC144C2"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743771" w:rsidRPr="00CE3194" w14:paraId="6CDC7732" w14:textId="77777777" w:rsidTr="00BC19D0">
        <w:tc>
          <w:tcPr>
            <w:tcW w:w="2660" w:type="dxa"/>
          </w:tcPr>
          <w:p w14:paraId="3077900F" w14:textId="77777777" w:rsidR="00743771" w:rsidRPr="00CE3194" w:rsidRDefault="00743771"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5DE5129" w14:textId="77777777" w:rsidR="00743771" w:rsidRPr="00CE3194" w:rsidRDefault="008A34FB"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743771" w:rsidRPr="00CE3194" w14:paraId="13FD7286" w14:textId="77777777" w:rsidTr="00BC19D0">
        <w:tc>
          <w:tcPr>
            <w:tcW w:w="2660" w:type="dxa"/>
          </w:tcPr>
          <w:p w14:paraId="60D5A92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Richtlinien und Verfahren für den Umgang mit Interessenskonflikten</w:t>
            </w:r>
          </w:p>
          <w:p w14:paraId="7FC838D3"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xml:space="preserve">- auf Ebene </w:t>
            </w:r>
            <w:r w:rsidR="00E70DF4">
              <w:rPr>
                <w:rFonts w:ascii="Arial" w:hAnsi="Arial" w:cs="Arial"/>
                <w:i/>
                <w:sz w:val="20"/>
                <w:szCs w:val="20"/>
                <w:highlight w:val="lightGray"/>
              </w:rPr>
              <w:t>Bank oder Wertpapierfirma / Gruppe</w:t>
            </w:r>
          </w:p>
          <w:p w14:paraId="3F39052B"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Mitarbeiter</w:t>
            </w:r>
          </w:p>
          <w:p w14:paraId="098808AF"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den Verwaltungsrat</w:t>
            </w:r>
          </w:p>
          <w:p w14:paraId="42C1CEAE" w14:textId="77777777" w:rsidR="00743771" w:rsidRDefault="00743771" w:rsidP="00BC19D0">
            <w:pPr>
              <w:jc w:val="both"/>
              <w:rPr>
                <w:rFonts w:ascii="Arial" w:hAnsi="Arial" w:cs="Arial"/>
                <w:i/>
                <w:sz w:val="20"/>
                <w:szCs w:val="20"/>
                <w:highlight w:val="lightGray"/>
              </w:rPr>
            </w:pPr>
            <w:r>
              <w:rPr>
                <w:rFonts w:ascii="Arial" w:hAnsi="Arial" w:cs="Arial"/>
                <w:i/>
                <w:sz w:val="20"/>
                <w:szCs w:val="20"/>
                <w:highlight w:val="lightGray"/>
              </w:rPr>
              <w:t>- für die Geschäftsleitung</w:t>
            </w:r>
          </w:p>
          <w:p w14:paraId="2022D064" w14:textId="77777777" w:rsidR="00743771" w:rsidRPr="00CE3194" w:rsidRDefault="00743771" w:rsidP="00BC19D0">
            <w:pPr>
              <w:jc w:val="both"/>
              <w:rPr>
                <w:rFonts w:ascii="Arial" w:hAnsi="Arial" w:cs="Arial"/>
                <w:i/>
                <w:sz w:val="20"/>
                <w:szCs w:val="20"/>
                <w:highlight w:val="lightGray"/>
              </w:rPr>
            </w:pPr>
            <w:r>
              <w:rPr>
                <w:rFonts w:ascii="Arial" w:hAnsi="Arial" w:cs="Arial"/>
                <w:i/>
                <w:sz w:val="20"/>
                <w:szCs w:val="20"/>
                <w:highlight w:val="lightGray"/>
              </w:rPr>
              <w:t>- für nahestehende Personen</w:t>
            </w:r>
          </w:p>
        </w:tc>
        <w:tc>
          <w:tcPr>
            <w:tcW w:w="6520" w:type="dxa"/>
          </w:tcPr>
          <w:p w14:paraId="72A1445F" w14:textId="77777777" w:rsidR="00743771" w:rsidRPr="009C1689" w:rsidRDefault="00743771"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eine klare und effektive Aufteilung von Verantwortlichkeiten und Kompetenzen</w:t>
            </w:r>
          </w:p>
          <w:p w14:paraId="2FC8EB9F" w14:textId="5AF33EAC" w:rsidR="00743771" w:rsidRPr="009C1689" w:rsidRDefault="00694776" w:rsidP="00743771">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bestehen interne Richtlinien, welche den Umgang mit Interessenskonflikten auf Ebene d</w:t>
            </w:r>
            <w:r w:rsidR="00E70DF4">
              <w:rPr>
                <w:rFonts w:cs="Arial"/>
                <w:i/>
                <w:szCs w:val="20"/>
                <w:highlight w:val="lightGray"/>
              </w:rPr>
              <w:t>er Bank oder Wertpapierfirma / Gruppe</w:t>
            </w:r>
            <w:r w:rsidRPr="009C1689">
              <w:rPr>
                <w:rFonts w:cs="Arial"/>
                <w:i/>
                <w:szCs w:val="20"/>
                <w:highlight w:val="lightGray"/>
              </w:rPr>
              <w:t xml:space="preserve">, für Mitarbeiter, für den Verwaltungsrat, die Geschäftsleitung, sowie </w:t>
            </w:r>
            <w:r w:rsidR="00E70DF4">
              <w:rPr>
                <w:rFonts w:cs="Arial"/>
                <w:i/>
                <w:szCs w:val="20"/>
                <w:highlight w:val="lightGray"/>
              </w:rPr>
              <w:t xml:space="preserve">für </w:t>
            </w:r>
            <w:r w:rsidRPr="009C1689">
              <w:rPr>
                <w:rFonts w:cs="Arial"/>
                <w:i/>
                <w:szCs w:val="20"/>
                <w:highlight w:val="lightGray"/>
              </w:rPr>
              <w:t>nahestehende Personen regeln</w:t>
            </w:r>
          </w:p>
          <w:p w14:paraId="4A03F705" w14:textId="7E1C1AA5"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D</w:t>
            </w:r>
            <w:r w:rsidR="00E70DF4">
              <w:rPr>
                <w:rFonts w:cs="Arial"/>
                <w:i/>
                <w:szCs w:val="20"/>
                <w:highlight w:val="lightGray"/>
              </w:rPr>
              <w:t>ie</w:t>
            </w:r>
            <w:r w:rsidRPr="009C1689">
              <w:rPr>
                <w:rFonts w:cs="Arial"/>
                <w:i/>
                <w:szCs w:val="20"/>
                <w:highlight w:val="lightGray"/>
              </w:rPr>
              <w:t xml:space="preserve"> </w:t>
            </w:r>
            <w:r w:rsidR="00E70DF4">
              <w:rPr>
                <w:rFonts w:cs="Arial"/>
                <w:i/>
                <w:szCs w:val="20"/>
                <w:highlight w:val="lightGray"/>
              </w:rPr>
              <w:t>beaufsichtigte</w:t>
            </w:r>
            <w:r w:rsidR="004F737B">
              <w:rPr>
                <w:rFonts w:cs="Arial"/>
                <w:i/>
                <w:szCs w:val="20"/>
                <w:highlight w:val="lightGray"/>
              </w:rPr>
              <w:t xml:space="preserve"> Bank oder Wertpapierfirma</w:t>
            </w:r>
            <w:r w:rsidR="004D5057">
              <w:rPr>
                <w:rFonts w:cs="Arial"/>
                <w:i/>
                <w:szCs w:val="20"/>
                <w:highlight w:val="lightGray"/>
              </w:rPr>
              <w:t xml:space="preserve"> / bzw. die Gruppe</w:t>
            </w:r>
            <w:r w:rsidRPr="009C1689">
              <w:rPr>
                <w:rFonts w:cs="Arial"/>
                <w:i/>
                <w:szCs w:val="20"/>
                <w:highlight w:val="lightGray"/>
              </w:rPr>
              <w:t xml:space="preserve"> hat Massnahmen zur Steuerung oder Minderung von Interessenskonflikten auf institutioneller Ebene implementiert (z.B. Aufgabentrennung, Einrichtung von Informationssperren; Festlegung geeigneter Verfahren für Transaktionen mit verbundenen Parteien etc.), welche dokumentiert sind</w:t>
            </w:r>
          </w:p>
          <w:p w14:paraId="152866DE"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angemessenes Meldeverfahren für Interessenskonflikte z.B. für Beziehungen von Mitarbeitenden aus der Vergangenheit</w:t>
            </w:r>
          </w:p>
          <w:p w14:paraId="49FF0347" w14:textId="77777777" w:rsidR="00694776" w:rsidRPr="009C1689" w:rsidRDefault="00694776" w:rsidP="00694776">
            <w:pPr>
              <w:pStyle w:val="Listenabsatz"/>
              <w:numPr>
                <w:ilvl w:val="1"/>
                <w:numId w:val="17"/>
              </w:numPr>
              <w:ind w:left="317" w:hanging="283"/>
              <w:jc w:val="both"/>
              <w:rPr>
                <w:rFonts w:cs="Arial"/>
                <w:i/>
                <w:szCs w:val="20"/>
                <w:highlight w:val="lightGray"/>
              </w:rPr>
            </w:pPr>
            <w:r w:rsidRPr="009C1689">
              <w:rPr>
                <w:rFonts w:cs="Arial"/>
                <w:i/>
                <w:szCs w:val="20"/>
                <w:highlight w:val="lightGray"/>
              </w:rPr>
              <w:t>Es besteht ein Bewertungsverfahren von tatsächlichen und potenziellen Interessenskonflikten und ein Dokumentationsverfahren über die Entscheidung, wie mit den festgestellten Interessenskonflikten umgegangen wird</w:t>
            </w:r>
          </w:p>
          <w:p w14:paraId="572D9036" w14:textId="77777777" w:rsidR="00694776" w:rsidRPr="009C1689" w:rsidRDefault="009C1689" w:rsidP="009C1689">
            <w:pPr>
              <w:pStyle w:val="Listenabsatz"/>
              <w:numPr>
                <w:ilvl w:val="1"/>
                <w:numId w:val="17"/>
              </w:numPr>
              <w:ind w:left="317" w:hanging="283"/>
              <w:jc w:val="both"/>
              <w:rPr>
                <w:rFonts w:cs="Arial"/>
                <w:i/>
                <w:szCs w:val="20"/>
                <w:highlight w:val="lightGray"/>
              </w:rPr>
            </w:pPr>
            <w:r w:rsidRPr="009C1689">
              <w:rPr>
                <w:rFonts w:cs="Arial"/>
                <w:i/>
                <w:szCs w:val="20"/>
                <w:highlight w:val="lightGray"/>
              </w:rPr>
              <w:t xml:space="preserve">Es besteht eine angemessene interne Berichterstattung und Kommunikation über identifizierte Interessenskonflikte </w:t>
            </w:r>
          </w:p>
          <w:p w14:paraId="0A024428" w14:textId="77777777" w:rsidR="00743771" w:rsidRPr="00CE3194" w:rsidRDefault="00743771" w:rsidP="00743771">
            <w:pPr>
              <w:pStyle w:val="Listenabsatz"/>
              <w:ind w:left="34"/>
              <w:jc w:val="both"/>
              <w:rPr>
                <w:rFonts w:cs="Arial"/>
                <w:i/>
                <w:szCs w:val="20"/>
                <w:highlight w:val="lightGray"/>
              </w:rPr>
            </w:pPr>
          </w:p>
        </w:tc>
      </w:tr>
    </w:tbl>
    <w:p w14:paraId="7D1F36CC" w14:textId="77777777" w:rsidR="00743771" w:rsidRDefault="00743771" w:rsidP="00743771">
      <w:pPr>
        <w:jc w:val="both"/>
      </w:pPr>
    </w:p>
    <w:p w14:paraId="31863230" w14:textId="78EF601C" w:rsidR="000C3F1F" w:rsidRPr="00764E6A" w:rsidRDefault="000C3F1F" w:rsidP="006E1DCF">
      <w:pPr>
        <w:jc w:val="both"/>
        <w:rPr>
          <w:rFonts w:ascii="Arial" w:hAnsi="Arial" w:cs="Arial"/>
          <w:i/>
          <w:sz w:val="20"/>
          <w:szCs w:val="20"/>
        </w:rPr>
      </w:pPr>
      <w:r w:rsidRPr="00CB3EE6">
        <w:rPr>
          <w:rFonts w:ascii="Arial" w:hAnsi="Arial" w:cs="Arial"/>
          <w:i/>
          <w:sz w:val="20"/>
          <w:szCs w:val="20"/>
          <w:highlight w:val="lightGray"/>
        </w:rPr>
        <w:t xml:space="preserve">Als nahestehende Personen gelten </w:t>
      </w:r>
      <w:r w:rsidR="00DE7FD2" w:rsidRPr="00CB3EE6">
        <w:rPr>
          <w:rFonts w:ascii="Arial" w:hAnsi="Arial" w:cs="Arial"/>
          <w:i/>
          <w:sz w:val="20"/>
          <w:szCs w:val="20"/>
          <w:highlight w:val="lightGray"/>
        </w:rPr>
        <w:t xml:space="preserve">insbesondere </w:t>
      </w:r>
      <w:r w:rsidRPr="00CB3EE6">
        <w:rPr>
          <w:rFonts w:ascii="Arial" w:hAnsi="Arial" w:cs="Arial"/>
          <w:i/>
          <w:sz w:val="20"/>
          <w:szCs w:val="20"/>
          <w:highlight w:val="lightGray"/>
        </w:rPr>
        <w:t xml:space="preserve">die in Art. </w:t>
      </w:r>
      <w:r w:rsidR="008612A6" w:rsidRPr="00CB3EE6">
        <w:rPr>
          <w:rFonts w:ascii="Arial" w:hAnsi="Arial" w:cs="Arial"/>
          <w:i/>
          <w:sz w:val="20"/>
          <w:szCs w:val="20"/>
          <w:highlight w:val="lightGray"/>
        </w:rPr>
        <w:t>9</w:t>
      </w:r>
      <w:r w:rsidRPr="00CB3EE6">
        <w:rPr>
          <w:rFonts w:ascii="Arial" w:hAnsi="Arial" w:cs="Arial"/>
          <w:i/>
          <w:sz w:val="20"/>
          <w:szCs w:val="20"/>
          <w:highlight w:val="lightGray"/>
        </w:rPr>
        <w:t xml:space="preserve"> BankG genannten Personen.</w:t>
      </w:r>
    </w:p>
    <w:p w14:paraId="04401B81" w14:textId="091464DC" w:rsidR="00EE5944" w:rsidRDefault="00EE5944" w:rsidP="006E1DCF">
      <w:pPr>
        <w:jc w:val="both"/>
      </w:pPr>
    </w:p>
    <w:p w14:paraId="6E6DF6A1" w14:textId="19F1FC62" w:rsidR="00845076" w:rsidRPr="0023252E" w:rsidRDefault="00845076" w:rsidP="006E1DCF">
      <w:pPr>
        <w:jc w:val="both"/>
        <w:rPr>
          <w:rFonts w:ascii="Arial" w:hAnsi="Arial" w:cs="Arial"/>
          <w:i/>
          <w:sz w:val="20"/>
          <w:szCs w:val="20"/>
          <w:highlight w:val="lightGray"/>
        </w:rPr>
      </w:pPr>
      <w:r w:rsidRPr="0023252E">
        <w:rPr>
          <w:rFonts w:ascii="Arial" w:hAnsi="Arial" w:cs="Arial"/>
          <w:i/>
          <w:sz w:val="20"/>
          <w:szCs w:val="20"/>
          <w:highlight w:val="lightGray"/>
        </w:rPr>
        <w:t xml:space="preserve">Die unabhängigen Mitglieder </w:t>
      </w:r>
      <w:r w:rsidRPr="001E12FA">
        <w:rPr>
          <w:rFonts w:ascii="Arial" w:hAnsi="Arial" w:cs="Arial"/>
          <w:i/>
          <w:sz w:val="20"/>
          <w:szCs w:val="20"/>
          <w:highlight w:val="lightGray"/>
        </w:rPr>
        <w:t>des Verwaltungsrats</w:t>
      </w:r>
      <w:r w:rsidRPr="0023252E">
        <w:rPr>
          <w:rFonts w:ascii="Arial" w:hAnsi="Arial" w:cs="Arial"/>
          <w:i/>
          <w:sz w:val="20"/>
          <w:szCs w:val="20"/>
          <w:highlight w:val="lightGray"/>
        </w:rPr>
        <w:t xml:space="preserve"> sind</w:t>
      </w:r>
      <w:r>
        <w:rPr>
          <w:rFonts w:ascii="Arial" w:hAnsi="Arial" w:cs="Arial"/>
          <w:i/>
          <w:sz w:val="20"/>
          <w:szCs w:val="20"/>
          <w:highlight w:val="lightGray"/>
        </w:rPr>
        <w:t xml:space="preserve"> – unabhängig der Prüftiefe (kritische Beurteilung/Detailprüfung) -</w:t>
      </w:r>
      <w:r w:rsidRPr="0023252E">
        <w:rPr>
          <w:rFonts w:ascii="Arial" w:hAnsi="Arial" w:cs="Arial"/>
          <w:i/>
          <w:sz w:val="20"/>
          <w:szCs w:val="20"/>
          <w:highlight w:val="lightGray"/>
        </w:rPr>
        <w:t xml:space="preserve"> jeweils </w:t>
      </w:r>
      <w:r>
        <w:rPr>
          <w:rFonts w:ascii="Arial" w:hAnsi="Arial" w:cs="Arial"/>
          <w:i/>
          <w:sz w:val="20"/>
          <w:szCs w:val="20"/>
          <w:highlight w:val="lightGray"/>
        </w:rPr>
        <w:t xml:space="preserve">im Text </w:t>
      </w:r>
      <w:r w:rsidRPr="0023252E">
        <w:rPr>
          <w:rFonts w:ascii="Arial" w:hAnsi="Arial" w:cs="Arial"/>
          <w:i/>
          <w:sz w:val="20"/>
          <w:szCs w:val="20"/>
          <w:highlight w:val="lightGray"/>
        </w:rPr>
        <w:t>aufzulisten und zu kennzeichnen</w:t>
      </w:r>
      <w:r>
        <w:rPr>
          <w:rFonts w:ascii="Arial" w:hAnsi="Arial" w:cs="Arial"/>
          <w:i/>
          <w:sz w:val="20"/>
          <w:szCs w:val="20"/>
          <w:highlight w:val="lightGray"/>
        </w:rPr>
        <w:t>.</w:t>
      </w:r>
    </w:p>
    <w:p w14:paraId="316EF75C" w14:textId="77777777" w:rsidR="00845076" w:rsidRDefault="00845076" w:rsidP="006E1DCF">
      <w:pPr>
        <w:jc w:val="both"/>
      </w:pPr>
    </w:p>
    <w:p w14:paraId="2A6BE2F4" w14:textId="77777777" w:rsidR="00EE5944" w:rsidRPr="00CB3EE6" w:rsidRDefault="00EE5944" w:rsidP="006E1DCF">
      <w:pPr>
        <w:jc w:val="both"/>
        <w:rPr>
          <w:rFonts w:ascii="Arial" w:hAnsi="Arial" w:cs="Arial"/>
          <w:i/>
          <w:sz w:val="20"/>
          <w:szCs w:val="20"/>
        </w:rPr>
      </w:pPr>
      <w:r w:rsidRPr="00CB3EE6">
        <w:rPr>
          <w:rFonts w:ascii="Arial" w:hAnsi="Arial" w:cs="Arial"/>
          <w:i/>
          <w:sz w:val="20"/>
          <w:szCs w:val="20"/>
          <w:highlight w:val="yellow"/>
        </w:rPr>
        <w:t>Text</w:t>
      </w:r>
    </w:p>
    <w:p w14:paraId="07EE823C" w14:textId="77777777" w:rsidR="00EE5944" w:rsidRDefault="00EE5944" w:rsidP="006E1DCF">
      <w:pPr>
        <w:jc w:val="both"/>
      </w:pPr>
    </w:p>
    <w:p w14:paraId="6406F83C" w14:textId="77777777" w:rsidR="006E1DCF" w:rsidRDefault="006E1DCF" w:rsidP="006E1DCF">
      <w:pPr>
        <w:jc w:val="both"/>
      </w:pPr>
    </w:p>
    <w:p w14:paraId="7A6DF7BA" w14:textId="77777777" w:rsidR="00743771" w:rsidRDefault="008C30D1" w:rsidP="006F7AB5">
      <w:pPr>
        <w:pStyle w:val="FINMAGliederungEbene3"/>
      </w:pPr>
      <w:bookmarkStart w:id="63" w:name="_Toc147849917"/>
      <w:r>
        <w:t>Interne Kontrollfunktion: Risikomanagementfunktion</w:t>
      </w:r>
      <w:r w:rsidR="00543DCA">
        <w:t xml:space="preserve"> </w:t>
      </w:r>
      <w:r w:rsidR="0003063F">
        <w:t xml:space="preserve">und Risikomanagement-Rahmenwerk </w:t>
      </w:r>
      <w:r w:rsidR="00543DCA">
        <w:t>(GOV-4)</w:t>
      </w:r>
      <w:bookmarkEnd w:id="63"/>
    </w:p>
    <w:p w14:paraId="67C583EB" w14:textId="77777777" w:rsidR="00743771" w:rsidRDefault="00743771" w:rsidP="00743771">
      <w:pPr>
        <w:jc w:val="both"/>
      </w:pPr>
    </w:p>
    <w:tbl>
      <w:tblPr>
        <w:tblStyle w:val="Tabellenraster"/>
        <w:tblW w:w="0" w:type="auto"/>
        <w:tblLook w:val="04A0" w:firstRow="1" w:lastRow="0" w:firstColumn="1" w:lastColumn="0" w:noHBand="0" w:noVBand="1"/>
      </w:tblPr>
      <w:tblGrid>
        <w:gridCol w:w="1932"/>
        <w:gridCol w:w="2145"/>
        <w:gridCol w:w="1721"/>
        <w:gridCol w:w="3382"/>
      </w:tblGrid>
      <w:tr w:rsidR="006E1DCF" w:rsidRPr="009872F3" w14:paraId="46A55D35" w14:textId="77777777" w:rsidTr="00BC19D0">
        <w:trPr>
          <w:trHeight w:val="563"/>
        </w:trPr>
        <w:tc>
          <w:tcPr>
            <w:tcW w:w="1932" w:type="dxa"/>
          </w:tcPr>
          <w:p w14:paraId="1F62B733"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91AD76D"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C73769"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E1DCF" w:rsidRPr="009872F3" w14:paraId="6FFD8FE2" w14:textId="77777777" w:rsidTr="00BC19D0">
        <w:trPr>
          <w:trHeight w:val="698"/>
        </w:trPr>
        <w:tc>
          <w:tcPr>
            <w:tcW w:w="1932" w:type="dxa"/>
          </w:tcPr>
          <w:p w14:paraId="50F59E95" w14:textId="64121138"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79D19C48" w14:textId="77777777" w:rsidR="006E1DCF" w:rsidRPr="006749F0" w:rsidRDefault="006E1DCF"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79657468" w14:textId="77777777" w:rsidR="006E1DCF" w:rsidRPr="009872F3" w:rsidRDefault="006E1DCF"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42FBC88" w14:textId="77777777" w:rsidR="006E1DCF" w:rsidRDefault="006E1DCF"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66085E5" w14:textId="77777777" w:rsidR="006E1DCF" w:rsidRPr="006749F0" w:rsidRDefault="006E1DCF" w:rsidP="00BC19D0">
            <w:pPr>
              <w:jc w:val="both"/>
              <w:rPr>
                <w:rFonts w:ascii="Arial" w:hAnsi="Arial" w:cs="Arial"/>
                <w:i/>
                <w:sz w:val="18"/>
                <w:szCs w:val="18"/>
              </w:rPr>
            </w:pPr>
            <w:r w:rsidRPr="006749F0">
              <w:rPr>
                <w:rFonts w:ascii="Arial" w:hAnsi="Arial" w:cs="Arial"/>
                <w:i/>
                <w:sz w:val="18"/>
                <w:szCs w:val="18"/>
                <w:highlight w:val="yellow"/>
              </w:rPr>
              <w:t>Jahr</w:t>
            </w:r>
          </w:p>
        </w:tc>
      </w:tr>
      <w:tr w:rsidR="006E1DCF" w:rsidRPr="00E667CF" w14:paraId="1AF603C7" w14:textId="77777777" w:rsidTr="00BC19D0">
        <w:trPr>
          <w:trHeight w:val="636"/>
        </w:trPr>
        <w:tc>
          <w:tcPr>
            <w:tcW w:w="9180" w:type="dxa"/>
            <w:gridSpan w:val="4"/>
          </w:tcPr>
          <w:p w14:paraId="6D85CE4E" w14:textId="77777777" w:rsidR="006E1DCF" w:rsidRDefault="006E1DCF" w:rsidP="00BC19D0">
            <w:pPr>
              <w:jc w:val="both"/>
              <w:rPr>
                <w:rFonts w:ascii="Arial" w:hAnsi="Arial" w:cs="Arial"/>
                <w:sz w:val="18"/>
                <w:szCs w:val="18"/>
              </w:rPr>
            </w:pPr>
          </w:p>
          <w:p w14:paraId="41487442" w14:textId="77777777" w:rsidR="006E1DCF" w:rsidRPr="00F60909" w:rsidRDefault="006E1DCF"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3A0CD70" w14:textId="124712D4" w:rsidR="006E1DCF" w:rsidRPr="007B1593" w:rsidRDefault="006E1DCF" w:rsidP="00BC19D0">
            <w:pPr>
              <w:jc w:val="both"/>
              <w:rPr>
                <w:rFonts w:ascii="Arial" w:hAnsi="Arial" w:cs="Arial"/>
                <w:sz w:val="18"/>
                <w:szCs w:val="18"/>
              </w:rPr>
            </w:pPr>
            <w:r w:rsidRPr="007B1593">
              <w:rPr>
                <w:rFonts w:ascii="Arial" w:hAnsi="Arial" w:cs="Arial"/>
                <w:sz w:val="18"/>
                <w:szCs w:val="18"/>
                <w:highlight w:val="yellow"/>
              </w:rPr>
              <w:t xml:space="preserve">Art. 7a BankG, Art. 21d BankV; Anhang 4.3 BankV; </w:t>
            </w:r>
            <w:r w:rsidR="00E667CF" w:rsidRPr="005B66F8">
              <w:rPr>
                <w:rFonts w:ascii="Arial" w:hAnsi="Arial" w:cs="Arial"/>
                <w:sz w:val="18"/>
                <w:szCs w:val="18"/>
                <w:highlight w:val="yellow"/>
              </w:rPr>
              <w:t>EBA/GL/2021/05; EBA/GL/2018/03</w:t>
            </w:r>
          </w:p>
        </w:tc>
      </w:tr>
      <w:tr w:rsidR="006E1DCF" w:rsidRPr="00E667CF" w14:paraId="52EAB587" w14:textId="77777777" w:rsidTr="00BC19D0">
        <w:trPr>
          <w:trHeight w:val="294"/>
        </w:trPr>
        <w:tc>
          <w:tcPr>
            <w:tcW w:w="9180" w:type="dxa"/>
            <w:gridSpan w:val="4"/>
          </w:tcPr>
          <w:p w14:paraId="6AFBA4B5" w14:textId="77777777" w:rsidR="006E1DCF" w:rsidRPr="007B1593" w:rsidRDefault="006E1DCF" w:rsidP="00BC19D0">
            <w:pPr>
              <w:jc w:val="both"/>
              <w:rPr>
                <w:rFonts w:ascii="Arial" w:hAnsi="Arial" w:cs="Arial"/>
                <w:sz w:val="18"/>
                <w:szCs w:val="18"/>
              </w:rPr>
            </w:pPr>
          </w:p>
        </w:tc>
      </w:tr>
      <w:tr w:rsidR="006E1DCF" w:rsidRPr="009872F3" w14:paraId="658BBBA4" w14:textId="77777777" w:rsidTr="00BC19D0">
        <w:tc>
          <w:tcPr>
            <w:tcW w:w="5798" w:type="dxa"/>
            <w:gridSpan w:val="3"/>
          </w:tcPr>
          <w:p w14:paraId="1142ECF7" w14:textId="55E3FF43" w:rsidR="006E1DCF" w:rsidRPr="009872F3" w:rsidRDefault="006E1DCF" w:rsidP="00D85688">
            <w:pPr>
              <w:jc w:val="both"/>
              <w:rPr>
                <w:rFonts w:ascii="Arial" w:hAnsi="Arial" w:cs="Arial"/>
                <w:sz w:val="18"/>
                <w:szCs w:val="18"/>
              </w:rPr>
            </w:pPr>
            <w:r>
              <w:rPr>
                <w:rFonts w:ascii="Arial" w:hAnsi="Arial" w:cs="Arial"/>
                <w:sz w:val="18"/>
                <w:szCs w:val="18"/>
              </w:rPr>
              <w:t xml:space="preserve">Bestätigung, dass die </w:t>
            </w:r>
            <w:r w:rsidR="00AF63C5">
              <w:rPr>
                <w:rFonts w:ascii="Arial" w:hAnsi="Arial" w:cs="Arial"/>
                <w:sz w:val="18"/>
                <w:szCs w:val="18"/>
              </w:rPr>
              <w:t xml:space="preserve">organisatorische Anordnung </w:t>
            </w:r>
            <w:r w:rsidR="00D85688">
              <w:rPr>
                <w:rFonts w:ascii="Arial" w:hAnsi="Arial" w:cs="Arial"/>
                <w:sz w:val="18"/>
                <w:szCs w:val="18"/>
              </w:rPr>
              <w:t xml:space="preserve">der </w:t>
            </w:r>
            <w:r w:rsidR="00D85688" w:rsidRPr="00D85688">
              <w:rPr>
                <w:rFonts w:ascii="Arial" w:hAnsi="Arial" w:cs="Arial"/>
                <w:sz w:val="18"/>
                <w:szCs w:val="18"/>
              </w:rPr>
              <w:t>Risikomanagementfunktion</w:t>
            </w:r>
            <w:r w:rsidR="00AF63C5">
              <w:rPr>
                <w:rFonts w:ascii="Arial" w:hAnsi="Arial" w:cs="Arial"/>
                <w:sz w:val="18"/>
                <w:szCs w:val="18"/>
              </w:rPr>
              <w:t xml:space="preserve"> und das Entschädigungssystem</w:t>
            </w:r>
            <w:r w:rsidR="00D85688">
              <w:rPr>
                <w:rFonts w:ascii="Arial" w:hAnsi="Arial" w:cs="Arial"/>
                <w:sz w:val="18"/>
                <w:szCs w:val="18"/>
              </w:rPr>
              <w:t xml:space="preserve"> dieser</w:t>
            </w:r>
            <w:r w:rsidR="00AF63C5">
              <w:rPr>
                <w:rFonts w:ascii="Arial" w:hAnsi="Arial" w:cs="Arial"/>
                <w:sz w:val="18"/>
                <w:szCs w:val="18"/>
              </w:rPr>
              <w:t xml:space="preserve"> keine Zielkonflikte herbeiführen und </w:t>
            </w:r>
            <w:r w:rsidR="00D85688">
              <w:rPr>
                <w:rFonts w:ascii="Arial" w:hAnsi="Arial" w:cs="Arial"/>
                <w:sz w:val="18"/>
                <w:szCs w:val="18"/>
              </w:rPr>
              <w:t xml:space="preserve">deren </w:t>
            </w:r>
            <w:r w:rsidR="00AF63C5">
              <w:rPr>
                <w:rFonts w:ascii="Arial" w:hAnsi="Arial" w:cs="Arial"/>
                <w:sz w:val="18"/>
                <w:szCs w:val="18"/>
              </w:rPr>
              <w:t>Unabhängigkeit nicht negativ beeinflussen</w:t>
            </w:r>
          </w:p>
        </w:tc>
        <w:tc>
          <w:tcPr>
            <w:tcW w:w="3382" w:type="dxa"/>
          </w:tcPr>
          <w:p w14:paraId="4F8968F1" w14:textId="77777777" w:rsidR="006E1DCF" w:rsidRPr="00E109DF" w:rsidRDefault="006E1DCF"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49F26E6A" w14:textId="77777777" w:rsidTr="00BC19D0">
        <w:tc>
          <w:tcPr>
            <w:tcW w:w="5798" w:type="dxa"/>
            <w:gridSpan w:val="3"/>
          </w:tcPr>
          <w:p w14:paraId="3CAA7777" w14:textId="77777777" w:rsidR="006E1DCF" w:rsidRPr="009872F3" w:rsidRDefault="00AF63C5" w:rsidP="006E1DCF">
            <w:pPr>
              <w:jc w:val="both"/>
              <w:rPr>
                <w:rFonts w:ascii="Arial" w:hAnsi="Arial" w:cs="Arial"/>
                <w:sz w:val="18"/>
                <w:szCs w:val="18"/>
              </w:rPr>
            </w:pPr>
            <w:r>
              <w:rPr>
                <w:rFonts w:ascii="Arial" w:hAnsi="Arial" w:cs="Arial"/>
                <w:sz w:val="18"/>
                <w:szCs w:val="18"/>
              </w:rPr>
              <w:t>Bestätigung, dass die</w:t>
            </w:r>
            <w:r w:rsidR="006E1DCF">
              <w:rPr>
                <w:rFonts w:ascii="Arial" w:hAnsi="Arial" w:cs="Arial"/>
                <w:sz w:val="18"/>
                <w:szCs w:val="18"/>
              </w:rPr>
              <w:t xml:space="preserve"> Verantwortlichkeiten und Kompetenzen der Risikomanagementfunktion angemessen ausgestaltet sind</w:t>
            </w:r>
          </w:p>
        </w:tc>
        <w:tc>
          <w:tcPr>
            <w:tcW w:w="3382" w:type="dxa"/>
          </w:tcPr>
          <w:p w14:paraId="72B5F7DB"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136D4539" w14:textId="77777777" w:rsidTr="00BC19D0">
        <w:trPr>
          <w:trHeight w:val="123"/>
        </w:trPr>
        <w:tc>
          <w:tcPr>
            <w:tcW w:w="5798" w:type="dxa"/>
            <w:gridSpan w:val="3"/>
          </w:tcPr>
          <w:p w14:paraId="7482BB09" w14:textId="77777777" w:rsidR="006E1DCF" w:rsidRDefault="006E1DCF"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64E4300" w14:textId="77777777" w:rsidR="006E1DCF" w:rsidRPr="009872F3" w:rsidRDefault="006E1DCF"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6E1DCF" w:rsidRPr="009872F3" w14:paraId="5BC15EF3" w14:textId="77777777" w:rsidTr="00BC19D0">
        <w:tc>
          <w:tcPr>
            <w:tcW w:w="5798" w:type="dxa"/>
            <w:gridSpan w:val="3"/>
          </w:tcPr>
          <w:p w14:paraId="62055699" w14:textId="77777777" w:rsidR="006E1DCF" w:rsidRDefault="00AF63C5"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01D822F2" w14:textId="77777777" w:rsidR="006E1DCF" w:rsidRPr="00E109DF" w:rsidRDefault="006E1DCF"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6650A" w:rsidRPr="009872F3" w14:paraId="465D1F8D" w14:textId="77777777" w:rsidTr="0036650A">
        <w:tc>
          <w:tcPr>
            <w:tcW w:w="5798" w:type="dxa"/>
            <w:gridSpan w:val="3"/>
          </w:tcPr>
          <w:p w14:paraId="24648399" w14:textId="77777777" w:rsidR="0036650A" w:rsidRDefault="0036650A" w:rsidP="0036650A">
            <w:pPr>
              <w:jc w:val="both"/>
              <w:rPr>
                <w:rFonts w:ascii="Arial" w:hAnsi="Arial" w:cs="Arial"/>
                <w:sz w:val="18"/>
                <w:szCs w:val="18"/>
              </w:rPr>
            </w:pPr>
            <w:r>
              <w:rPr>
                <w:rFonts w:ascii="Arial" w:hAnsi="Arial" w:cs="Arial"/>
                <w:sz w:val="18"/>
                <w:szCs w:val="18"/>
              </w:rPr>
              <w:t>Bestätigung, dass die Verantwortlichen der Risikomanagementfunktion sich fortlaufend fachlich adäquat weiterbilden</w:t>
            </w:r>
          </w:p>
        </w:tc>
        <w:tc>
          <w:tcPr>
            <w:tcW w:w="3382" w:type="dxa"/>
          </w:tcPr>
          <w:p w14:paraId="3F193D9A" w14:textId="77777777" w:rsidR="0036650A" w:rsidRPr="00E109DF" w:rsidRDefault="0036650A" w:rsidP="0036650A">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3063F" w:rsidRPr="009872F3" w14:paraId="25575D67" w14:textId="77777777" w:rsidTr="00BC19D0">
        <w:tc>
          <w:tcPr>
            <w:tcW w:w="5798" w:type="dxa"/>
            <w:gridSpan w:val="3"/>
          </w:tcPr>
          <w:p w14:paraId="7D903F8F" w14:textId="09950155" w:rsidR="0003063F" w:rsidRDefault="0003063F" w:rsidP="003E2995">
            <w:pPr>
              <w:jc w:val="both"/>
              <w:rPr>
                <w:rFonts w:ascii="Arial" w:hAnsi="Arial" w:cs="Arial"/>
                <w:sz w:val="18"/>
                <w:szCs w:val="18"/>
              </w:rPr>
            </w:pPr>
            <w:r>
              <w:rPr>
                <w:rFonts w:ascii="Arial" w:hAnsi="Arial" w:cs="Arial"/>
                <w:sz w:val="18"/>
                <w:szCs w:val="18"/>
              </w:rPr>
              <w:t>Bestätigung, dass das Risikomanagement-Rahmenwerk (inkl. ICAAP und ILAAP - Rahmenwerk) unter Berücksichtigung des Proportionalitätsgrundsatzes angemessen ausgestaltet ist.</w:t>
            </w:r>
          </w:p>
        </w:tc>
        <w:tc>
          <w:tcPr>
            <w:tcW w:w="3382" w:type="dxa"/>
          </w:tcPr>
          <w:p w14:paraId="21E33AE6" w14:textId="77777777" w:rsidR="0003063F" w:rsidRPr="00E109DF" w:rsidRDefault="0003063F"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3A6F5B6" w14:textId="77777777" w:rsidR="00743771" w:rsidRDefault="00743771" w:rsidP="00743771">
      <w:pPr>
        <w:jc w:val="both"/>
      </w:pPr>
    </w:p>
    <w:tbl>
      <w:tblPr>
        <w:tblStyle w:val="Tabellenraster"/>
        <w:tblW w:w="0" w:type="auto"/>
        <w:tblLook w:val="04A0" w:firstRow="1" w:lastRow="0" w:firstColumn="1" w:lastColumn="0" w:noHBand="0" w:noVBand="1"/>
      </w:tblPr>
      <w:tblGrid>
        <w:gridCol w:w="2660"/>
        <w:gridCol w:w="6520"/>
      </w:tblGrid>
      <w:tr w:rsidR="006E1DCF" w:rsidRPr="00CE3194" w14:paraId="4A86C9A3" w14:textId="77777777" w:rsidTr="00BC19D0">
        <w:tc>
          <w:tcPr>
            <w:tcW w:w="2660" w:type="dxa"/>
          </w:tcPr>
          <w:p w14:paraId="572D10EC" w14:textId="77777777" w:rsidR="006E1DCF" w:rsidRPr="00CE3194" w:rsidRDefault="006E1DCF"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6EF0459" w14:textId="77777777" w:rsidR="006E1DCF" w:rsidRPr="00CE3194" w:rsidRDefault="008F13CA"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6E1DCF" w:rsidRPr="00CE3194" w14:paraId="3EA40700" w14:textId="77777777" w:rsidTr="00BC19D0">
        <w:tc>
          <w:tcPr>
            <w:tcW w:w="2660" w:type="dxa"/>
          </w:tcPr>
          <w:p w14:paraId="2FF23D12" w14:textId="77777777" w:rsidR="006E1DCF" w:rsidRPr="00CE3194" w:rsidRDefault="006E1DCF" w:rsidP="00BC19D0">
            <w:pPr>
              <w:jc w:val="both"/>
              <w:rPr>
                <w:rFonts w:ascii="Arial" w:hAnsi="Arial" w:cs="Arial"/>
                <w:i/>
                <w:sz w:val="20"/>
                <w:szCs w:val="20"/>
                <w:highlight w:val="lightGray"/>
              </w:rPr>
            </w:pPr>
            <w:r>
              <w:rPr>
                <w:rFonts w:ascii="Arial" w:hAnsi="Arial" w:cs="Arial"/>
                <w:i/>
                <w:sz w:val="20"/>
                <w:szCs w:val="20"/>
                <w:highlight w:val="lightGray"/>
              </w:rPr>
              <w:t>Ausgestaltung der Risikomanagementfunktion inkl. Richtlinie Risikomanagement</w:t>
            </w:r>
          </w:p>
        </w:tc>
        <w:tc>
          <w:tcPr>
            <w:tcW w:w="6520" w:type="dxa"/>
          </w:tcPr>
          <w:p w14:paraId="7B1DA09F"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ist unabhängig ausgestaltet</w:t>
            </w:r>
            <w:r w:rsidR="00AF63C5">
              <w:rPr>
                <w:rFonts w:cs="Arial"/>
                <w:i/>
                <w:szCs w:val="20"/>
                <w:highlight w:val="lightGray"/>
              </w:rPr>
              <w:t>, u.a. unter Analyse des Entschädigungssystem</w:t>
            </w:r>
          </w:p>
          <w:p w14:paraId="3AA7DFBC"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553EFF65" w14:textId="5B14339E"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w:t>
            </w:r>
            <w:r w:rsidR="008F0E6F">
              <w:rPr>
                <w:rFonts w:cs="Arial"/>
                <w:i/>
                <w:szCs w:val="20"/>
                <w:highlight w:val="lightGray"/>
              </w:rPr>
              <w:t>t</w:t>
            </w:r>
            <w:r>
              <w:rPr>
                <w:rFonts w:cs="Arial"/>
                <w:i/>
                <w:szCs w:val="20"/>
                <w:highlight w:val="lightGray"/>
              </w:rPr>
              <w:t>funktion ist ressourcentechnisch (personell</w:t>
            </w:r>
            <w:r w:rsidR="00EE5944">
              <w:rPr>
                <w:rFonts w:cs="Arial"/>
                <w:i/>
                <w:szCs w:val="20"/>
                <w:highlight w:val="lightGray"/>
              </w:rPr>
              <w:t>e</w:t>
            </w:r>
            <w:r>
              <w:rPr>
                <w:rFonts w:cs="Arial"/>
                <w:i/>
                <w:szCs w:val="20"/>
                <w:highlight w:val="lightGray"/>
              </w:rPr>
              <w:t xml:space="preserve"> und technische Ressourcen) angemessen</w:t>
            </w:r>
          </w:p>
          <w:p w14:paraId="6CD8A632" w14:textId="77777777" w:rsidR="006E1DCF"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Mitarbeiter im Risikomanagement werden regelmässig weitergebildet</w:t>
            </w:r>
          </w:p>
          <w:p w14:paraId="4E6CCA91" w14:textId="77777777" w:rsidR="006E1DCF" w:rsidRPr="00CE3194" w:rsidRDefault="006E1DCF" w:rsidP="006E1DCF">
            <w:pPr>
              <w:pStyle w:val="Listenabsatz"/>
              <w:numPr>
                <w:ilvl w:val="1"/>
                <w:numId w:val="17"/>
              </w:numPr>
              <w:ind w:left="317" w:hanging="283"/>
              <w:jc w:val="both"/>
              <w:rPr>
                <w:rFonts w:cs="Arial"/>
                <w:i/>
                <w:szCs w:val="20"/>
                <w:highlight w:val="lightGray"/>
              </w:rPr>
            </w:pPr>
            <w:r>
              <w:rPr>
                <w:rFonts w:cs="Arial"/>
                <w:i/>
                <w:szCs w:val="20"/>
                <w:highlight w:val="lightGray"/>
              </w:rPr>
              <w:t>Die Risikomanagementfunktion kann ungefiltert an den Verwaltungsrat berichten</w:t>
            </w:r>
          </w:p>
        </w:tc>
      </w:tr>
      <w:tr w:rsidR="0003063F" w:rsidRPr="00CE3194" w14:paraId="1B661034" w14:textId="77777777" w:rsidTr="00BC19D0">
        <w:tc>
          <w:tcPr>
            <w:tcW w:w="2660" w:type="dxa"/>
          </w:tcPr>
          <w:p w14:paraId="35AD5B2D" w14:textId="77777777" w:rsidR="0003063F" w:rsidRDefault="0003063F" w:rsidP="00BC19D0">
            <w:pPr>
              <w:jc w:val="both"/>
              <w:rPr>
                <w:rFonts w:ascii="Arial" w:hAnsi="Arial" w:cs="Arial"/>
                <w:i/>
                <w:sz w:val="20"/>
                <w:szCs w:val="20"/>
                <w:highlight w:val="lightGray"/>
              </w:rPr>
            </w:pPr>
            <w:r>
              <w:rPr>
                <w:rFonts w:ascii="Arial" w:hAnsi="Arial" w:cs="Arial"/>
                <w:i/>
                <w:sz w:val="20"/>
                <w:szCs w:val="20"/>
                <w:highlight w:val="lightGray"/>
              </w:rPr>
              <w:t>Ausgestaltung des Risikomanagement-Rahmenwerks (inkl. ICAAP / ILAAP Rahmenwerk) unter Berücksichtigung des Proportionalitätsgrundsatz</w:t>
            </w:r>
          </w:p>
        </w:tc>
        <w:tc>
          <w:tcPr>
            <w:tcW w:w="6520" w:type="dxa"/>
          </w:tcPr>
          <w:p w14:paraId="568F8E76"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 xml:space="preserve">Das Rahmenwerk stellt die Identifizierung und Quantifizierung sämtlicher wesentlicher Risiken sicher inkl. den Risiken aus dem makroökonomischen Umfeld und geopolitische Risiken </w:t>
            </w:r>
          </w:p>
          <w:p w14:paraId="5C5918C9"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nutzt zur Quantifizierung u.a. risikoadjustierte Erfolgskennzahlen</w:t>
            </w:r>
          </w:p>
          <w:p w14:paraId="6118C1A4" w14:textId="398BA5DD"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steht in Ei</w:t>
            </w:r>
            <w:r w:rsidR="00EE5944">
              <w:rPr>
                <w:rFonts w:cs="Arial"/>
                <w:i/>
                <w:szCs w:val="20"/>
                <w:highlight w:val="lightGray"/>
              </w:rPr>
              <w:t>nklang mit dem Risikoappetit der Bank oder Wertpapierfirma</w:t>
            </w:r>
            <w:r>
              <w:rPr>
                <w:rFonts w:cs="Arial"/>
                <w:i/>
                <w:szCs w:val="20"/>
                <w:highlight w:val="lightGray"/>
              </w:rPr>
              <w:t xml:space="preserve"> / Gruppe (konsistentes und validiertes Limitwesen)</w:t>
            </w:r>
          </w:p>
          <w:p w14:paraId="0DC99CA1"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berücksichtigt die bankinterne Budgetierung und Mehrjahresplanung</w:t>
            </w:r>
          </w:p>
          <w:p w14:paraId="0A8A7D1F"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wurde in die Gesamtbanksteuerung konsistent integriert</w:t>
            </w:r>
          </w:p>
          <w:p w14:paraId="7DEEBD50"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gewährleistet die Etablierung angemessener Management-Puffer</w:t>
            </w:r>
          </w:p>
          <w:p w14:paraId="4AE1A8F6" w14:textId="77777777" w:rsidR="0003063F" w:rsidRDefault="0003063F" w:rsidP="004D604F">
            <w:pPr>
              <w:pStyle w:val="Listenabsatz"/>
              <w:numPr>
                <w:ilvl w:val="1"/>
                <w:numId w:val="17"/>
              </w:numPr>
              <w:ind w:left="317" w:hanging="283"/>
              <w:jc w:val="both"/>
              <w:rPr>
                <w:rFonts w:cs="Arial"/>
                <w:i/>
                <w:szCs w:val="20"/>
                <w:highlight w:val="lightGray"/>
              </w:rPr>
            </w:pPr>
            <w:r>
              <w:rPr>
                <w:rFonts w:cs="Arial"/>
                <w:i/>
                <w:szCs w:val="20"/>
                <w:highlight w:val="lightGray"/>
              </w:rPr>
              <w:t>Das Rahmenwerk inkludiert ein unabhängiges und regelmässiges internes Überprüfungsverfahren des Risikomanagement-Rahmenwerks sowie Verfahren zur Weiterentwicklung</w:t>
            </w:r>
          </w:p>
          <w:p w14:paraId="4E1BCBCB" w14:textId="77777777" w:rsidR="0003063F" w:rsidRDefault="0003063F" w:rsidP="006E1DCF">
            <w:pPr>
              <w:pStyle w:val="Listenabsatz"/>
              <w:numPr>
                <w:ilvl w:val="1"/>
                <w:numId w:val="17"/>
              </w:numPr>
              <w:ind w:left="317" w:hanging="283"/>
              <w:jc w:val="both"/>
              <w:rPr>
                <w:rFonts w:cs="Arial"/>
                <w:i/>
                <w:szCs w:val="20"/>
                <w:highlight w:val="lightGray"/>
              </w:rPr>
            </w:pPr>
            <w:r>
              <w:rPr>
                <w:rFonts w:cs="Arial"/>
                <w:i/>
                <w:szCs w:val="20"/>
                <w:highlight w:val="lightGray"/>
              </w:rPr>
              <w:t>Das Rahmenwerk stellt sicher, dass die Ergebnisse aus dem Risikomanagement tatsächlich zur Steuerung von Risiken und nicht bloss zur Optimierung regulatorischer Kennzahlen verwendet werden („use-test“)</w:t>
            </w:r>
          </w:p>
        </w:tc>
      </w:tr>
    </w:tbl>
    <w:p w14:paraId="35884C1F" w14:textId="77777777" w:rsidR="00743771" w:rsidRDefault="00743771" w:rsidP="00743771">
      <w:pPr>
        <w:jc w:val="both"/>
      </w:pPr>
    </w:p>
    <w:p w14:paraId="48DD01B3" w14:textId="77777777" w:rsidR="00EE5944" w:rsidRPr="00276C60" w:rsidRDefault="00EE5944" w:rsidP="00EE5944">
      <w:pPr>
        <w:jc w:val="both"/>
        <w:rPr>
          <w:rFonts w:ascii="Arial" w:hAnsi="Arial" w:cs="Arial"/>
          <w:i/>
          <w:sz w:val="20"/>
          <w:szCs w:val="20"/>
        </w:rPr>
      </w:pPr>
      <w:r w:rsidRPr="00276C60">
        <w:rPr>
          <w:rFonts w:ascii="Arial" w:hAnsi="Arial" w:cs="Arial"/>
          <w:i/>
          <w:sz w:val="20"/>
          <w:szCs w:val="20"/>
          <w:highlight w:val="yellow"/>
        </w:rPr>
        <w:t>Text</w:t>
      </w:r>
    </w:p>
    <w:p w14:paraId="655C6CBB" w14:textId="77777777" w:rsidR="006E1DCF" w:rsidRDefault="006E1DCF" w:rsidP="00743771">
      <w:pPr>
        <w:jc w:val="both"/>
      </w:pPr>
    </w:p>
    <w:p w14:paraId="300ADE5F" w14:textId="77777777" w:rsidR="005147EB" w:rsidRDefault="008C30D1" w:rsidP="006F7AB5">
      <w:pPr>
        <w:pStyle w:val="FINMAGliederungEbene3"/>
      </w:pPr>
      <w:bookmarkStart w:id="64" w:name="_Toc147849918"/>
      <w:r>
        <w:t>Interne Kontrollfunktion: Compliance</w:t>
      </w:r>
      <w:r w:rsidR="00543DCA">
        <w:t xml:space="preserve"> (GOV-5)</w:t>
      </w:r>
      <w:bookmarkEnd w:id="64"/>
    </w:p>
    <w:p w14:paraId="2C01B2E9" w14:textId="77777777" w:rsidR="005147EB" w:rsidRDefault="005147EB" w:rsidP="005147EB">
      <w:pPr>
        <w:jc w:val="both"/>
      </w:pPr>
    </w:p>
    <w:tbl>
      <w:tblPr>
        <w:tblStyle w:val="Tabellenraster"/>
        <w:tblW w:w="0" w:type="auto"/>
        <w:tblLook w:val="04A0" w:firstRow="1" w:lastRow="0" w:firstColumn="1" w:lastColumn="0" w:noHBand="0" w:noVBand="1"/>
      </w:tblPr>
      <w:tblGrid>
        <w:gridCol w:w="1932"/>
        <w:gridCol w:w="2145"/>
        <w:gridCol w:w="1721"/>
        <w:gridCol w:w="3382"/>
      </w:tblGrid>
      <w:tr w:rsidR="005147EB" w:rsidRPr="009872F3" w14:paraId="259D49AF" w14:textId="77777777" w:rsidTr="00BC19D0">
        <w:trPr>
          <w:trHeight w:val="563"/>
        </w:trPr>
        <w:tc>
          <w:tcPr>
            <w:tcW w:w="1932" w:type="dxa"/>
          </w:tcPr>
          <w:p w14:paraId="58396AA9"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2DBDC351"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63FABFCF"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147EB" w:rsidRPr="009872F3" w14:paraId="6F4D2AF9" w14:textId="77777777" w:rsidTr="00BC19D0">
        <w:trPr>
          <w:trHeight w:val="698"/>
        </w:trPr>
        <w:tc>
          <w:tcPr>
            <w:tcW w:w="1932" w:type="dxa"/>
          </w:tcPr>
          <w:p w14:paraId="1E207E1E" w14:textId="242B81F7"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5F92F992" w14:textId="77777777" w:rsidR="005147EB" w:rsidRPr="006749F0" w:rsidRDefault="005147EB"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47D4A7B" w14:textId="77777777" w:rsidR="005147EB" w:rsidRPr="009872F3" w:rsidRDefault="005147EB"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59F0E7F" w14:textId="77777777" w:rsidR="005147EB" w:rsidRDefault="005147EB"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71FC18B7" w14:textId="77777777" w:rsidR="005147EB" w:rsidRPr="006749F0" w:rsidRDefault="005147EB" w:rsidP="00BC19D0">
            <w:pPr>
              <w:jc w:val="both"/>
              <w:rPr>
                <w:rFonts w:ascii="Arial" w:hAnsi="Arial" w:cs="Arial"/>
                <w:i/>
                <w:sz w:val="18"/>
                <w:szCs w:val="18"/>
              </w:rPr>
            </w:pPr>
            <w:r w:rsidRPr="006749F0">
              <w:rPr>
                <w:rFonts w:ascii="Arial" w:hAnsi="Arial" w:cs="Arial"/>
                <w:i/>
                <w:sz w:val="18"/>
                <w:szCs w:val="18"/>
                <w:highlight w:val="yellow"/>
              </w:rPr>
              <w:t>Jahr</w:t>
            </w:r>
          </w:p>
        </w:tc>
      </w:tr>
      <w:tr w:rsidR="005147EB" w:rsidRPr="00301F5D" w14:paraId="7BCDEF86" w14:textId="77777777" w:rsidTr="00BC19D0">
        <w:trPr>
          <w:trHeight w:val="636"/>
        </w:trPr>
        <w:tc>
          <w:tcPr>
            <w:tcW w:w="9180" w:type="dxa"/>
            <w:gridSpan w:val="4"/>
          </w:tcPr>
          <w:p w14:paraId="7E769474" w14:textId="77777777" w:rsidR="005147EB" w:rsidRDefault="005147EB" w:rsidP="00BC19D0">
            <w:pPr>
              <w:jc w:val="both"/>
              <w:rPr>
                <w:rFonts w:ascii="Arial" w:hAnsi="Arial" w:cs="Arial"/>
                <w:sz w:val="18"/>
                <w:szCs w:val="18"/>
              </w:rPr>
            </w:pPr>
          </w:p>
          <w:p w14:paraId="262A2C0A" w14:textId="77777777" w:rsidR="005147EB" w:rsidRPr="00F60909" w:rsidRDefault="005147EB"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AE845E3" w14:textId="5F1BE295" w:rsidR="005147EB" w:rsidRPr="00A72EFF" w:rsidRDefault="005147EB" w:rsidP="00BC19D0">
            <w:pPr>
              <w:jc w:val="both"/>
              <w:rPr>
                <w:rFonts w:ascii="Arial" w:hAnsi="Arial" w:cs="Arial"/>
                <w:sz w:val="18"/>
                <w:szCs w:val="18"/>
              </w:rPr>
            </w:pPr>
            <w:r w:rsidRPr="00A72EFF">
              <w:rPr>
                <w:rFonts w:ascii="Arial" w:hAnsi="Arial" w:cs="Arial"/>
                <w:sz w:val="18"/>
                <w:szCs w:val="18"/>
                <w:highlight w:val="yellow"/>
              </w:rPr>
              <w:t>Art. 7a BankG;</w:t>
            </w:r>
            <w:r w:rsidR="00301F5D" w:rsidRPr="00A72EFF">
              <w:rPr>
                <w:rFonts w:ascii="Arial" w:hAnsi="Arial" w:cs="Arial"/>
                <w:sz w:val="18"/>
                <w:szCs w:val="18"/>
                <w:highlight w:val="yellow"/>
              </w:rPr>
              <w:t xml:space="preserve"> </w:t>
            </w:r>
            <w:r w:rsidRPr="00A72EFF">
              <w:rPr>
                <w:rFonts w:ascii="Arial" w:hAnsi="Arial" w:cs="Arial"/>
                <w:sz w:val="18"/>
                <w:szCs w:val="18"/>
                <w:highlight w:val="yellow"/>
              </w:rPr>
              <w:t xml:space="preserve">Art. 34a BankV; </w:t>
            </w:r>
            <w:r w:rsidR="00F625F5" w:rsidRPr="00A72EFF">
              <w:rPr>
                <w:rFonts w:ascii="Arial" w:hAnsi="Arial" w:cs="Arial"/>
                <w:sz w:val="18"/>
                <w:szCs w:val="18"/>
                <w:highlight w:val="yellow"/>
              </w:rPr>
              <w:t xml:space="preserve">Art. 27b ff. BankV, </w:t>
            </w:r>
            <w:r w:rsidRPr="00A72EFF">
              <w:rPr>
                <w:rFonts w:ascii="Arial" w:hAnsi="Arial" w:cs="Arial"/>
                <w:sz w:val="18"/>
                <w:szCs w:val="18"/>
                <w:highlight w:val="yellow"/>
              </w:rPr>
              <w:t xml:space="preserve">Anhang 4.3 BankV; </w:t>
            </w:r>
            <w:r w:rsidR="00E667CF" w:rsidRPr="005B66F8">
              <w:rPr>
                <w:rFonts w:ascii="Arial" w:hAnsi="Arial" w:cs="Arial"/>
                <w:sz w:val="18"/>
                <w:szCs w:val="18"/>
                <w:highlight w:val="yellow"/>
              </w:rPr>
              <w:t>EBA/GL/2021/05; EBA/GL/2018/03</w:t>
            </w:r>
          </w:p>
        </w:tc>
      </w:tr>
      <w:tr w:rsidR="005147EB" w:rsidRPr="00301F5D" w14:paraId="703744DC" w14:textId="77777777" w:rsidTr="00BC19D0">
        <w:trPr>
          <w:trHeight w:val="294"/>
        </w:trPr>
        <w:tc>
          <w:tcPr>
            <w:tcW w:w="9180" w:type="dxa"/>
            <w:gridSpan w:val="4"/>
          </w:tcPr>
          <w:p w14:paraId="266AF49F" w14:textId="77777777" w:rsidR="005147EB" w:rsidRPr="00A72EFF" w:rsidRDefault="005147EB" w:rsidP="00BC19D0">
            <w:pPr>
              <w:jc w:val="both"/>
              <w:rPr>
                <w:rFonts w:ascii="Arial" w:hAnsi="Arial" w:cs="Arial"/>
                <w:sz w:val="18"/>
                <w:szCs w:val="18"/>
              </w:rPr>
            </w:pPr>
          </w:p>
        </w:tc>
      </w:tr>
      <w:tr w:rsidR="005147EB" w:rsidRPr="009872F3" w14:paraId="0842E124" w14:textId="77777777" w:rsidTr="00BC19D0">
        <w:tc>
          <w:tcPr>
            <w:tcW w:w="5798" w:type="dxa"/>
            <w:gridSpan w:val="3"/>
          </w:tcPr>
          <w:p w14:paraId="1359A89B" w14:textId="5E6B6B65" w:rsidR="005147EB" w:rsidRPr="009872F3" w:rsidRDefault="005147EB"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Compliance-Funktion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1A5FF5F" w14:textId="77777777" w:rsidR="005147EB" w:rsidRPr="00E109DF" w:rsidRDefault="005147EB"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514E59CF" w14:textId="77777777" w:rsidTr="00BC19D0">
        <w:tc>
          <w:tcPr>
            <w:tcW w:w="5798" w:type="dxa"/>
            <w:gridSpan w:val="3"/>
          </w:tcPr>
          <w:p w14:paraId="08C3DED9" w14:textId="77777777" w:rsidR="005147EB" w:rsidRPr="009872F3" w:rsidRDefault="005147EB" w:rsidP="005147EB">
            <w:pPr>
              <w:jc w:val="both"/>
              <w:rPr>
                <w:rFonts w:ascii="Arial" w:hAnsi="Arial" w:cs="Arial"/>
                <w:sz w:val="18"/>
                <w:szCs w:val="18"/>
              </w:rPr>
            </w:pPr>
            <w:r>
              <w:rPr>
                <w:rFonts w:ascii="Arial" w:hAnsi="Arial" w:cs="Arial"/>
                <w:sz w:val="18"/>
                <w:szCs w:val="18"/>
              </w:rPr>
              <w:t>Bestätigung, dass die Verantwortlichkeiten und Kompetenzen der Compliance-Funktion angemessen ausgestaltet sind</w:t>
            </w:r>
          </w:p>
        </w:tc>
        <w:tc>
          <w:tcPr>
            <w:tcW w:w="3382" w:type="dxa"/>
          </w:tcPr>
          <w:p w14:paraId="5D48EA38"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18959DE" w14:textId="77777777" w:rsidTr="00BC19D0">
        <w:trPr>
          <w:trHeight w:val="123"/>
        </w:trPr>
        <w:tc>
          <w:tcPr>
            <w:tcW w:w="5798" w:type="dxa"/>
            <w:gridSpan w:val="3"/>
          </w:tcPr>
          <w:p w14:paraId="45D83084" w14:textId="77777777" w:rsidR="005147EB" w:rsidRDefault="005147EB"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11CA1B63" w14:textId="77777777" w:rsidR="005147EB" w:rsidRPr="009872F3" w:rsidRDefault="005147EB"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6AC131A8" w14:textId="77777777" w:rsidTr="00BC19D0">
        <w:tc>
          <w:tcPr>
            <w:tcW w:w="5798" w:type="dxa"/>
            <w:gridSpan w:val="3"/>
          </w:tcPr>
          <w:p w14:paraId="5D495644" w14:textId="77777777" w:rsidR="005147EB" w:rsidRDefault="005147EB" w:rsidP="00BC19D0">
            <w:pPr>
              <w:jc w:val="both"/>
              <w:rPr>
                <w:rFonts w:ascii="Arial" w:hAnsi="Arial" w:cs="Arial"/>
                <w:sz w:val="18"/>
                <w:szCs w:val="18"/>
              </w:rPr>
            </w:pPr>
            <w:r>
              <w:rPr>
                <w:rFonts w:ascii="Arial" w:hAnsi="Arial" w:cs="Arial"/>
                <w:sz w:val="18"/>
                <w:szCs w:val="18"/>
              </w:rPr>
              <w:t>Bestätigung, dass die internen Verfahren ein angemessenes Berichterstattungswesen sicherstellen</w:t>
            </w:r>
          </w:p>
        </w:tc>
        <w:tc>
          <w:tcPr>
            <w:tcW w:w="3382" w:type="dxa"/>
          </w:tcPr>
          <w:p w14:paraId="617F4684"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1B57BE38" w14:textId="77777777" w:rsidTr="00BC19D0">
        <w:tc>
          <w:tcPr>
            <w:tcW w:w="5798" w:type="dxa"/>
            <w:gridSpan w:val="3"/>
          </w:tcPr>
          <w:p w14:paraId="109AF5F7" w14:textId="77777777" w:rsidR="005147EB" w:rsidRDefault="005147EB" w:rsidP="00BC19D0">
            <w:pPr>
              <w:jc w:val="both"/>
              <w:rPr>
                <w:rFonts w:ascii="Arial" w:hAnsi="Arial" w:cs="Arial"/>
                <w:sz w:val="18"/>
                <w:szCs w:val="18"/>
              </w:rPr>
            </w:pPr>
            <w:r>
              <w:rPr>
                <w:rFonts w:ascii="Arial" w:hAnsi="Arial" w:cs="Arial"/>
                <w:sz w:val="18"/>
                <w:szCs w:val="18"/>
              </w:rPr>
              <w:t>Bestätigung, dass interne Verfahren bestehen, welche sicherstellen, dass die Compliance-Funktion die Gesetzeskonformität der Geschäftstätigkeit laufend beurteilt</w:t>
            </w:r>
          </w:p>
        </w:tc>
        <w:tc>
          <w:tcPr>
            <w:tcW w:w="3382" w:type="dxa"/>
          </w:tcPr>
          <w:p w14:paraId="23DAC8D8"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147EB" w:rsidRPr="009872F3" w14:paraId="3E9CC8E3" w14:textId="77777777" w:rsidTr="00BC19D0">
        <w:tc>
          <w:tcPr>
            <w:tcW w:w="5798" w:type="dxa"/>
            <w:gridSpan w:val="3"/>
          </w:tcPr>
          <w:p w14:paraId="10292338" w14:textId="77777777" w:rsidR="005147EB" w:rsidRDefault="005147EB" w:rsidP="00BC19D0">
            <w:pPr>
              <w:jc w:val="both"/>
              <w:rPr>
                <w:rFonts w:ascii="Arial" w:hAnsi="Arial" w:cs="Arial"/>
                <w:sz w:val="18"/>
                <w:szCs w:val="18"/>
              </w:rPr>
            </w:pPr>
            <w:r>
              <w:rPr>
                <w:rFonts w:ascii="Arial" w:hAnsi="Arial" w:cs="Arial"/>
                <w:sz w:val="18"/>
                <w:szCs w:val="18"/>
              </w:rPr>
              <w:t>Bestätigung, dass der Prüfplan der Compliance-Funktion auf einem risikobasierten Ansatz beruht und angemessen ist</w:t>
            </w:r>
          </w:p>
        </w:tc>
        <w:tc>
          <w:tcPr>
            <w:tcW w:w="3382" w:type="dxa"/>
          </w:tcPr>
          <w:p w14:paraId="1538C9A7" w14:textId="77777777" w:rsidR="005147EB" w:rsidRPr="00E109DF" w:rsidRDefault="005147EB"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D40BFD" w:rsidRPr="009872F3" w14:paraId="069EB52A" w14:textId="77777777" w:rsidTr="00BC19D0">
        <w:tc>
          <w:tcPr>
            <w:tcW w:w="5798" w:type="dxa"/>
            <w:gridSpan w:val="3"/>
          </w:tcPr>
          <w:p w14:paraId="180C42E0" w14:textId="618770C9" w:rsidR="00D40BFD" w:rsidRDefault="00D40BFD" w:rsidP="00BC19D0">
            <w:pPr>
              <w:jc w:val="both"/>
              <w:rPr>
                <w:rFonts w:ascii="Arial" w:hAnsi="Arial" w:cs="Arial"/>
                <w:sz w:val="18"/>
                <w:szCs w:val="18"/>
              </w:rPr>
            </w:pPr>
            <w:r>
              <w:rPr>
                <w:rFonts w:ascii="Arial" w:hAnsi="Arial" w:cs="Arial"/>
                <w:sz w:val="18"/>
                <w:szCs w:val="18"/>
              </w:rPr>
              <w:t xml:space="preserve">Bestätigung, dass der Tätigkeitsbericht der Compliance-Funktion die Prüfinhalte des Prüfplans angemessen abbildet. </w:t>
            </w:r>
          </w:p>
        </w:tc>
        <w:tc>
          <w:tcPr>
            <w:tcW w:w="3382" w:type="dxa"/>
          </w:tcPr>
          <w:p w14:paraId="296E46CB" w14:textId="2AFA46C1" w:rsidR="00D40BFD" w:rsidRPr="00E109DF" w:rsidRDefault="00D40BFD"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F625F5" w:rsidRPr="009872F3" w14:paraId="02B932FC" w14:textId="77777777" w:rsidTr="00BC19D0">
        <w:tc>
          <w:tcPr>
            <w:tcW w:w="5798" w:type="dxa"/>
            <w:gridSpan w:val="3"/>
          </w:tcPr>
          <w:p w14:paraId="78AA4A85" w14:textId="0171632E" w:rsidR="00F625F5" w:rsidRDefault="00F625F5" w:rsidP="00BC19D0">
            <w:pPr>
              <w:jc w:val="both"/>
              <w:rPr>
                <w:rFonts w:ascii="Arial" w:hAnsi="Arial" w:cs="Arial"/>
                <w:sz w:val="18"/>
                <w:szCs w:val="18"/>
              </w:rPr>
            </w:pPr>
            <w:r>
              <w:rPr>
                <w:rFonts w:ascii="Arial" w:hAnsi="Arial" w:cs="Arial"/>
                <w:sz w:val="18"/>
                <w:szCs w:val="18"/>
              </w:rPr>
              <w:t>Bestätigung, dass der Tätigkeitsbericht der Compliance-Funktion die regulatorischen Mindestinhalte vollständig und angemessen abbildet.</w:t>
            </w:r>
          </w:p>
        </w:tc>
        <w:tc>
          <w:tcPr>
            <w:tcW w:w="3382" w:type="dxa"/>
          </w:tcPr>
          <w:p w14:paraId="37F9BC4A" w14:textId="4E7FEBC3" w:rsidR="00F625F5" w:rsidRPr="00E109DF" w:rsidRDefault="00F625F5" w:rsidP="00BC19D0">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1FD36F4E" w14:textId="77777777" w:rsidR="005147EB" w:rsidRDefault="005147EB" w:rsidP="005147EB">
      <w:pPr>
        <w:jc w:val="both"/>
      </w:pPr>
    </w:p>
    <w:tbl>
      <w:tblPr>
        <w:tblStyle w:val="Tabellenraster"/>
        <w:tblW w:w="0" w:type="auto"/>
        <w:tblLook w:val="04A0" w:firstRow="1" w:lastRow="0" w:firstColumn="1" w:lastColumn="0" w:noHBand="0" w:noVBand="1"/>
      </w:tblPr>
      <w:tblGrid>
        <w:gridCol w:w="2660"/>
        <w:gridCol w:w="6520"/>
      </w:tblGrid>
      <w:tr w:rsidR="005147EB" w:rsidRPr="00CE3194" w14:paraId="1C019CE0" w14:textId="77777777" w:rsidTr="00BC19D0">
        <w:tc>
          <w:tcPr>
            <w:tcW w:w="2660" w:type="dxa"/>
          </w:tcPr>
          <w:p w14:paraId="0D61B7B7" w14:textId="77777777" w:rsidR="005147EB" w:rsidRPr="00CE3194" w:rsidRDefault="005147EB"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78D199AE" w14:textId="77777777" w:rsidR="005147EB" w:rsidRPr="00CE3194" w:rsidRDefault="00C01503"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5147EB" w:rsidRPr="00CE3194" w14:paraId="4B84A7ED" w14:textId="77777777" w:rsidTr="00BC19D0">
        <w:tc>
          <w:tcPr>
            <w:tcW w:w="2660" w:type="dxa"/>
          </w:tcPr>
          <w:p w14:paraId="04EC102D" w14:textId="77777777" w:rsidR="005147EB" w:rsidRPr="00CE3194" w:rsidRDefault="005147EB"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Compliance-Funktion </w:t>
            </w:r>
          </w:p>
        </w:tc>
        <w:tc>
          <w:tcPr>
            <w:tcW w:w="6520" w:type="dxa"/>
          </w:tcPr>
          <w:p w14:paraId="6F3536CE"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unabhängig ausgestaltet, u.a. unter Analyse des Entschädigungssystem</w:t>
            </w:r>
          </w:p>
          <w:p w14:paraId="67848055"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613C34B0"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Compliance-Funktion ist ressourcentechnisch (personell und technische Ressourcen) angemessen</w:t>
            </w:r>
          </w:p>
          <w:p w14:paraId="5DBE2EC9" w14:textId="77777777" w:rsidR="005147EB" w:rsidRDefault="005147EB" w:rsidP="00BC19D0">
            <w:pPr>
              <w:pStyle w:val="Listenabsatz"/>
              <w:numPr>
                <w:ilvl w:val="1"/>
                <w:numId w:val="17"/>
              </w:numPr>
              <w:ind w:left="317" w:hanging="283"/>
              <w:jc w:val="both"/>
              <w:rPr>
                <w:rFonts w:cs="Arial"/>
                <w:i/>
                <w:szCs w:val="20"/>
                <w:highlight w:val="lightGray"/>
              </w:rPr>
            </w:pPr>
            <w:r>
              <w:rPr>
                <w:rFonts w:cs="Arial"/>
                <w:i/>
                <w:szCs w:val="20"/>
                <w:highlight w:val="lightGray"/>
              </w:rPr>
              <w:t>Die Mitarbeiter im Compliance werden regelmässig weitergebildet</w:t>
            </w:r>
          </w:p>
          <w:p w14:paraId="6415AF9B" w14:textId="77777777" w:rsidR="005147EB"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Die Compliance-Funktion kann ungefiltert an den Verwaltungsrat berichten</w:t>
            </w:r>
          </w:p>
          <w:p w14:paraId="2EFEBE4D" w14:textId="77777777" w:rsidR="005147EB"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Die Compliance-Funktion prüft die Gesetzeskonformität der Geschäftstätigkeit laufend</w:t>
            </w:r>
          </w:p>
          <w:p w14:paraId="0C66FDB0" w14:textId="77777777" w:rsidR="00D40BFD" w:rsidRPr="002E5C20" w:rsidRDefault="005147EB" w:rsidP="005147EB">
            <w:pPr>
              <w:pStyle w:val="Listenabsatz"/>
              <w:numPr>
                <w:ilvl w:val="1"/>
                <w:numId w:val="17"/>
              </w:numPr>
              <w:ind w:left="317" w:hanging="283"/>
              <w:jc w:val="both"/>
              <w:rPr>
                <w:rFonts w:cs="Arial"/>
                <w:i/>
                <w:szCs w:val="20"/>
                <w:highlight w:val="lightGray"/>
              </w:rPr>
            </w:pPr>
            <w:r>
              <w:rPr>
                <w:rFonts w:cs="Arial"/>
                <w:i/>
                <w:szCs w:val="20"/>
                <w:highlight w:val="lightGray"/>
              </w:rPr>
              <w:t>Der Prüfplan der Compliance-Funktion ist risikobasiert und angemessen</w:t>
            </w:r>
          </w:p>
          <w:p w14:paraId="25C43746" w14:textId="77777777" w:rsidR="005147EB" w:rsidRPr="00685D19" w:rsidRDefault="00D40BFD" w:rsidP="005147EB">
            <w:pPr>
              <w:pStyle w:val="Listenabsatz"/>
              <w:numPr>
                <w:ilvl w:val="1"/>
                <w:numId w:val="17"/>
              </w:numPr>
              <w:ind w:left="317" w:hanging="283"/>
              <w:jc w:val="both"/>
              <w:rPr>
                <w:rFonts w:cs="Arial"/>
                <w:i/>
                <w:szCs w:val="20"/>
                <w:highlight w:val="lightGray"/>
              </w:rPr>
            </w:pPr>
            <w:r w:rsidRPr="002E5C20">
              <w:rPr>
                <w:rFonts w:cs="Arial"/>
                <w:i/>
                <w:szCs w:val="20"/>
                <w:highlight w:val="lightGray"/>
              </w:rPr>
              <w:t>Der Tätigkeitsbericht der Compliance-Funktion bildet die Prüfinhalte des Prüfplans angemessen ab.</w:t>
            </w:r>
            <w:r>
              <w:rPr>
                <w:rFonts w:cs="Arial"/>
                <w:i/>
                <w:szCs w:val="20"/>
              </w:rPr>
              <w:t xml:space="preserve"> </w:t>
            </w:r>
          </w:p>
          <w:p w14:paraId="7DD76683" w14:textId="73893D23" w:rsidR="00F625F5" w:rsidRPr="00CE3194" w:rsidRDefault="00F625F5" w:rsidP="005147EB">
            <w:pPr>
              <w:pStyle w:val="Listenabsatz"/>
              <w:numPr>
                <w:ilvl w:val="1"/>
                <w:numId w:val="17"/>
              </w:numPr>
              <w:ind w:left="317" w:hanging="283"/>
              <w:jc w:val="both"/>
              <w:rPr>
                <w:rFonts w:cs="Arial"/>
                <w:i/>
                <w:szCs w:val="20"/>
                <w:highlight w:val="lightGray"/>
              </w:rPr>
            </w:pPr>
            <w:r w:rsidRPr="00B037A6">
              <w:rPr>
                <w:rFonts w:cs="Arial"/>
                <w:i/>
                <w:szCs w:val="20"/>
                <w:highlight w:val="lightGray"/>
              </w:rPr>
              <w:t>Der Tätigkeitsbericht der Compliance-Funktion bildet die regulatorischen Mindestinhalte vollständig und angemessen ab.</w:t>
            </w:r>
          </w:p>
        </w:tc>
      </w:tr>
    </w:tbl>
    <w:p w14:paraId="3B2AFE26" w14:textId="77777777" w:rsidR="005147EB" w:rsidRDefault="005147EB" w:rsidP="005147EB">
      <w:pPr>
        <w:jc w:val="both"/>
      </w:pPr>
    </w:p>
    <w:p w14:paraId="7B64C37B" w14:textId="77777777" w:rsidR="00A243A0" w:rsidRPr="00276C60" w:rsidRDefault="00A243A0" w:rsidP="00A243A0">
      <w:pPr>
        <w:jc w:val="both"/>
        <w:rPr>
          <w:rFonts w:ascii="Arial" w:hAnsi="Arial" w:cs="Arial"/>
          <w:i/>
          <w:sz w:val="20"/>
          <w:szCs w:val="20"/>
        </w:rPr>
      </w:pPr>
      <w:r w:rsidRPr="00276C60">
        <w:rPr>
          <w:rFonts w:ascii="Arial" w:hAnsi="Arial" w:cs="Arial"/>
          <w:i/>
          <w:sz w:val="20"/>
          <w:szCs w:val="20"/>
          <w:highlight w:val="yellow"/>
        </w:rPr>
        <w:t>Text</w:t>
      </w:r>
    </w:p>
    <w:p w14:paraId="63AC310E" w14:textId="77777777" w:rsidR="005147EB" w:rsidRDefault="005147EB" w:rsidP="005147EB">
      <w:pPr>
        <w:jc w:val="both"/>
      </w:pPr>
    </w:p>
    <w:p w14:paraId="5FE2CB2A" w14:textId="77777777" w:rsidR="008C30D1" w:rsidRDefault="008C30D1" w:rsidP="006F7AB5">
      <w:pPr>
        <w:pStyle w:val="FINMAGliederungEbene3"/>
      </w:pPr>
      <w:bookmarkStart w:id="65" w:name="_Toc147849919"/>
      <w:r>
        <w:t>Interne Kontrollfunktion: Interne Revision</w:t>
      </w:r>
      <w:r w:rsidR="00543DCA">
        <w:t xml:space="preserve"> (GOV-6)</w:t>
      </w:r>
      <w:bookmarkEnd w:id="65"/>
    </w:p>
    <w:p w14:paraId="1A98E560" w14:textId="77777777" w:rsidR="00246F1E" w:rsidRDefault="00246F1E" w:rsidP="00246F1E">
      <w:pPr>
        <w:jc w:val="both"/>
      </w:pPr>
    </w:p>
    <w:tbl>
      <w:tblPr>
        <w:tblStyle w:val="Tabellenraster"/>
        <w:tblW w:w="0" w:type="auto"/>
        <w:tblLook w:val="04A0" w:firstRow="1" w:lastRow="0" w:firstColumn="1" w:lastColumn="0" w:noHBand="0" w:noVBand="1"/>
      </w:tblPr>
      <w:tblGrid>
        <w:gridCol w:w="1932"/>
        <w:gridCol w:w="2145"/>
        <w:gridCol w:w="1721"/>
        <w:gridCol w:w="3382"/>
      </w:tblGrid>
      <w:tr w:rsidR="00246F1E" w:rsidRPr="009872F3" w14:paraId="3340A320" w14:textId="77777777" w:rsidTr="00BC19D0">
        <w:trPr>
          <w:trHeight w:val="563"/>
        </w:trPr>
        <w:tc>
          <w:tcPr>
            <w:tcW w:w="1932" w:type="dxa"/>
          </w:tcPr>
          <w:p w14:paraId="76A4428D"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169A21A6"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32098BB0"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246F1E" w:rsidRPr="009872F3" w14:paraId="643CD70A" w14:textId="77777777" w:rsidTr="00BC19D0">
        <w:trPr>
          <w:trHeight w:val="698"/>
        </w:trPr>
        <w:tc>
          <w:tcPr>
            <w:tcW w:w="1932" w:type="dxa"/>
          </w:tcPr>
          <w:p w14:paraId="51BEC157" w14:textId="3425946F"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1E0C01B8" w14:textId="77777777" w:rsidR="00246F1E" w:rsidRPr="006749F0" w:rsidRDefault="00246F1E"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DAAC4E3" w14:textId="77777777" w:rsidR="00246F1E" w:rsidRPr="009872F3" w:rsidRDefault="00246F1E"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B501886" w14:textId="77777777" w:rsidR="00246F1E" w:rsidRDefault="00246F1E"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AC9A146" w14:textId="77777777" w:rsidR="00246F1E" w:rsidRPr="006749F0" w:rsidRDefault="00246F1E" w:rsidP="00BC19D0">
            <w:pPr>
              <w:jc w:val="both"/>
              <w:rPr>
                <w:rFonts w:ascii="Arial" w:hAnsi="Arial" w:cs="Arial"/>
                <w:i/>
                <w:sz w:val="18"/>
                <w:szCs w:val="18"/>
              </w:rPr>
            </w:pPr>
            <w:r w:rsidRPr="006749F0">
              <w:rPr>
                <w:rFonts w:ascii="Arial" w:hAnsi="Arial" w:cs="Arial"/>
                <w:i/>
                <w:sz w:val="18"/>
                <w:szCs w:val="18"/>
                <w:highlight w:val="yellow"/>
              </w:rPr>
              <w:t>Jahr</w:t>
            </w:r>
          </w:p>
        </w:tc>
      </w:tr>
      <w:tr w:rsidR="00246F1E" w:rsidRPr="00E667CF" w14:paraId="07C47EB0" w14:textId="77777777" w:rsidTr="00BC19D0">
        <w:trPr>
          <w:trHeight w:val="636"/>
        </w:trPr>
        <w:tc>
          <w:tcPr>
            <w:tcW w:w="9180" w:type="dxa"/>
            <w:gridSpan w:val="4"/>
          </w:tcPr>
          <w:p w14:paraId="0D1287F5" w14:textId="77777777" w:rsidR="00246F1E" w:rsidRDefault="00246F1E" w:rsidP="00BC19D0">
            <w:pPr>
              <w:jc w:val="both"/>
              <w:rPr>
                <w:rFonts w:ascii="Arial" w:hAnsi="Arial" w:cs="Arial"/>
                <w:sz w:val="18"/>
                <w:szCs w:val="18"/>
              </w:rPr>
            </w:pPr>
          </w:p>
          <w:p w14:paraId="1AF67602" w14:textId="77777777" w:rsidR="00246F1E" w:rsidRPr="00F60909" w:rsidRDefault="00246F1E"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C19E072" w14:textId="6A749774" w:rsidR="00246F1E" w:rsidRPr="007B1593" w:rsidRDefault="00246F1E" w:rsidP="00BC19D0">
            <w:pPr>
              <w:jc w:val="both"/>
              <w:rPr>
                <w:rFonts w:ascii="Arial" w:hAnsi="Arial" w:cs="Arial"/>
                <w:sz w:val="18"/>
                <w:szCs w:val="18"/>
              </w:rPr>
            </w:pPr>
            <w:r w:rsidRPr="007B1593">
              <w:rPr>
                <w:rFonts w:ascii="Arial" w:hAnsi="Arial" w:cs="Arial"/>
                <w:sz w:val="18"/>
                <w:szCs w:val="18"/>
                <w:highlight w:val="yellow"/>
              </w:rPr>
              <w:t xml:space="preserve">Art. </w:t>
            </w:r>
            <w:r w:rsidR="00E667CF" w:rsidRPr="007B1593">
              <w:rPr>
                <w:rFonts w:ascii="Arial" w:hAnsi="Arial" w:cs="Arial"/>
                <w:sz w:val="18"/>
                <w:szCs w:val="18"/>
                <w:highlight w:val="yellow"/>
              </w:rPr>
              <w:t>10a</w:t>
            </w:r>
            <w:r w:rsidRPr="007B1593">
              <w:rPr>
                <w:rFonts w:ascii="Arial" w:hAnsi="Arial" w:cs="Arial"/>
                <w:sz w:val="18"/>
                <w:szCs w:val="18"/>
                <w:highlight w:val="yellow"/>
              </w:rPr>
              <w:t xml:space="preserve"> BankG; Anhang 4.3 BankV; </w:t>
            </w:r>
            <w:r w:rsidR="00E667CF" w:rsidRPr="005B66F8">
              <w:rPr>
                <w:rFonts w:ascii="Arial" w:hAnsi="Arial" w:cs="Arial"/>
                <w:sz w:val="18"/>
                <w:szCs w:val="18"/>
                <w:highlight w:val="yellow"/>
              </w:rPr>
              <w:t>EBA/GL/2021/05; EBA/GL/2018/03</w:t>
            </w:r>
          </w:p>
        </w:tc>
      </w:tr>
      <w:tr w:rsidR="00246F1E" w:rsidRPr="00E667CF" w14:paraId="701498B2" w14:textId="77777777" w:rsidTr="00BC19D0">
        <w:trPr>
          <w:trHeight w:val="294"/>
        </w:trPr>
        <w:tc>
          <w:tcPr>
            <w:tcW w:w="9180" w:type="dxa"/>
            <w:gridSpan w:val="4"/>
          </w:tcPr>
          <w:p w14:paraId="183CD06D" w14:textId="77777777" w:rsidR="00246F1E" w:rsidRPr="007B1593" w:rsidRDefault="00246F1E" w:rsidP="00BC19D0">
            <w:pPr>
              <w:jc w:val="both"/>
              <w:rPr>
                <w:rFonts w:ascii="Arial" w:hAnsi="Arial" w:cs="Arial"/>
                <w:sz w:val="18"/>
                <w:szCs w:val="18"/>
              </w:rPr>
            </w:pPr>
          </w:p>
        </w:tc>
      </w:tr>
      <w:tr w:rsidR="00246F1E" w:rsidRPr="009872F3" w14:paraId="1C595FD5" w14:textId="77777777" w:rsidTr="00BC19D0">
        <w:tc>
          <w:tcPr>
            <w:tcW w:w="5798" w:type="dxa"/>
            <w:gridSpan w:val="3"/>
          </w:tcPr>
          <w:p w14:paraId="6132E038" w14:textId="52DCD0D3" w:rsidR="00246F1E" w:rsidRPr="009872F3" w:rsidRDefault="003B19A8" w:rsidP="00D85688">
            <w:pPr>
              <w:jc w:val="both"/>
              <w:rPr>
                <w:rFonts w:ascii="Arial" w:hAnsi="Arial" w:cs="Arial"/>
                <w:sz w:val="18"/>
                <w:szCs w:val="18"/>
              </w:rPr>
            </w:pPr>
            <w:r>
              <w:rPr>
                <w:rFonts w:ascii="Arial" w:hAnsi="Arial" w:cs="Arial"/>
                <w:sz w:val="18"/>
                <w:szCs w:val="18"/>
              </w:rPr>
              <w:t xml:space="preserve">Bestätigung, dass die organisatorische Anordnung </w:t>
            </w:r>
            <w:r w:rsidR="00D85688">
              <w:rPr>
                <w:rFonts w:ascii="Arial" w:hAnsi="Arial" w:cs="Arial"/>
                <w:sz w:val="18"/>
                <w:szCs w:val="18"/>
              </w:rPr>
              <w:t>der Internen Revision</w:t>
            </w:r>
            <w:r>
              <w:rPr>
                <w:rFonts w:ascii="Arial" w:hAnsi="Arial" w:cs="Arial"/>
                <w:sz w:val="18"/>
                <w:szCs w:val="18"/>
              </w:rPr>
              <w:t xml:space="preserve"> und das Entschädigungssystem </w:t>
            </w:r>
            <w:r w:rsidR="00D85688">
              <w:rPr>
                <w:rFonts w:ascii="Arial" w:hAnsi="Arial" w:cs="Arial"/>
                <w:sz w:val="18"/>
                <w:szCs w:val="18"/>
              </w:rPr>
              <w:t xml:space="preserve">dieser </w:t>
            </w:r>
            <w:r>
              <w:rPr>
                <w:rFonts w:ascii="Arial" w:hAnsi="Arial" w:cs="Arial"/>
                <w:sz w:val="18"/>
                <w:szCs w:val="18"/>
              </w:rPr>
              <w:t xml:space="preserve">keine Zielkonflikte herbeiführen und </w:t>
            </w:r>
            <w:r w:rsidR="00D85688">
              <w:rPr>
                <w:rFonts w:ascii="Arial" w:hAnsi="Arial" w:cs="Arial"/>
                <w:sz w:val="18"/>
                <w:szCs w:val="18"/>
              </w:rPr>
              <w:t xml:space="preserve">deren </w:t>
            </w:r>
            <w:r>
              <w:rPr>
                <w:rFonts w:ascii="Arial" w:hAnsi="Arial" w:cs="Arial"/>
                <w:sz w:val="18"/>
                <w:szCs w:val="18"/>
              </w:rPr>
              <w:t>Unabhängigkeit nicht negativ beeinflussen</w:t>
            </w:r>
          </w:p>
        </w:tc>
        <w:tc>
          <w:tcPr>
            <w:tcW w:w="3382" w:type="dxa"/>
          </w:tcPr>
          <w:p w14:paraId="77D0B269" w14:textId="77777777" w:rsidR="00246F1E" w:rsidRPr="00E109DF" w:rsidRDefault="00246F1E"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244D81B3" w14:textId="77777777" w:rsidTr="00BC19D0">
        <w:tc>
          <w:tcPr>
            <w:tcW w:w="5798" w:type="dxa"/>
            <w:gridSpan w:val="3"/>
          </w:tcPr>
          <w:p w14:paraId="2BBE2142" w14:textId="7C44142D" w:rsidR="00246F1E" w:rsidRPr="009872F3" w:rsidRDefault="003B19A8" w:rsidP="003B19A8">
            <w:pPr>
              <w:jc w:val="both"/>
              <w:rPr>
                <w:rFonts w:ascii="Arial" w:hAnsi="Arial" w:cs="Arial"/>
                <w:sz w:val="18"/>
                <w:szCs w:val="18"/>
              </w:rPr>
            </w:pPr>
            <w:r>
              <w:rPr>
                <w:rFonts w:ascii="Arial" w:hAnsi="Arial" w:cs="Arial"/>
                <w:sz w:val="18"/>
                <w:szCs w:val="18"/>
              </w:rPr>
              <w:t xml:space="preserve">Bestätigung, dass die Verantwortlichkeiten und Kompetenzen der </w:t>
            </w:r>
            <w:r w:rsidR="00D85688">
              <w:rPr>
                <w:rFonts w:ascii="Arial" w:hAnsi="Arial" w:cs="Arial"/>
                <w:sz w:val="18"/>
                <w:szCs w:val="18"/>
              </w:rPr>
              <w:t>I</w:t>
            </w:r>
            <w:r>
              <w:rPr>
                <w:rFonts w:ascii="Arial" w:hAnsi="Arial" w:cs="Arial"/>
                <w:sz w:val="18"/>
                <w:szCs w:val="18"/>
              </w:rPr>
              <w:t>nternen Revision angemessen ausgestaltet sind</w:t>
            </w:r>
          </w:p>
        </w:tc>
        <w:tc>
          <w:tcPr>
            <w:tcW w:w="3382" w:type="dxa"/>
          </w:tcPr>
          <w:p w14:paraId="380EA144" w14:textId="77777777" w:rsidR="00246F1E" w:rsidRPr="009872F3" w:rsidRDefault="00246F1E"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57E60980" w14:textId="77777777" w:rsidTr="00BC19D0">
        <w:trPr>
          <w:trHeight w:val="123"/>
        </w:trPr>
        <w:tc>
          <w:tcPr>
            <w:tcW w:w="5798" w:type="dxa"/>
            <w:gridSpan w:val="3"/>
          </w:tcPr>
          <w:p w14:paraId="4C757B41" w14:textId="77777777" w:rsidR="00246F1E" w:rsidRDefault="003B19A8" w:rsidP="00BC19D0">
            <w:pPr>
              <w:jc w:val="both"/>
              <w:rPr>
                <w:rFonts w:ascii="Arial" w:hAnsi="Arial" w:cs="Arial"/>
                <w:sz w:val="18"/>
                <w:szCs w:val="18"/>
              </w:rPr>
            </w:pPr>
            <w:r>
              <w:rPr>
                <w:rFonts w:ascii="Arial" w:hAnsi="Arial" w:cs="Arial"/>
                <w:sz w:val="18"/>
                <w:szCs w:val="18"/>
              </w:rPr>
              <w:t>Bestätigung, dass die technischen und personellen Ressourcen angemessen sind</w:t>
            </w:r>
          </w:p>
        </w:tc>
        <w:tc>
          <w:tcPr>
            <w:tcW w:w="3382" w:type="dxa"/>
          </w:tcPr>
          <w:p w14:paraId="5206548A" w14:textId="77777777" w:rsidR="00246F1E" w:rsidRPr="009872F3" w:rsidRDefault="00246F1E"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646AA8C5" w14:textId="77777777" w:rsidTr="00BC19D0">
        <w:tc>
          <w:tcPr>
            <w:tcW w:w="5798" w:type="dxa"/>
            <w:gridSpan w:val="3"/>
          </w:tcPr>
          <w:p w14:paraId="2F074566" w14:textId="77777777" w:rsidR="00246F1E" w:rsidRDefault="003B19A8" w:rsidP="00BC19D0">
            <w:pPr>
              <w:jc w:val="both"/>
              <w:rPr>
                <w:rFonts w:ascii="Arial" w:hAnsi="Arial" w:cs="Arial"/>
                <w:sz w:val="18"/>
                <w:szCs w:val="18"/>
              </w:rPr>
            </w:pPr>
            <w:r>
              <w:rPr>
                <w:rFonts w:ascii="Arial" w:hAnsi="Arial" w:cs="Arial"/>
                <w:sz w:val="18"/>
                <w:szCs w:val="18"/>
              </w:rPr>
              <w:t xml:space="preserve">Bestätigung, dass die internen Verfahren und die Organisationsstruktur ein angemessenes Berichterstattungswesen </w:t>
            </w:r>
            <w:r w:rsidR="00D85688">
              <w:rPr>
                <w:rFonts w:ascii="Arial" w:hAnsi="Arial" w:cs="Arial"/>
                <w:sz w:val="18"/>
                <w:szCs w:val="18"/>
              </w:rPr>
              <w:t xml:space="preserve">der Internen Revision </w:t>
            </w:r>
            <w:r>
              <w:rPr>
                <w:rFonts w:ascii="Arial" w:hAnsi="Arial" w:cs="Arial"/>
                <w:sz w:val="18"/>
                <w:szCs w:val="18"/>
              </w:rPr>
              <w:t>sicherstellen</w:t>
            </w:r>
          </w:p>
        </w:tc>
        <w:tc>
          <w:tcPr>
            <w:tcW w:w="3382" w:type="dxa"/>
          </w:tcPr>
          <w:p w14:paraId="44FE21FC"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71B4BE89" w14:textId="77777777" w:rsidTr="00BC19D0">
        <w:tc>
          <w:tcPr>
            <w:tcW w:w="5798" w:type="dxa"/>
            <w:gridSpan w:val="3"/>
          </w:tcPr>
          <w:p w14:paraId="6AD980CE" w14:textId="15E31CFA" w:rsidR="00246F1E" w:rsidRDefault="003B19A8" w:rsidP="003B19A8">
            <w:pPr>
              <w:jc w:val="both"/>
              <w:rPr>
                <w:rFonts w:ascii="Arial" w:hAnsi="Arial" w:cs="Arial"/>
                <w:sz w:val="18"/>
                <w:szCs w:val="18"/>
              </w:rPr>
            </w:pPr>
            <w:r>
              <w:rPr>
                <w:rFonts w:ascii="Arial" w:hAnsi="Arial" w:cs="Arial"/>
                <w:sz w:val="18"/>
                <w:szCs w:val="18"/>
              </w:rPr>
              <w:t xml:space="preserve">Bestätigung, dass der Prüfplan der </w:t>
            </w:r>
            <w:r w:rsidR="00D85688">
              <w:rPr>
                <w:rFonts w:ascii="Arial" w:hAnsi="Arial" w:cs="Arial"/>
                <w:sz w:val="18"/>
                <w:szCs w:val="18"/>
              </w:rPr>
              <w:t>I</w:t>
            </w:r>
            <w:r>
              <w:rPr>
                <w:rFonts w:ascii="Arial" w:hAnsi="Arial" w:cs="Arial"/>
                <w:sz w:val="18"/>
                <w:szCs w:val="18"/>
              </w:rPr>
              <w:t>nternen Revision auf einem angemessenen risikobasierenden Ansatz beruht</w:t>
            </w:r>
            <w:r w:rsidR="00AB700D">
              <w:rPr>
                <w:rFonts w:ascii="Arial" w:hAnsi="Arial" w:cs="Arial"/>
                <w:sz w:val="18"/>
                <w:szCs w:val="18"/>
              </w:rPr>
              <w:t>, einen angemessenen Zeithorizont umfasst</w:t>
            </w:r>
            <w:r>
              <w:rPr>
                <w:rFonts w:ascii="Arial" w:hAnsi="Arial" w:cs="Arial"/>
                <w:sz w:val="18"/>
                <w:szCs w:val="18"/>
              </w:rPr>
              <w:t xml:space="preserve"> und</w:t>
            </w:r>
            <w:r w:rsidR="00AB700D">
              <w:rPr>
                <w:rFonts w:ascii="Arial" w:hAnsi="Arial" w:cs="Arial"/>
                <w:sz w:val="18"/>
                <w:szCs w:val="18"/>
              </w:rPr>
              <w:t xml:space="preserve"> die Risikobeurteilung und der Prüfplan</w:t>
            </w:r>
            <w:r>
              <w:rPr>
                <w:rFonts w:ascii="Arial" w:hAnsi="Arial" w:cs="Arial"/>
                <w:sz w:val="18"/>
                <w:szCs w:val="18"/>
              </w:rPr>
              <w:t xml:space="preserve"> durch den Verwaltungsrat genehmigt w</w:t>
            </w:r>
            <w:r w:rsidR="00AB700D">
              <w:rPr>
                <w:rFonts w:ascii="Arial" w:hAnsi="Arial" w:cs="Arial"/>
                <w:sz w:val="18"/>
                <w:szCs w:val="18"/>
              </w:rPr>
              <w:t>erden</w:t>
            </w:r>
          </w:p>
        </w:tc>
        <w:tc>
          <w:tcPr>
            <w:tcW w:w="3382" w:type="dxa"/>
          </w:tcPr>
          <w:p w14:paraId="352F469D"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46F1E" w:rsidRPr="009872F3" w14:paraId="03F7F9C7" w14:textId="77777777" w:rsidTr="00BC19D0">
        <w:tc>
          <w:tcPr>
            <w:tcW w:w="5798" w:type="dxa"/>
            <w:gridSpan w:val="3"/>
          </w:tcPr>
          <w:p w14:paraId="3DFE953E" w14:textId="77777777" w:rsidR="00246F1E" w:rsidRDefault="003B19A8" w:rsidP="00BC19D0">
            <w:pPr>
              <w:jc w:val="both"/>
              <w:rPr>
                <w:rFonts w:ascii="Arial" w:hAnsi="Arial" w:cs="Arial"/>
                <w:sz w:val="18"/>
                <w:szCs w:val="18"/>
              </w:rPr>
            </w:pPr>
            <w:r>
              <w:rPr>
                <w:rFonts w:ascii="Arial" w:hAnsi="Arial" w:cs="Arial"/>
                <w:sz w:val="18"/>
                <w:szCs w:val="18"/>
              </w:rPr>
              <w:t>Bestätigung, dass ein angemessenes Mängelbeseitigungsverfahren</w:t>
            </w:r>
            <w:r w:rsidR="009C5BD3">
              <w:rPr>
                <w:rFonts w:ascii="Arial" w:hAnsi="Arial" w:cs="Arial"/>
                <w:sz w:val="18"/>
                <w:szCs w:val="18"/>
              </w:rPr>
              <w:t xml:space="preserve"> (Audit Tracking)</w:t>
            </w:r>
            <w:r>
              <w:rPr>
                <w:rFonts w:ascii="Arial" w:hAnsi="Arial" w:cs="Arial"/>
                <w:sz w:val="18"/>
                <w:szCs w:val="18"/>
              </w:rPr>
              <w:t xml:space="preserve"> existiert und effektiv angewandt wird</w:t>
            </w:r>
          </w:p>
        </w:tc>
        <w:tc>
          <w:tcPr>
            <w:tcW w:w="3382" w:type="dxa"/>
          </w:tcPr>
          <w:p w14:paraId="6AB02E95" w14:textId="77777777" w:rsidR="00246F1E" w:rsidRPr="00E109DF" w:rsidRDefault="00246F1E" w:rsidP="00BC19D0">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B35ED21" w14:textId="77777777" w:rsidR="00246F1E" w:rsidRDefault="00246F1E" w:rsidP="00246F1E">
      <w:pPr>
        <w:jc w:val="both"/>
      </w:pPr>
    </w:p>
    <w:tbl>
      <w:tblPr>
        <w:tblStyle w:val="Tabellenraster"/>
        <w:tblW w:w="0" w:type="auto"/>
        <w:tblLook w:val="04A0" w:firstRow="1" w:lastRow="0" w:firstColumn="1" w:lastColumn="0" w:noHBand="0" w:noVBand="1"/>
      </w:tblPr>
      <w:tblGrid>
        <w:gridCol w:w="2660"/>
        <w:gridCol w:w="6520"/>
      </w:tblGrid>
      <w:tr w:rsidR="00246F1E" w:rsidRPr="00CE3194" w14:paraId="5E43048B" w14:textId="77777777" w:rsidTr="00BC19D0">
        <w:tc>
          <w:tcPr>
            <w:tcW w:w="2660" w:type="dxa"/>
          </w:tcPr>
          <w:p w14:paraId="3ED700C7" w14:textId="77777777" w:rsidR="00246F1E" w:rsidRPr="00CE3194" w:rsidRDefault="00246F1E"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9459A73" w14:textId="77777777" w:rsidR="00246F1E" w:rsidRPr="00CE3194" w:rsidRDefault="002C623F"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246F1E" w:rsidRPr="00CE3194" w14:paraId="5F932DB8" w14:textId="77777777" w:rsidTr="00BC19D0">
        <w:tc>
          <w:tcPr>
            <w:tcW w:w="2660" w:type="dxa"/>
          </w:tcPr>
          <w:p w14:paraId="4C122F5F" w14:textId="77777777" w:rsidR="00246F1E" w:rsidRPr="00CE3194" w:rsidRDefault="00246F1E" w:rsidP="00246F1E">
            <w:pPr>
              <w:jc w:val="both"/>
              <w:rPr>
                <w:rFonts w:ascii="Arial" w:hAnsi="Arial" w:cs="Arial"/>
                <w:i/>
                <w:sz w:val="20"/>
                <w:szCs w:val="20"/>
                <w:highlight w:val="lightGray"/>
              </w:rPr>
            </w:pPr>
            <w:r>
              <w:rPr>
                <w:rFonts w:ascii="Arial" w:hAnsi="Arial" w:cs="Arial"/>
                <w:i/>
                <w:sz w:val="20"/>
                <w:szCs w:val="20"/>
                <w:highlight w:val="lightGray"/>
              </w:rPr>
              <w:t xml:space="preserve">Ausgestaltung der Internen Revision </w:t>
            </w:r>
          </w:p>
        </w:tc>
        <w:tc>
          <w:tcPr>
            <w:tcW w:w="6520" w:type="dxa"/>
          </w:tcPr>
          <w:p w14:paraId="70B03869" w14:textId="29127582" w:rsidR="00246F1E" w:rsidRDefault="00246F1E" w:rsidP="00BC19D0">
            <w:pPr>
              <w:pStyle w:val="Listenabsatz"/>
              <w:numPr>
                <w:ilvl w:val="1"/>
                <w:numId w:val="17"/>
              </w:numPr>
              <w:ind w:left="317" w:hanging="283"/>
              <w:jc w:val="both"/>
              <w:rPr>
                <w:rFonts w:cs="Arial"/>
                <w:i/>
                <w:szCs w:val="20"/>
                <w:highlight w:val="lightGray"/>
              </w:rPr>
            </w:pPr>
            <w:r>
              <w:rPr>
                <w:rFonts w:cs="Arial"/>
                <w:i/>
                <w:szCs w:val="20"/>
                <w:highlight w:val="lightGray"/>
              </w:rPr>
              <w:t>Die Funktion stellt sicher, dass keine Selbstprüfung stattfindet</w:t>
            </w:r>
          </w:p>
          <w:p w14:paraId="3370F960" w14:textId="77777777" w:rsidR="00246F1E" w:rsidRPr="00602B18" w:rsidRDefault="00246F1E" w:rsidP="00602B18">
            <w:pPr>
              <w:pStyle w:val="Listenabsatz"/>
              <w:numPr>
                <w:ilvl w:val="1"/>
                <w:numId w:val="17"/>
              </w:numPr>
              <w:ind w:left="317" w:hanging="283"/>
              <w:jc w:val="both"/>
              <w:rPr>
                <w:rFonts w:cs="Arial"/>
                <w:i/>
                <w:szCs w:val="20"/>
                <w:highlight w:val="lightGray"/>
              </w:rPr>
            </w:pPr>
            <w:r w:rsidRPr="00602B18">
              <w:rPr>
                <w:rFonts w:cs="Arial"/>
                <w:i/>
                <w:szCs w:val="20"/>
                <w:highlight w:val="lightGray"/>
              </w:rPr>
              <w:t>Es bestehen klare Verantwortlichkeiten und Kompetenzen</w:t>
            </w:r>
          </w:p>
          <w:p w14:paraId="101B9AA4" w14:textId="7E5BF6A8"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Funktion ist ressourcentechnisch </w:t>
            </w:r>
            <w:r w:rsidR="00AB700D">
              <w:rPr>
                <w:rFonts w:cs="Arial"/>
                <w:i/>
                <w:szCs w:val="20"/>
                <w:highlight w:val="lightGray"/>
              </w:rPr>
              <w:t xml:space="preserve">(personell und technisch) </w:t>
            </w:r>
            <w:r>
              <w:rPr>
                <w:rFonts w:cs="Arial"/>
                <w:i/>
                <w:szCs w:val="20"/>
                <w:highlight w:val="lightGray"/>
              </w:rPr>
              <w:t>angemessen ausgestattet</w:t>
            </w:r>
          </w:p>
          <w:p w14:paraId="0E0832FD" w14:textId="77777777"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Die Mitarbeiter werden regelmässig weitergebildet</w:t>
            </w:r>
          </w:p>
          <w:p w14:paraId="649862DC" w14:textId="624832B6" w:rsidR="00246F1E" w:rsidRDefault="00246F1E"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DC5168">
              <w:rPr>
                <w:rFonts w:cs="Arial"/>
                <w:i/>
                <w:szCs w:val="20"/>
                <w:highlight w:val="lightGray"/>
              </w:rPr>
              <w:t>I</w:t>
            </w:r>
            <w:r>
              <w:rPr>
                <w:rFonts w:cs="Arial"/>
                <w:i/>
                <w:szCs w:val="20"/>
                <w:highlight w:val="lightGray"/>
              </w:rPr>
              <w:t>nterne Revision kann ungefiltert an den Verwaltungsrat berichten</w:t>
            </w:r>
          </w:p>
          <w:p w14:paraId="06CE6DA0" w14:textId="0099C1F8" w:rsidR="00AB700D" w:rsidRDefault="00AB700D"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erstattet dem Verwaltungsrat regelmässig, zumindest jährlich, objektiv, vollständig, klar und zeitnah über die Prüfungstätigkeiten zumindest durch Darlegung des Prüfungsgegenstands, der Prüfungsfeststellungen und der Massnahmen Bericht. </w:t>
            </w:r>
          </w:p>
          <w:p w14:paraId="6B98CA3B" w14:textId="2B5B2286" w:rsidR="00AB700D" w:rsidRPr="00246F1E" w:rsidRDefault="00AB700D" w:rsidP="00246F1E">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verfügt über ein umfassendes und uneingeschränktes Auskunfts-, Einsichts- und Prüfrecht für sämtliche Unterlagen, Arbeitspapiere und IT-Systeme. </w:t>
            </w:r>
          </w:p>
        </w:tc>
      </w:tr>
      <w:tr w:rsidR="00246F1E" w:rsidRPr="00CE3194" w14:paraId="0F4276C9" w14:textId="77777777" w:rsidTr="00BC19D0">
        <w:tc>
          <w:tcPr>
            <w:tcW w:w="2660" w:type="dxa"/>
          </w:tcPr>
          <w:p w14:paraId="2C4DE873"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 xml:space="preserve">Prüfplan </w:t>
            </w:r>
          </w:p>
        </w:tc>
        <w:tc>
          <w:tcPr>
            <w:tcW w:w="6520" w:type="dxa"/>
          </w:tcPr>
          <w:p w14:paraId="43DB603D" w14:textId="539F88B9" w:rsidR="00246F1E" w:rsidRDefault="00246F1E"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Der Prüfplan basiert auf einem risikobasierenden Ansatz (unter Berücksichtigung von IKS, Risikomanagement, ICAAP und ILAAP)</w:t>
            </w:r>
          </w:p>
          <w:p w14:paraId="2A4D163F" w14:textId="321C1B42" w:rsidR="00AB700D" w:rsidRPr="003B19A8" w:rsidRDefault="00AB700D" w:rsidP="00BC19D0">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Prüfungsplanung umfassen alle wesentlichen Geschäftsaktivitäten, Kontrollsysteme und Risiken der Bank.</w:t>
            </w:r>
          </w:p>
          <w:p w14:paraId="5207E38B" w14:textId="2F5EFE34" w:rsidR="00246F1E" w:rsidRPr="003B19A8" w:rsidRDefault="00AB700D" w:rsidP="00BC19D0">
            <w:pPr>
              <w:pStyle w:val="Listenabsatz"/>
              <w:numPr>
                <w:ilvl w:val="1"/>
                <w:numId w:val="17"/>
              </w:numPr>
              <w:ind w:left="317" w:hanging="283"/>
              <w:jc w:val="both"/>
              <w:rPr>
                <w:rFonts w:cs="Arial"/>
                <w:i/>
                <w:szCs w:val="20"/>
                <w:highlight w:val="lightGray"/>
              </w:rPr>
            </w:pPr>
            <w:r>
              <w:rPr>
                <w:rFonts w:cs="Arial"/>
                <w:i/>
                <w:szCs w:val="20"/>
                <w:highlight w:val="lightGray"/>
              </w:rPr>
              <w:t>Die Risikobeurteilung und d</w:t>
            </w:r>
            <w:r w:rsidR="00246F1E" w:rsidRPr="003B19A8">
              <w:rPr>
                <w:rFonts w:cs="Arial"/>
                <w:i/>
                <w:szCs w:val="20"/>
                <w:highlight w:val="lightGray"/>
              </w:rPr>
              <w:t>er Prüfplan w</w:t>
            </w:r>
            <w:r>
              <w:rPr>
                <w:rFonts w:cs="Arial"/>
                <w:i/>
                <w:szCs w:val="20"/>
                <w:highlight w:val="lightGray"/>
              </w:rPr>
              <w:t>erden</w:t>
            </w:r>
            <w:r w:rsidR="00246F1E" w:rsidRPr="003B19A8">
              <w:rPr>
                <w:rFonts w:cs="Arial"/>
                <w:i/>
                <w:szCs w:val="20"/>
                <w:highlight w:val="lightGray"/>
              </w:rPr>
              <w:t xml:space="preserve"> vom Verwaltungsrat </w:t>
            </w:r>
            <w:r w:rsidR="003B19A8" w:rsidRPr="003B19A8">
              <w:rPr>
                <w:rFonts w:cs="Arial"/>
                <w:i/>
                <w:szCs w:val="20"/>
                <w:highlight w:val="lightGray"/>
              </w:rPr>
              <w:t xml:space="preserve">jährlich </w:t>
            </w:r>
            <w:r w:rsidR="00246F1E" w:rsidRPr="003B19A8">
              <w:rPr>
                <w:rFonts w:cs="Arial"/>
                <w:i/>
                <w:szCs w:val="20"/>
                <w:highlight w:val="lightGray"/>
              </w:rPr>
              <w:t>genehmigt</w:t>
            </w:r>
          </w:p>
          <w:p w14:paraId="13B12E1B" w14:textId="77777777" w:rsidR="003B19A8" w:rsidRPr="003B19A8" w:rsidRDefault="003B19A8" w:rsidP="00BC19D0">
            <w:pPr>
              <w:pStyle w:val="Listenabsatz"/>
              <w:numPr>
                <w:ilvl w:val="1"/>
                <w:numId w:val="17"/>
              </w:numPr>
              <w:ind w:left="317" w:hanging="283"/>
              <w:jc w:val="both"/>
              <w:rPr>
                <w:rFonts w:cs="Arial"/>
                <w:i/>
                <w:szCs w:val="20"/>
                <w:highlight w:val="lightGray"/>
              </w:rPr>
            </w:pPr>
            <w:r w:rsidRPr="003B19A8">
              <w:rPr>
                <w:rFonts w:cs="Arial"/>
                <w:i/>
                <w:szCs w:val="20"/>
                <w:highlight w:val="lightGray"/>
              </w:rPr>
              <w:t>Ad-hoc-Anpassungen des Prüfplans werden ebenfalls durch den Verwaltungsrat genehmigt</w:t>
            </w:r>
          </w:p>
        </w:tc>
      </w:tr>
      <w:tr w:rsidR="00246F1E" w:rsidRPr="00CE3194" w14:paraId="7CF741AC" w14:textId="77777777" w:rsidTr="00BC19D0">
        <w:tc>
          <w:tcPr>
            <w:tcW w:w="2660" w:type="dxa"/>
          </w:tcPr>
          <w:p w14:paraId="03D3C09C" w14:textId="77777777" w:rsidR="00246F1E" w:rsidRPr="003B19A8" w:rsidRDefault="00246F1E" w:rsidP="00246F1E">
            <w:pPr>
              <w:jc w:val="both"/>
              <w:rPr>
                <w:rFonts w:ascii="Arial" w:hAnsi="Arial" w:cs="Arial"/>
                <w:i/>
                <w:sz w:val="20"/>
                <w:szCs w:val="20"/>
                <w:highlight w:val="lightGray"/>
              </w:rPr>
            </w:pPr>
            <w:r w:rsidRPr="003B19A8">
              <w:rPr>
                <w:rFonts w:ascii="Arial" w:hAnsi="Arial" w:cs="Arial"/>
                <w:i/>
                <w:sz w:val="20"/>
                <w:szCs w:val="20"/>
                <w:highlight w:val="lightGray"/>
              </w:rPr>
              <w:t>Audit Tracking</w:t>
            </w:r>
          </w:p>
        </w:tc>
        <w:tc>
          <w:tcPr>
            <w:tcW w:w="6520" w:type="dxa"/>
          </w:tcPr>
          <w:p w14:paraId="6D90CE00" w14:textId="77777777" w:rsidR="00BF2060" w:rsidRDefault="003B19A8" w:rsidP="00BF2060">
            <w:pPr>
              <w:pStyle w:val="Listenabsatz"/>
              <w:numPr>
                <w:ilvl w:val="1"/>
                <w:numId w:val="17"/>
              </w:numPr>
              <w:ind w:left="317" w:hanging="283"/>
              <w:jc w:val="both"/>
              <w:rPr>
                <w:rFonts w:cs="Arial"/>
                <w:i/>
                <w:szCs w:val="20"/>
                <w:highlight w:val="lightGray"/>
              </w:rPr>
            </w:pPr>
            <w:r w:rsidRPr="003B19A8">
              <w:rPr>
                <w:rFonts w:cs="Arial"/>
                <w:i/>
                <w:szCs w:val="20"/>
                <w:highlight w:val="lightGray"/>
              </w:rPr>
              <w:t xml:space="preserve">Es </w:t>
            </w:r>
            <w:r w:rsidR="006A7683">
              <w:rPr>
                <w:rFonts w:cs="Arial"/>
                <w:i/>
                <w:szCs w:val="20"/>
                <w:highlight w:val="lightGray"/>
              </w:rPr>
              <w:t xml:space="preserve">existiert </w:t>
            </w:r>
            <w:r w:rsidRPr="003B19A8">
              <w:rPr>
                <w:rFonts w:cs="Arial"/>
                <w:i/>
                <w:szCs w:val="20"/>
                <w:highlight w:val="lightGray"/>
              </w:rPr>
              <w:t>e</w:t>
            </w:r>
            <w:r w:rsidR="006A7683">
              <w:rPr>
                <w:rFonts w:cs="Arial"/>
                <w:i/>
                <w:szCs w:val="20"/>
                <w:highlight w:val="lightGray"/>
              </w:rPr>
              <w:t>i</w:t>
            </w:r>
            <w:r w:rsidRPr="003B19A8">
              <w:rPr>
                <w:rFonts w:cs="Arial"/>
                <w:i/>
                <w:szCs w:val="20"/>
                <w:highlight w:val="lightGray"/>
              </w:rPr>
              <w:t>n angemessenes Mängelbeseitigungsverfahren</w:t>
            </w:r>
          </w:p>
          <w:p w14:paraId="673BD214" w14:textId="77777777" w:rsidR="006A7683" w:rsidRPr="00BF2060" w:rsidRDefault="006A7683" w:rsidP="00BF2060">
            <w:pPr>
              <w:pStyle w:val="Listenabsatz"/>
              <w:numPr>
                <w:ilvl w:val="1"/>
                <w:numId w:val="17"/>
              </w:numPr>
              <w:ind w:left="317" w:hanging="283"/>
              <w:jc w:val="both"/>
              <w:rPr>
                <w:rFonts w:cs="Arial"/>
                <w:i/>
                <w:szCs w:val="20"/>
                <w:highlight w:val="lightGray"/>
              </w:rPr>
            </w:pPr>
            <w:r>
              <w:rPr>
                <w:rFonts w:cs="Arial"/>
                <w:i/>
                <w:szCs w:val="20"/>
                <w:highlight w:val="lightGray"/>
              </w:rPr>
              <w:t>Das Mängelbeseitigungsverfahren wird auch effektiv angewandt</w:t>
            </w:r>
          </w:p>
        </w:tc>
      </w:tr>
    </w:tbl>
    <w:p w14:paraId="349F5FB7" w14:textId="77777777" w:rsidR="00246F1E" w:rsidRDefault="00246F1E" w:rsidP="00246F1E">
      <w:pPr>
        <w:jc w:val="both"/>
      </w:pPr>
    </w:p>
    <w:p w14:paraId="6127CF9D"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4F549599" w14:textId="77777777" w:rsidR="00F81673" w:rsidRDefault="00F81673" w:rsidP="00246F1E">
      <w:pPr>
        <w:jc w:val="both"/>
      </w:pPr>
    </w:p>
    <w:p w14:paraId="7AFBE712" w14:textId="77777777" w:rsidR="00246F1E" w:rsidRDefault="00246F1E" w:rsidP="00246F1E">
      <w:pPr>
        <w:jc w:val="both"/>
      </w:pPr>
    </w:p>
    <w:p w14:paraId="2CDC8B3C" w14:textId="77777777" w:rsidR="008C30D1" w:rsidRDefault="008C30D1" w:rsidP="006F7AB5">
      <w:pPr>
        <w:pStyle w:val="FINMAGliederungEbene3"/>
      </w:pPr>
      <w:bookmarkStart w:id="66" w:name="_Toc147849920"/>
      <w:r>
        <w:t>Neue Produkte und wichtige Änderungen</w:t>
      </w:r>
      <w:r w:rsidR="00543DCA">
        <w:t xml:space="preserve"> (GOV-7)</w:t>
      </w:r>
      <w:bookmarkEnd w:id="66"/>
    </w:p>
    <w:p w14:paraId="23D653A4" w14:textId="77777777" w:rsidR="00804EC6" w:rsidRDefault="00804EC6" w:rsidP="00804EC6">
      <w:pPr>
        <w:jc w:val="both"/>
      </w:pPr>
    </w:p>
    <w:tbl>
      <w:tblPr>
        <w:tblStyle w:val="Tabellenraster"/>
        <w:tblW w:w="0" w:type="auto"/>
        <w:tblLook w:val="04A0" w:firstRow="1" w:lastRow="0" w:firstColumn="1" w:lastColumn="0" w:noHBand="0" w:noVBand="1"/>
      </w:tblPr>
      <w:tblGrid>
        <w:gridCol w:w="1932"/>
        <w:gridCol w:w="2145"/>
        <w:gridCol w:w="1721"/>
        <w:gridCol w:w="3382"/>
      </w:tblGrid>
      <w:tr w:rsidR="00804EC6" w:rsidRPr="009872F3" w14:paraId="03EDD7E3" w14:textId="77777777" w:rsidTr="00BC19D0">
        <w:trPr>
          <w:trHeight w:val="563"/>
        </w:trPr>
        <w:tc>
          <w:tcPr>
            <w:tcW w:w="1932" w:type="dxa"/>
          </w:tcPr>
          <w:p w14:paraId="7053820F"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Nettorisiko</w:t>
            </w:r>
          </w:p>
        </w:tc>
        <w:tc>
          <w:tcPr>
            <w:tcW w:w="2145" w:type="dxa"/>
          </w:tcPr>
          <w:p w14:paraId="4EB15E3A"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578BCC0"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04EC6" w:rsidRPr="009872F3" w14:paraId="26548D85" w14:textId="77777777" w:rsidTr="00BC19D0">
        <w:trPr>
          <w:trHeight w:val="698"/>
        </w:trPr>
        <w:tc>
          <w:tcPr>
            <w:tcW w:w="1932" w:type="dxa"/>
          </w:tcPr>
          <w:p w14:paraId="567FD38A" w14:textId="20BC268A" w:rsidR="00804EC6" w:rsidRPr="006749F0" w:rsidRDefault="00804EC6" w:rsidP="00BC19D0">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00E33831" w14:textId="77777777" w:rsidR="00804EC6" w:rsidRPr="006749F0" w:rsidRDefault="00804EC6" w:rsidP="00BC19D0">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EF6839" w14:textId="77777777" w:rsidR="00804EC6" w:rsidRPr="009872F3" w:rsidRDefault="00804EC6" w:rsidP="00BC19D0">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267E23EF" w14:textId="77777777" w:rsidR="00804EC6" w:rsidRDefault="00804EC6" w:rsidP="00BC19D0">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503542E8" w14:textId="77777777" w:rsidR="00804EC6" w:rsidRPr="006749F0" w:rsidRDefault="00804EC6" w:rsidP="00BC19D0">
            <w:pPr>
              <w:jc w:val="both"/>
              <w:rPr>
                <w:rFonts w:ascii="Arial" w:hAnsi="Arial" w:cs="Arial"/>
                <w:i/>
                <w:sz w:val="18"/>
                <w:szCs w:val="18"/>
              </w:rPr>
            </w:pPr>
            <w:r w:rsidRPr="006749F0">
              <w:rPr>
                <w:rFonts w:ascii="Arial" w:hAnsi="Arial" w:cs="Arial"/>
                <w:i/>
                <w:sz w:val="18"/>
                <w:szCs w:val="18"/>
                <w:highlight w:val="yellow"/>
              </w:rPr>
              <w:t>Jahr</w:t>
            </w:r>
          </w:p>
        </w:tc>
      </w:tr>
      <w:tr w:rsidR="00804EC6" w:rsidRPr="00E667CF" w14:paraId="046BC632" w14:textId="77777777" w:rsidTr="00BC19D0">
        <w:trPr>
          <w:trHeight w:val="636"/>
        </w:trPr>
        <w:tc>
          <w:tcPr>
            <w:tcW w:w="9180" w:type="dxa"/>
            <w:gridSpan w:val="4"/>
          </w:tcPr>
          <w:p w14:paraId="14C5F133" w14:textId="77777777" w:rsidR="00804EC6" w:rsidRDefault="00804EC6" w:rsidP="00BC19D0">
            <w:pPr>
              <w:jc w:val="both"/>
              <w:rPr>
                <w:rFonts w:ascii="Arial" w:hAnsi="Arial" w:cs="Arial"/>
                <w:sz w:val="18"/>
                <w:szCs w:val="18"/>
              </w:rPr>
            </w:pPr>
          </w:p>
          <w:p w14:paraId="08C2E8C1" w14:textId="77777777" w:rsidR="00804EC6" w:rsidRPr="00F60909" w:rsidRDefault="00804EC6" w:rsidP="00BC19D0">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3867E292" w14:textId="6A4AD6B9" w:rsidR="00804EC6" w:rsidRPr="007B1593" w:rsidRDefault="00804EC6" w:rsidP="00804EC6">
            <w:pPr>
              <w:jc w:val="both"/>
              <w:rPr>
                <w:rFonts w:ascii="Arial" w:hAnsi="Arial" w:cs="Arial"/>
                <w:sz w:val="18"/>
                <w:szCs w:val="18"/>
              </w:rPr>
            </w:pPr>
            <w:r w:rsidRPr="007B1593">
              <w:rPr>
                <w:rFonts w:ascii="Arial" w:hAnsi="Arial" w:cs="Arial"/>
                <w:sz w:val="18"/>
                <w:szCs w:val="18"/>
                <w:highlight w:val="yellow"/>
              </w:rPr>
              <w:t xml:space="preserve">Art. 8b BankG, Art. 27f BankV; </w:t>
            </w:r>
            <w:r w:rsidR="00E667CF" w:rsidRPr="005B66F8">
              <w:rPr>
                <w:rFonts w:ascii="Arial" w:hAnsi="Arial" w:cs="Arial"/>
                <w:sz w:val="18"/>
                <w:szCs w:val="18"/>
                <w:highlight w:val="yellow"/>
              </w:rPr>
              <w:t>EBA/GL/2021/05; EBA/GL/2018/03</w:t>
            </w:r>
          </w:p>
        </w:tc>
      </w:tr>
      <w:tr w:rsidR="00804EC6" w:rsidRPr="00E667CF" w14:paraId="359EBBF7" w14:textId="77777777" w:rsidTr="00BC19D0">
        <w:trPr>
          <w:trHeight w:val="294"/>
        </w:trPr>
        <w:tc>
          <w:tcPr>
            <w:tcW w:w="9180" w:type="dxa"/>
            <w:gridSpan w:val="4"/>
          </w:tcPr>
          <w:p w14:paraId="359F26C2" w14:textId="77777777" w:rsidR="00804EC6" w:rsidRPr="007B1593" w:rsidRDefault="00804EC6" w:rsidP="00BC19D0">
            <w:pPr>
              <w:jc w:val="both"/>
              <w:rPr>
                <w:rFonts w:ascii="Arial" w:hAnsi="Arial" w:cs="Arial"/>
                <w:sz w:val="18"/>
                <w:szCs w:val="18"/>
              </w:rPr>
            </w:pPr>
          </w:p>
        </w:tc>
      </w:tr>
      <w:tr w:rsidR="00804EC6" w:rsidRPr="009872F3" w14:paraId="09280BA6" w14:textId="77777777" w:rsidTr="00BC19D0">
        <w:tc>
          <w:tcPr>
            <w:tcW w:w="5798" w:type="dxa"/>
            <w:gridSpan w:val="3"/>
          </w:tcPr>
          <w:p w14:paraId="259DC441" w14:textId="77777777" w:rsidR="00804EC6" w:rsidRPr="009872F3" w:rsidRDefault="00804EC6" w:rsidP="00BC19D0">
            <w:pPr>
              <w:jc w:val="both"/>
              <w:rPr>
                <w:rFonts w:ascii="Arial" w:hAnsi="Arial" w:cs="Arial"/>
                <w:sz w:val="18"/>
                <w:szCs w:val="18"/>
              </w:rPr>
            </w:pPr>
            <w:r>
              <w:rPr>
                <w:rFonts w:ascii="Arial" w:hAnsi="Arial" w:cs="Arial"/>
                <w:sz w:val="18"/>
                <w:szCs w:val="18"/>
              </w:rPr>
              <w:t>Bestätigung, dass angemessene interne Verfahren zur Etablierung von Neuprodukten und wesentlichen Geschäfts- und Zielmärkten bestehen</w:t>
            </w:r>
          </w:p>
        </w:tc>
        <w:tc>
          <w:tcPr>
            <w:tcW w:w="3382" w:type="dxa"/>
          </w:tcPr>
          <w:p w14:paraId="307EBD11" w14:textId="77777777" w:rsidR="00804EC6" w:rsidRPr="00E109DF" w:rsidRDefault="00804EC6" w:rsidP="00BC19D0">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804EC6" w:rsidRPr="009872F3" w14:paraId="4B928D8E" w14:textId="77777777" w:rsidTr="00BC19D0">
        <w:tc>
          <w:tcPr>
            <w:tcW w:w="5798" w:type="dxa"/>
            <w:gridSpan w:val="3"/>
          </w:tcPr>
          <w:p w14:paraId="605383F1" w14:textId="77777777" w:rsidR="00804EC6" w:rsidRPr="009872F3" w:rsidRDefault="00804EC6" w:rsidP="00804EC6">
            <w:pPr>
              <w:tabs>
                <w:tab w:val="left" w:pos="4458"/>
              </w:tabs>
              <w:jc w:val="both"/>
              <w:rPr>
                <w:rFonts w:ascii="Arial" w:hAnsi="Arial" w:cs="Arial"/>
                <w:sz w:val="18"/>
                <w:szCs w:val="18"/>
              </w:rPr>
            </w:pPr>
            <w:r>
              <w:rPr>
                <w:rFonts w:ascii="Arial" w:hAnsi="Arial" w:cs="Arial"/>
                <w:sz w:val="18"/>
                <w:szCs w:val="18"/>
              </w:rPr>
              <w:t>Bestätigung, dass angemessene interne Verfahren zur Identifikation und Umsetzung von rechtlichen und regulatorischen Änderungen bestehen</w:t>
            </w:r>
          </w:p>
        </w:tc>
        <w:tc>
          <w:tcPr>
            <w:tcW w:w="3382" w:type="dxa"/>
          </w:tcPr>
          <w:p w14:paraId="7EF9ADEE" w14:textId="77777777" w:rsidR="00804EC6" w:rsidRPr="009872F3" w:rsidRDefault="00804EC6" w:rsidP="00BC19D0">
            <w:pPr>
              <w:jc w:val="both"/>
              <w:rPr>
                <w:rFonts w:ascii="Arial" w:hAnsi="Arial" w:cs="Arial"/>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504D516F" w14:textId="77777777" w:rsidR="00804EC6" w:rsidRDefault="00804EC6" w:rsidP="00804EC6">
      <w:pPr>
        <w:jc w:val="both"/>
      </w:pPr>
    </w:p>
    <w:tbl>
      <w:tblPr>
        <w:tblStyle w:val="Tabellenraster"/>
        <w:tblW w:w="0" w:type="auto"/>
        <w:tblLook w:val="04A0" w:firstRow="1" w:lastRow="0" w:firstColumn="1" w:lastColumn="0" w:noHBand="0" w:noVBand="1"/>
      </w:tblPr>
      <w:tblGrid>
        <w:gridCol w:w="2660"/>
        <w:gridCol w:w="6520"/>
      </w:tblGrid>
      <w:tr w:rsidR="00804EC6" w:rsidRPr="00CE3194" w14:paraId="6E668F65" w14:textId="77777777" w:rsidTr="00BC19D0">
        <w:tc>
          <w:tcPr>
            <w:tcW w:w="2660" w:type="dxa"/>
          </w:tcPr>
          <w:p w14:paraId="4139E8CA" w14:textId="77777777" w:rsidR="00804EC6" w:rsidRPr="00CE3194" w:rsidRDefault="00804EC6" w:rsidP="00BC19D0">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65A46293" w14:textId="77777777" w:rsidR="00804EC6" w:rsidRPr="00CE3194" w:rsidRDefault="006E2847" w:rsidP="00BC19D0">
            <w:pPr>
              <w:jc w:val="both"/>
              <w:rPr>
                <w:rFonts w:ascii="Arial" w:hAnsi="Arial" w:cs="Arial"/>
                <w:b/>
                <w:i/>
                <w:sz w:val="20"/>
                <w:szCs w:val="20"/>
                <w:highlight w:val="lightGray"/>
              </w:rPr>
            </w:pPr>
            <w:r>
              <w:rPr>
                <w:rFonts w:ascii="Arial" w:hAnsi="Arial" w:cs="Arial"/>
                <w:b/>
                <w:i/>
                <w:sz w:val="20"/>
                <w:szCs w:val="20"/>
                <w:highlight w:val="lightGray"/>
              </w:rPr>
              <w:t>Mindestp</w:t>
            </w:r>
            <w:r w:rsidRPr="00CE3194">
              <w:rPr>
                <w:rFonts w:ascii="Arial" w:hAnsi="Arial" w:cs="Arial"/>
                <w:b/>
                <w:i/>
                <w:sz w:val="20"/>
                <w:szCs w:val="20"/>
                <w:highlight w:val="lightGray"/>
              </w:rPr>
              <w:t>rüfinhalte</w:t>
            </w:r>
          </w:p>
        </w:tc>
      </w:tr>
      <w:tr w:rsidR="00804EC6" w:rsidRPr="00CE3194" w14:paraId="05E8996E" w14:textId="77777777" w:rsidTr="00BC19D0">
        <w:tc>
          <w:tcPr>
            <w:tcW w:w="2660" w:type="dxa"/>
          </w:tcPr>
          <w:p w14:paraId="6F980867" w14:textId="77777777" w:rsidR="00804EC6" w:rsidRPr="00CE3194" w:rsidRDefault="00804EC6" w:rsidP="00BC19D0">
            <w:pPr>
              <w:jc w:val="both"/>
              <w:rPr>
                <w:rFonts w:ascii="Arial" w:hAnsi="Arial" w:cs="Arial"/>
                <w:i/>
                <w:sz w:val="20"/>
                <w:szCs w:val="20"/>
                <w:highlight w:val="lightGray"/>
              </w:rPr>
            </w:pPr>
            <w:r>
              <w:rPr>
                <w:rFonts w:ascii="Arial" w:hAnsi="Arial" w:cs="Arial"/>
                <w:i/>
                <w:sz w:val="20"/>
                <w:szCs w:val="20"/>
                <w:highlight w:val="lightGray"/>
              </w:rPr>
              <w:t>Neu-Produkt-Prozess</w:t>
            </w:r>
          </w:p>
        </w:tc>
        <w:tc>
          <w:tcPr>
            <w:tcW w:w="6520" w:type="dxa"/>
          </w:tcPr>
          <w:p w14:paraId="36875B38" w14:textId="77777777" w:rsidR="0042389D" w:rsidRPr="0042389D" w:rsidRDefault="00804EC6" w:rsidP="0042389D">
            <w:pPr>
              <w:pStyle w:val="Listenabsatz"/>
              <w:numPr>
                <w:ilvl w:val="1"/>
                <w:numId w:val="17"/>
              </w:numPr>
              <w:ind w:left="317" w:hanging="283"/>
              <w:jc w:val="both"/>
              <w:rPr>
                <w:rFonts w:cs="Arial"/>
                <w:i/>
                <w:szCs w:val="20"/>
                <w:highlight w:val="lightGray"/>
              </w:rPr>
            </w:pPr>
            <w:r>
              <w:rPr>
                <w:rFonts w:cs="Arial"/>
                <w:i/>
                <w:szCs w:val="20"/>
                <w:highlight w:val="lightGray"/>
              </w:rPr>
              <w:t>Es besteht ein angemessener Neu-Produkt-Prozess</w:t>
            </w:r>
            <w:r w:rsidR="00F81673">
              <w:rPr>
                <w:rFonts w:cs="Arial"/>
                <w:i/>
                <w:szCs w:val="20"/>
                <w:highlight w:val="lightGray"/>
              </w:rPr>
              <w:t xml:space="preserve"> zur Identifikation, Messung, Bewirtschaftung und Überwachung von Auswirkungen aus der Einführung / Änderung von Geschäftsaktivitäten / Produkten </w:t>
            </w:r>
            <w:r w:rsidR="0042389D">
              <w:rPr>
                <w:rFonts w:cs="Arial"/>
                <w:i/>
                <w:szCs w:val="20"/>
                <w:highlight w:val="lightGray"/>
              </w:rPr>
              <w:t>(v.a. hinsichtlich der Einhaltung von Rechtsvorschriften, Rechnungslegung, Preisgestaltungsmodelle, Auswirkungen auf das Risikoprofil, Eigenkapitalausstattung, Ressourcen etc.)</w:t>
            </w:r>
          </w:p>
          <w:p w14:paraId="01C33A4E" w14:textId="77777777" w:rsidR="00804EC6" w:rsidRDefault="00804EC6"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39A07656" w14:textId="77777777" w:rsidR="00F81673" w:rsidRDefault="00F81673" w:rsidP="00CB3EE6">
            <w:pPr>
              <w:pStyle w:val="Listenabsatz"/>
              <w:numPr>
                <w:ilvl w:val="1"/>
                <w:numId w:val="17"/>
              </w:numPr>
              <w:ind w:left="317" w:hanging="283"/>
              <w:jc w:val="both"/>
              <w:rPr>
                <w:rFonts w:cs="Arial"/>
                <w:i/>
                <w:szCs w:val="20"/>
                <w:highlight w:val="lightGray"/>
              </w:rPr>
            </w:pPr>
            <w:r w:rsidRPr="00CB3EE6">
              <w:rPr>
                <w:rFonts w:cs="Arial"/>
                <w:i/>
                <w:szCs w:val="20"/>
                <w:highlight w:val="lightGray"/>
              </w:rPr>
              <w:t xml:space="preserve">Die internen Verfahren für die Einführung neuer Produkte und/oder Märkte </w:t>
            </w:r>
            <w:r w:rsidR="0042389D">
              <w:rPr>
                <w:rFonts w:cs="Arial"/>
                <w:i/>
                <w:szCs w:val="20"/>
                <w:highlight w:val="lightGray"/>
              </w:rPr>
              <w:t xml:space="preserve">sowie von Änderungen bestehender Produkte etc. </w:t>
            </w:r>
            <w:r>
              <w:rPr>
                <w:rFonts w:cs="Arial"/>
                <w:i/>
                <w:szCs w:val="20"/>
                <w:highlight w:val="lightGray"/>
              </w:rPr>
              <w:t>stellen sicher, dass die Risikomanagementfunktion und die Compliance-Funktion angemessen eingebunden werden</w:t>
            </w:r>
          </w:p>
          <w:p w14:paraId="5BE89D54" w14:textId="77777777" w:rsidR="00804EC6" w:rsidRPr="00246F1E" w:rsidRDefault="00804EC6" w:rsidP="00BC19D0">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Einhaltung bestehender Risikostrategien und Limiten sicher</w:t>
            </w:r>
          </w:p>
        </w:tc>
      </w:tr>
      <w:tr w:rsidR="00804EC6" w:rsidRPr="00CE3194" w14:paraId="523011B3" w14:textId="77777777" w:rsidTr="00BC19D0">
        <w:tc>
          <w:tcPr>
            <w:tcW w:w="2660" w:type="dxa"/>
          </w:tcPr>
          <w:p w14:paraId="4752B261" w14:textId="77777777" w:rsidR="00804EC6" w:rsidRPr="003B19A8" w:rsidRDefault="00804EC6" w:rsidP="00BC19D0">
            <w:pPr>
              <w:jc w:val="both"/>
              <w:rPr>
                <w:rFonts w:ascii="Arial" w:hAnsi="Arial" w:cs="Arial"/>
                <w:i/>
                <w:sz w:val="20"/>
                <w:szCs w:val="20"/>
                <w:highlight w:val="lightGray"/>
              </w:rPr>
            </w:pPr>
            <w:r>
              <w:rPr>
                <w:rFonts w:ascii="Arial" w:hAnsi="Arial" w:cs="Arial"/>
                <w:i/>
                <w:sz w:val="20"/>
                <w:szCs w:val="20"/>
                <w:highlight w:val="lightGray"/>
              </w:rPr>
              <w:t>Rechtliche und regulatorische Änderungen</w:t>
            </w:r>
          </w:p>
        </w:tc>
        <w:tc>
          <w:tcPr>
            <w:tcW w:w="6520" w:type="dxa"/>
          </w:tcPr>
          <w:p w14:paraId="4A920D87" w14:textId="77777777" w:rsidR="00804EC6" w:rsidRDefault="00804EC6" w:rsidP="00BC19D0">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besteht ein angemessener Prozess zur Identifikation von relevanten rechtlichen und regulatorischen Änderungen </w:t>
            </w:r>
          </w:p>
          <w:p w14:paraId="601DC929" w14:textId="77777777" w:rsidR="00804EC6" w:rsidRDefault="00804EC6" w:rsidP="00BC19D0">
            <w:pPr>
              <w:pStyle w:val="Listenabsatz"/>
              <w:numPr>
                <w:ilvl w:val="1"/>
                <w:numId w:val="17"/>
              </w:numPr>
              <w:ind w:left="317" w:hanging="283"/>
              <w:jc w:val="both"/>
              <w:rPr>
                <w:rFonts w:cs="Arial"/>
                <w:i/>
                <w:szCs w:val="20"/>
                <w:highlight w:val="lightGray"/>
              </w:rPr>
            </w:pPr>
            <w:r>
              <w:rPr>
                <w:rFonts w:cs="Arial"/>
                <w:i/>
                <w:szCs w:val="20"/>
                <w:highlight w:val="lightGray"/>
              </w:rPr>
              <w:t>Es bestehen interne Verfahren zur Durchführung einer Business Impact Analyse der relevanten Änderungen</w:t>
            </w:r>
          </w:p>
          <w:p w14:paraId="71BB10EB" w14:textId="77777777" w:rsidR="001E6C4C" w:rsidRDefault="001E6C4C" w:rsidP="001E6C4C">
            <w:pPr>
              <w:pStyle w:val="Listenabsatz"/>
              <w:numPr>
                <w:ilvl w:val="1"/>
                <w:numId w:val="17"/>
              </w:numPr>
              <w:ind w:left="317" w:hanging="283"/>
              <w:jc w:val="both"/>
              <w:rPr>
                <w:rFonts w:cs="Arial"/>
                <w:i/>
                <w:szCs w:val="20"/>
                <w:highlight w:val="lightGray"/>
              </w:rPr>
            </w:pPr>
            <w:r>
              <w:rPr>
                <w:rFonts w:cs="Arial"/>
                <w:i/>
                <w:szCs w:val="20"/>
                <w:highlight w:val="lightGray"/>
              </w:rPr>
              <w:t>Es besteht angemessenes</w:t>
            </w:r>
            <w:r w:rsidR="00390FA7">
              <w:rPr>
                <w:rFonts w:cs="Arial"/>
                <w:i/>
                <w:szCs w:val="20"/>
                <w:highlight w:val="lightGray"/>
              </w:rPr>
              <w:t xml:space="preserve"> internes</w:t>
            </w:r>
            <w:r>
              <w:rPr>
                <w:rFonts w:cs="Arial"/>
                <w:i/>
                <w:szCs w:val="20"/>
                <w:highlight w:val="lightGray"/>
              </w:rPr>
              <w:t xml:space="preserve"> </w:t>
            </w:r>
            <w:r w:rsidR="0042389D">
              <w:rPr>
                <w:rFonts w:cs="Arial"/>
                <w:i/>
                <w:szCs w:val="20"/>
                <w:highlight w:val="lightGray"/>
              </w:rPr>
              <w:t>Fachwissen</w:t>
            </w:r>
            <w:r>
              <w:rPr>
                <w:rFonts w:cs="Arial"/>
                <w:i/>
                <w:szCs w:val="20"/>
                <w:highlight w:val="lightGray"/>
              </w:rPr>
              <w:t xml:space="preserve"> für die Identifikation von relevanten rechtlichen und regulatorischen Änderungen und dessen Umsetzung</w:t>
            </w:r>
          </w:p>
          <w:p w14:paraId="3084FE35" w14:textId="77777777" w:rsidR="00804EC6" w:rsidRDefault="00D64584" w:rsidP="001E6C4C">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für die zeitnahe Planung und Einleitung von Massnahmen um auf die Änderungen zu reagieren</w:t>
            </w:r>
          </w:p>
          <w:p w14:paraId="79191463" w14:textId="77777777" w:rsidR="00D64584" w:rsidRPr="003B19A8" w:rsidRDefault="00D64584" w:rsidP="00D64584">
            <w:pPr>
              <w:pStyle w:val="Listenabsatz"/>
              <w:numPr>
                <w:ilvl w:val="1"/>
                <w:numId w:val="17"/>
              </w:numPr>
              <w:ind w:left="317" w:hanging="283"/>
              <w:jc w:val="both"/>
              <w:rPr>
                <w:rFonts w:cs="Arial"/>
                <w:i/>
                <w:szCs w:val="20"/>
                <w:highlight w:val="lightGray"/>
              </w:rPr>
            </w:pPr>
            <w:r>
              <w:rPr>
                <w:rFonts w:cs="Arial"/>
                <w:i/>
                <w:szCs w:val="20"/>
                <w:highlight w:val="lightGray"/>
              </w:rPr>
              <w:t>Es besteht ein angemessene Berichterstattung über rechtliche und regulatorische Änderungen</w:t>
            </w:r>
          </w:p>
        </w:tc>
      </w:tr>
    </w:tbl>
    <w:p w14:paraId="1923E40F" w14:textId="77777777" w:rsidR="00F81673" w:rsidRDefault="00F81673" w:rsidP="00804EC6">
      <w:pPr>
        <w:jc w:val="both"/>
      </w:pPr>
    </w:p>
    <w:p w14:paraId="10F0D9BC" w14:textId="77777777" w:rsidR="00F81673" w:rsidRPr="00276C60" w:rsidRDefault="00F81673" w:rsidP="00F81673">
      <w:pPr>
        <w:jc w:val="both"/>
        <w:rPr>
          <w:rFonts w:ascii="Arial" w:hAnsi="Arial" w:cs="Arial"/>
          <w:i/>
          <w:sz w:val="20"/>
          <w:szCs w:val="20"/>
        </w:rPr>
      </w:pPr>
      <w:r w:rsidRPr="00276C60">
        <w:rPr>
          <w:rFonts w:ascii="Arial" w:hAnsi="Arial" w:cs="Arial"/>
          <w:i/>
          <w:sz w:val="20"/>
          <w:szCs w:val="20"/>
          <w:highlight w:val="yellow"/>
        </w:rPr>
        <w:t>Text</w:t>
      </w:r>
    </w:p>
    <w:p w14:paraId="02DDC350" w14:textId="77777777" w:rsidR="00804EC6" w:rsidRDefault="00804EC6" w:rsidP="00804EC6">
      <w:pPr>
        <w:jc w:val="both"/>
      </w:pPr>
    </w:p>
    <w:p w14:paraId="109A8884" w14:textId="77777777" w:rsidR="00D64584" w:rsidRDefault="00D64584" w:rsidP="00D64584">
      <w:pPr>
        <w:jc w:val="both"/>
      </w:pPr>
    </w:p>
    <w:p w14:paraId="1373E921" w14:textId="77777777" w:rsidR="008C30D1" w:rsidRDefault="008C30D1" w:rsidP="006F7AB5">
      <w:pPr>
        <w:pStyle w:val="FINMAGliederungEbene3"/>
      </w:pPr>
      <w:bookmarkStart w:id="67" w:name="_Toc147849921"/>
      <w:r>
        <w:t>Auslagerung</w:t>
      </w:r>
      <w:r w:rsidR="00B016A4">
        <w:t>en</w:t>
      </w:r>
      <w:r w:rsidR="0003063F">
        <w:t xml:space="preserve"> (GOV-8</w:t>
      </w:r>
      <w:r w:rsidR="00543DCA">
        <w:t>)</w:t>
      </w:r>
      <w:bookmarkEnd w:id="67"/>
    </w:p>
    <w:p w14:paraId="60C351CE" w14:textId="77777777" w:rsidR="006C48BB" w:rsidRDefault="006C48BB" w:rsidP="006C48BB">
      <w:pPr>
        <w:jc w:val="both"/>
      </w:pPr>
    </w:p>
    <w:tbl>
      <w:tblPr>
        <w:tblStyle w:val="Tabellenraster"/>
        <w:tblW w:w="0" w:type="auto"/>
        <w:tblLook w:val="04A0" w:firstRow="1" w:lastRow="0" w:firstColumn="1" w:lastColumn="0" w:noHBand="0" w:noVBand="1"/>
      </w:tblPr>
      <w:tblGrid>
        <w:gridCol w:w="1478"/>
        <w:gridCol w:w="2220"/>
        <w:gridCol w:w="2083"/>
        <w:gridCol w:w="3733"/>
      </w:tblGrid>
      <w:tr w:rsidR="00D83362" w:rsidRPr="009872F3" w14:paraId="11332918" w14:textId="77777777" w:rsidTr="00671DBD">
        <w:trPr>
          <w:trHeight w:val="563"/>
        </w:trPr>
        <w:tc>
          <w:tcPr>
            <w:tcW w:w="1504" w:type="dxa"/>
          </w:tcPr>
          <w:p w14:paraId="273371E2" w14:textId="77777777" w:rsidR="00D83362" w:rsidRPr="009872F3" w:rsidRDefault="00D83362" w:rsidP="00671DBD">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7BA4BB59" w14:textId="77777777" w:rsidR="00D83362" w:rsidRPr="009872F3" w:rsidRDefault="00D83362" w:rsidP="00671DBD">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79B433C6" w14:textId="77777777" w:rsidR="00D83362" w:rsidRPr="009872F3" w:rsidRDefault="00D83362" w:rsidP="00671DBD">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D83362" w:rsidRPr="009872F3" w14:paraId="02BE28BE" w14:textId="77777777" w:rsidTr="00671DBD">
        <w:trPr>
          <w:trHeight w:val="698"/>
        </w:trPr>
        <w:tc>
          <w:tcPr>
            <w:tcW w:w="1504" w:type="dxa"/>
          </w:tcPr>
          <w:p w14:paraId="72BC426D" w14:textId="77777777" w:rsidR="00D83362" w:rsidRPr="006749F0" w:rsidRDefault="00D83362" w:rsidP="00671DBD">
            <w:pPr>
              <w:jc w:val="both"/>
              <w:rPr>
                <w:rFonts w:ascii="Arial" w:hAnsi="Arial" w:cs="Arial"/>
                <w:i/>
                <w:sz w:val="18"/>
                <w:szCs w:val="18"/>
                <w:highlight w:val="green"/>
              </w:rPr>
            </w:pPr>
            <w:r w:rsidRPr="006749F0">
              <w:rPr>
                <w:rFonts w:ascii="Arial" w:hAnsi="Arial" w:cs="Arial"/>
                <w:i/>
                <w:sz w:val="18"/>
                <w:szCs w:val="18"/>
                <w:highlight w:val="yellow"/>
              </w:rPr>
              <w:lastRenderedPageBreak/>
              <w:t>niedrig</w:t>
            </w:r>
            <w:r>
              <w:rPr>
                <w:rFonts w:ascii="Arial" w:hAnsi="Arial" w:cs="Arial"/>
                <w:i/>
                <w:sz w:val="18"/>
                <w:szCs w:val="18"/>
                <w:highlight w:val="yellow"/>
              </w:rPr>
              <w:t>/ mittel / hoch</w:t>
            </w:r>
          </w:p>
        </w:tc>
        <w:tc>
          <w:tcPr>
            <w:tcW w:w="4409" w:type="dxa"/>
            <w:gridSpan w:val="2"/>
          </w:tcPr>
          <w:p w14:paraId="3B4D3F17" w14:textId="77777777" w:rsidR="00D83362" w:rsidRPr="00CB3EE6" w:rsidRDefault="00D83362" w:rsidP="00671DBD">
            <w:pPr>
              <w:jc w:val="both"/>
              <w:rPr>
                <w:rFonts w:ascii="Arial" w:hAnsi="Arial" w:cs="Arial"/>
                <w:sz w:val="18"/>
                <w:szCs w:val="18"/>
                <w:highlight w:val="yellow"/>
              </w:rPr>
            </w:pPr>
            <w:r>
              <w:rPr>
                <w:rFonts w:ascii="Arial" w:hAnsi="Arial" w:cs="Arial"/>
                <w:sz w:val="18"/>
                <w:szCs w:val="18"/>
                <w:highlight w:val="yellow"/>
              </w:rPr>
              <w:t>Beispiel für Berichtsjahr 2019:</w:t>
            </w:r>
          </w:p>
          <w:p w14:paraId="53AE57F8" w14:textId="77777777" w:rsidR="00981CC2" w:rsidRPr="00255340" w:rsidRDefault="00981CC2" w:rsidP="00981CC2">
            <w:pPr>
              <w:pStyle w:val="Listenabsatz"/>
              <w:numPr>
                <w:ilvl w:val="1"/>
                <w:numId w:val="17"/>
              </w:numPr>
              <w:ind w:left="197" w:hanging="197"/>
              <w:jc w:val="both"/>
              <w:rPr>
                <w:rFonts w:cs="Arial"/>
                <w:sz w:val="18"/>
                <w:szCs w:val="18"/>
                <w:highlight w:val="yellow"/>
              </w:rPr>
            </w:pPr>
            <w:r w:rsidRPr="00255340">
              <w:rPr>
                <w:rFonts w:cs="Arial"/>
                <w:sz w:val="18"/>
                <w:szCs w:val="18"/>
                <w:highlight w:val="yellow"/>
              </w:rPr>
              <w:t>Auslagerungspolitik / -richtlinien</w:t>
            </w:r>
            <w:r>
              <w:rPr>
                <w:rFonts w:cs="Arial"/>
                <w:sz w:val="18"/>
                <w:szCs w:val="18"/>
                <w:highlight w:val="yellow"/>
              </w:rPr>
              <w:t xml:space="preserve"> (Kritische Beurteilung)</w:t>
            </w:r>
          </w:p>
          <w:p w14:paraId="750F5036" w14:textId="6271B0EA" w:rsidR="00D83362" w:rsidRPr="00CB3EE6" w:rsidRDefault="00981CC2" w:rsidP="00981CC2">
            <w:pPr>
              <w:pStyle w:val="Listenabsatz"/>
              <w:numPr>
                <w:ilvl w:val="1"/>
                <w:numId w:val="17"/>
              </w:numPr>
              <w:ind w:left="197" w:hanging="197"/>
              <w:jc w:val="both"/>
              <w:rPr>
                <w:rFonts w:cs="Arial"/>
                <w:sz w:val="18"/>
                <w:szCs w:val="18"/>
              </w:rPr>
            </w:pPr>
            <w:r w:rsidRPr="00255340">
              <w:rPr>
                <w:rFonts w:cs="Arial"/>
                <w:sz w:val="18"/>
                <w:szCs w:val="18"/>
                <w:highlight w:val="yellow"/>
              </w:rPr>
              <w:t>Dokumentationsanforderungen / Registerführung (Detailprüfung)</w:t>
            </w:r>
          </w:p>
        </w:tc>
        <w:tc>
          <w:tcPr>
            <w:tcW w:w="3827" w:type="dxa"/>
          </w:tcPr>
          <w:p w14:paraId="67851563" w14:textId="77777777" w:rsidR="00D83362" w:rsidRDefault="00D83362" w:rsidP="00671DBD">
            <w:pPr>
              <w:jc w:val="both"/>
              <w:rPr>
                <w:rFonts w:ascii="Arial" w:hAnsi="Arial" w:cs="Arial"/>
                <w:i/>
                <w:sz w:val="18"/>
                <w:szCs w:val="18"/>
              </w:rPr>
            </w:pPr>
            <w:r w:rsidRPr="00CB3EE6">
              <w:rPr>
                <w:rFonts w:ascii="Arial" w:hAnsi="Arial" w:cs="Arial"/>
                <w:i/>
                <w:sz w:val="18"/>
                <w:szCs w:val="18"/>
                <w:highlight w:val="yellow"/>
              </w:rPr>
              <w:t>Beispiel:</w:t>
            </w:r>
          </w:p>
          <w:p w14:paraId="07C83FD4" w14:textId="77777777" w:rsidR="00981CC2" w:rsidRPr="00024116" w:rsidRDefault="00981CC2" w:rsidP="00981CC2">
            <w:pPr>
              <w:jc w:val="both"/>
              <w:rPr>
                <w:rFonts w:ascii="Arial" w:hAnsi="Arial" w:cs="Arial"/>
                <w:i/>
                <w:sz w:val="18"/>
                <w:szCs w:val="18"/>
                <w:highlight w:val="yellow"/>
              </w:rPr>
            </w:pPr>
            <w:r w:rsidRPr="00024116">
              <w:rPr>
                <w:rFonts w:ascii="Arial" w:hAnsi="Arial" w:cs="Arial"/>
                <w:i/>
                <w:sz w:val="18"/>
                <w:szCs w:val="18"/>
                <w:highlight w:val="yellow"/>
              </w:rPr>
              <w:t>2014: Analyse vor Auslagerung / Auslagerungsvereinbarungen</w:t>
            </w:r>
            <w:r>
              <w:rPr>
                <w:rFonts w:ascii="Arial" w:hAnsi="Arial" w:cs="Arial"/>
                <w:i/>
                <w:sz w:val="18"/>
                <w:szCs w:val="18"/>
                <w:highlight w:val="yellow"/>
              </w:rPr>
              <w:t xml:space="preserve"> (Kritische Beurteilung)</w:t>
            </w:r>
          </w:p>
          <w:p w14:paraId="28455DD1" w14:textId="77777777" w:rsidR="00981CC2" w:rsidRPr="00024116" w:rsidRDefault="00981CC2" w:rsidP="00981CC2">
            <w:pPr>
              <w:jc w:val="both"/>
              <w:rPr>
                <w:rFonts w:ascii="Arial" w:hAnsi="Arial" w:cs="Arial"/>
                <w:i/>
                <w:sz w:val="18"/>
                <w:szCs w:val="18"/>
                <w:highlight w:val="yellow"/>
              </w:rPr>
            </w:pPr>
            <w:r w:rsidRPr="000F0ACD">
              <w:rPr>
                <w:rFonts w:ascii="Arial" w:hAnsi="Arial" w:cs="Arial"/>
                <w:i/>
                <w:sz w:val="18"/>
                <w:szCs w:val="18"/>
                <w:highlight w:val="yellow"/>
              </w:rPr>
              <w:t xml:space="preserve">2015: </w:t>
            </w:r>
            <w:r w:rsidRPr="00255340">
              <w:rPr>
                <w:rFonts w:ascii="Arial" w:hAnsi="Arial" w:cs="Arial"/>
                <w:i/>
                <w:sz w:val="18"/>
                <w:szCs w:val="18"/>
                <w:highlight w:val="yellow"/>
              </w:rPr>
              <w:t>Identifikation von Auslagerungen iVm kritischer oder wesentlicher Funktionen</w:t>
            </w:r>
            <w:r>
              <w:rPr>
                <w:rFonts w:ascii="Arial" w:hAnsi="Arial" w:cs="Arial"/>
                <w:i/>
                <w:sz w:val="18"/>
                <w:szCs w:val="18"/>
                <w:highlight w:val="yellow"/>
              </w:rPr>
              <w:t xml:space="preserve"> (Kritische Beurteilung)</w:t>
            </w:r>
          </w:p>
          <w:p w14:paraId="082CDE71" w14:textId="77777777" w:rsidR="00981CC2" w:rsidRPr="00024116" w:rsidRDefault="00981CC2" w:rsidP="00981CC2">
            <w:pPr>
              <w:jc w:val="both"/>
              <w:rPr>
                <w:rFonts w:ascii="Arial" w:hAnsi="Arial" w:cs="Arial"/>
                <w:i/>
                <w:sz w:val="18"/>
                <w:szCs w:val="18"/>
                <w:highlight w:val="yellow"/>
              </w:rPr>
            </w:pPr>
            <w:r w:rsidRPr="00024116">
              <w:rPr>
                <w:rFonts w:ascii="Arial" w:hAnsi="Arial" w:cs="Arial"/>
                <w:i/>
                <w:sz w:val="18"/>
                <w:szCs w:val="18"/>
                <w:highlight w:val="yellow"/>
              </w:rPr>
              <w:t xml:space="preserve">2016: </w:t>
            </w:r>
            <w:r w:rsidRPr="00255340">
              <w:rPr>
                <w:rFonts w:ascii="Arial" w:hAnsi="Arial" w:cs="Arial"/>
                <w:i/>
                <w:sz w:val="18"/>
                <w:szCs w:val="18"/>
                <w:highlight w:val="yellow"/>
              </w:rPr>
              <w:t>Internes Kontrollsystem von Auslagerungen / Interne Revision der ausgelagerten Tätigkeiten</w:t>
            </w:r>
            <w:r>
              <w:rPr>
                <w:rFonts w:ascii="Arial" w:hAnsi="Arial" w:cs="Arial"/>
                <w:i/>
                <w:sz w:val="18"/>
                <w:szCs w:val="18"/>
                <w:highlight w:val="yellow"/>
              </w:rPr>
              <w:t xml:space="preserve"> (Detailprüfung)</w:t>
            </w:r>
          </w:p>
          <w:p w14:paraId="3C5E3B6A" w14:textId="77777777" w:rsidR="00981CC2" w:rsidRPr="00255340" w:rsidRDefault="00981CC2" w:rsidP="00981CC2">
            <w:pPr>
              <w:jc w:val="both"/>
              <w:rPr>
                <w:rFonts w:ascii="Arial" w:hAnsi="Arial" w:cs="Arial"/>
                <w:i/>
                <w:sz w:val="18"/>
                <w:szCs w:val="18"/>
                <w:highlight w:val="yellow"/>
              </w:rPr>
            </w:pPr>
            <w:r w:rsidRPr="00024116">
              <w:rPr>
                <w:rFonts w:ascii="Arial" w:hAnsi="Arial" w:cs="Arial"/>
                <w:i/>
                <w:sz w:val="18"/>
                <w:szCs w:val="18"/>
                <w:highlight w:val="yellow"/>
              </w:rPr>
              <w:t xml:space="preserve">2017: </w:t>
            </w:r>
            <w:r w:rsidRPr="00255340">
              <w:rPr>
                <w:rFonts w:ascii="Arial" w:hAnsi="Arial" w:cs="Arial"/>
                <w:i/>
                <w:sz w:val="18"/>
                <w:szCs w:val="18"/>
                <w:highlight w:val="yellow"/>
              </w:rPr>
              <w:t>Risikomanagement von Auslagerungen</w:t>
            </w:r>
            <w:r>
              <w:rPr>
                <w:rFonts w:ascii="Arial" w:hAnsi="Arial" w:cs="Arial"/>
                <w:i/>
                <w:sz w:val="18"/>
                <w:szCs w:val="18"/>
                <w:highlight w:val="yellow"/>
              </w:rPr>
              <w:t xml:space="preserve"> (Kritische Beurteilung)</w:t>
            </w:r>
          </w:p>
          <w:p w14:paraId="53F896CD" w14:textId="061A2B5A" w:rsidR="00D83362" w:rsidRPr="006749F0" w:rsidRDefault="00981CC2" w:rsidP="00981CC2">
            <w:pPr>
              <w:jc w:val="both"/>
              <w:rPr>
                <w:rFonts w:ascii="Arial" w:hAnsi="Arial" w:cs="Arial"/>
                <w:i/>
                <w:sz w:val="18"/>
                <w:szCs w:val="18"/>
              </w:rPr>
            </w:pPr>
            <w:r w:rsidRPr="00255340">
              <w:rPr>
                <w:rFonts w:ascii="Arial" w:hAnsi="Arial" w:cs="Arial"/>
                <w:i/>
                <w:sz w:val="18"/>
                <w:szCs w:val="18"/>
                <w:highlight w:val="yellow"/>
              </w:rPr>
              <w:t>2018: Ausstiegsstrategien (Detailprüfung)</w:t>
            </w:r>
          </w:p>
        </w:tc>
      </w:tr>
      <w:tr w:rsidR="00D83362" w:rsidRPr="00205653" w14:paraId="5258DEDF" w14:textId="77777777" w:rsidTr="00671DBD">
        <w:trPr>
          <w:trHeight w:val="133"/>
        </w:trPr>
        <w:tc>
          <w:tcPr>
            <w:tcW w:w="9740" w:type="dxa"/>
            <w:gridSpan w:val="4"/>
          </w:tcPr>
          <w:p w14:paraId="542DB493" w14:textId="77777777" w:rsidR="00D83362" w:rsidRDefault="00D83362" w:rsidP="00671DBD">
            <w:pPr>
              <w:jc w:val="both"/>
              <w:rPr>
                <w:rFonts w:ascii="Arial" w:hAnsi="Arial" w:cs="Arial"/>
                <w:sz w:val="18"/>
                <w:szCs w:val="18"/>
              </w:rPr>
            </w:pPr>
          </w:p>
          <w:p w14:paraId="7875440B" w14:textId="77777777" w:rsidR="00D83362" w:rsidRPr="00F60909" w:rsidRDefault="00D83362" w:rsidP="00671DBD">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5C04644" w14:textId="77777777" w:rsidR="00D83362" w:rsidRDefault="00D83362" w:rsidP="00671DBD">
            <w:pPr>
              <w:jc w:val="both"/>
              <w:rPr>
                <w:rFonts w:ascii="Arial" w:hAnsi="Arial" w:cs="Arial"/>
                <w:sz w:val="18"/>
                <w:szCs w:val="18"/>
                <w:highlight w:val="yellow"/>
              </w:rPr>
            </w:pPr>
          </w:p>
          <w:p w14:paraId="4E7A17A6" w14:textId="4C8AD01B" w:rsidR="00D83362" w:rsidRPr="007B1593" w:rsidRDefault="00D83362" w:rsidP="00671DBD">
            <w:pPr>
              <w:jc w:val="both"/>
              <w:rPr>
                <w:rFonts w:ascii="Arial" w:hAnsi="Arial" w:cs="Arial"/>
                <w:sz w:val="18"/>
                <w:szCs w:val="18"/>
                <w:highlight w:val="yellow"/>
              </w:rPr>
            </w:pPr>
            <w:r w:rsidRPr="007B1593">
              <w:rPr>
                <w:rFonts w:ascii="Arial" w:hAnsi="Arial" w:cs="Arial"/>
                <w:sz w:val="18"/>
                <w:szCs w:val="18"/>
                <w:highlight w:val="yellow"/>
              </w:rPr>
              <w:t xml:space="preserve">Art. 14a BankG; </w:t>
            </w:r>
            <w:r w:rsidR="00205653" w:rsidRPr="007B1593">
              <w:rPr>
                <w:rFonts w:ascii="Arial" w:hAnsi="Arial" w:cs="Arial"/>
                <w:sz w:val="18"/>
                <w:szCs w:val="18"/>
                <w:highlight w:val="yellow"/>
              </w:rPr>
              <w:t xml:space="preserve">Art. </w:t>
            </w:r>
            <w:r w:rsidR="00205653" w:rsidRPr="005B66F8">
              <w:rPr>
                <w:rFonts w:ascii="Arial" w:hAnsi="Arial" w:cs="Arial"/>
                <w:sz w:val="18"/>
                <w:szCs w:val="18"/>
                <w:highlight w:val="yellow"/>
              </w:rPr>
              <w:t xml:space="preserve">34b BankV; </w:t>
            </w:r>
            <w:r w:rsidRPr="007B1593">
              <w:rPr>
                <w:rFonts w:ascii="Arial" w:hAnsi="Arial" w:cs="Arial"/>
                <w:sz w:val="18"/>
                <w:szCs w:val="18"/>
                <w:highlight w:val="yellow"/>
              </w:rPr>
              <w:t xml:space="preserve">Art. 35 BankV; </w:t>
            </w:r>
            <w:r w:rsidR="00D809D1" w:rsidRPr="007B1593">
              <w:rPr>
                <w:rFonts w:ascii="Arial" w:hAnsi="Arial" w:cs="Arial"/>
                <w:sz w:val="18"/>
                <w:szCs w:val="18"/>
                <w:highlight w:val="yellow"/>
              </w:rPr>
              <w:t>EBA/GL/20</w:t>
            </w:r>
            <w:r w:rsidR="00635FFA" w:rsidRPr="005B66F8">
              <w:rPr>
                <w:rFonts w:ascii="Arial" w:hAnsi="Arial" w:cs="Arial"/>
                <w:sz w:val="18"/>
                <w:szCs w:val="18"/>
                <w:highlight w:val="yellow"/>
              </w:rPr>
              <w:t>21</w:t>
            </w:r>
            <w:r w:rsidR="00D809D1" w:rsidRPr="007B1593">
              <w:rPr>
                <w:rFonts w:ascii="Arial" w:hAnsi="Arial" w:cs="Arial"/>
                <w:sz w:val="18"/>
                <w:szCs w:val="18"/>
                <w:highlight w:val="yellow"/>
              </w:rPr>
              <w:t>/</w:t>
            </w:r>
            <w:r w:rsidR="00635FFA" w:rsidRPr="005B66F8">
              <w:rPr>
                <w:rFonts w:ascii="Arial" w:hAnsi="Arial" w:cs="Arial"/>
                <w:sz w:val="18"/>
                <w:szCs w:val="18"/>
                <w:highlight w:val="yellow"/>
              </w:rPr>
              <w:t>05</w:t>
            </w:r>
            <w:r w:rsidR="00D809D1" w:rsidRPr="007B1593">
              <w:rPr>
                <w:rFonts w:ascii="Arial" w:hAnsi="Arial" w:cs="Arial"/>
                <w:sz w:val="18"/>
                <w:szCs w:val="18"/>
                <w:highlight w:val="yellow"/>
              </w:rPr>
              <w:t>; EBA/GL/2018/03</w:t>
            </w:r>
            <w:r w:rsidRPr="007B1593">
              <w:rPr>
                <w:rFonts w:ascii="Arial" w:hAnsi="Arial" w:cs="Arial"/>
                <w:sz w:val="18"/>
                <w:szCs w:val="18"/>
              </w:rPr>
              <w:t xml:space="preserve">; </w:t>
            </w:r>
            <w:r w:rsidRPr="007B1593">
              <w:rPr>
                <w:rFonts w:ascii="Arial" w:hAnsi="Arial" w:cs="Arial"/>
                <w:sz w:val="18"/>
                <w:szCs w:val="18"/>
                <w:highlight w:val="yellow"/>
              </w:rPr>
              <w:t>EBA/GL/2019/02</w:t>
            </w:r>
          </w:p>
          <w:p w14:paraId="7C548AAC" w14:textId="0A582DDF" w:rsidR="0084047C" w:rsidRPr="007B1593" w:rsidRDefault="0084047C" w:rsidP="00671DBD">
            <w:pPr>
              <w:jc w:val="both"/>
              <w:rPr>
                <w:rFonts w:ascii="Arial" w:hAnsi="Arial" w:cs="Arial"/>
                <w:sz w:val="16"/>
                <w:szCs w:val="16"/>
                <w:highlight w:val="yellow"/>
              </w:rPr>
            </w:pPr>
          </w:p>
        </w:tc>
      </w:tr>
      <w:tr w:rsidR="00D83362" w:rsidRPr="00205653" w14:paraId="40B63C7A" w14:textId="77777777" w:rsidTr="00671DBD">
        <w:trPr>
          <w:trHeight w:val="294"/>
        </w:trPr>
        <w:tc>
          <w:tcPr>
            <w:tcW w:w="3775" w:type="dxa"/>
            <w:gridSpan w:val="2"/>
          </w:tcPr>
          <w:p w14:paraId="366AEA8D" w14:textId="77777777" w:rsidR="00D83362" w:rsidRPr="007B1593" w:rsidRDefault="00D83362" w:rsidP="00671DBD">
            <w:pPr>
              <w:jc w:val="both"/>
              <w:rPr>
                <w:rFonts w:ascii="Arial" w:hAnsi="Arial" w:cs="Arial"/>
                <w:sz w:val="18"/>
                <w:szCs w:val="18"/>
              </w:rPr>
            </w:pPr>
          </w:p>
        </w:tc>
        <w:tc>
          <w:tcPr>
            <w:tcW w:w="5965" w:type="dxa"/>
            <w:gridSpan w:val="2"/>
          </w:tcPr>
          <w:p w14:paraId="3EB4FF63" w14:textId="77777777" w:rsidR="00D83362" w:rsidRPr="007B1593" w:rsidRDefault="00D83362" w:rsidP="00671DBD">
            <w:pPr>
              <w:jc w:val="both"/>
              <w:rPr>
                <w:rFonts w:ascii="Arial" w:hAnsi="Arial" w:cs="Arial"/>
                <w:sz w:val="18"/>
                <w:szCs w:val="18"/>
              </w:rPr>
            </w:pPr>
          </w:p>
        </w:tc>
      </w:tr>
      <w:tr w:rsidR="00D83362" w:rsidRPr="009872F3" w14:paraId="1B626D34" w14:textId="77777777" w:rsidTr="00671DBD">
        <w:tc>
          <w:tcPr>
            <w:tcW w:w="5913" w:type="dxa"/>
            <w:gridSpan w:val="3"/>
          </w:tcPr>
          <w:p w14:paraId="2A3AE10C" w14:textId="77777777" w:rsidR="00D83362" w:rsidRPr="00CB3EE6" w:rsidRDefault="00D83362" w:rsidP="00671DBD">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2FD86333" w14:textId="77777777" w:rsidR="00D83362" w:rsidRPr="00C3479D" w:rsidRDefault="00D83362" w:rsidP="00671DB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83362" w:rsidRPr="009872F3" w14:paraId="07C6D057" w14:textId="77777777" w:rsidTr="00671DBD">
        <w:tc>
          <w:tcPr>
            <w:tcW w:w="5913" w:type="dxa"/>
            <w:gridSpan w:val="3"/>
          </w:tcPr>
          <w:p w14:paraId="2A0416EB" w14:textId="77777777" w:rsidR="00D83362" w:rsidRPr="009872F3" w:rsidRDefault="00D83362" w:rsidP="00671DB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79F00398" w14:textId="77777777" w:rsidR="00D83362" w:rsidRPr="00E109DF" w:rsidRDefault="00D83362" w:rsidP="00671DBD">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D83362" w:rsidRPr="009872F3" w14:paraId="4013777B" w14:textId="77777777" w:rsidTr="00671DBD">
        <w:tc>
          <w:tcPr>
            <w:tcW w:w="5913" w:type="dxa"/>
            <w:gridSpan w:val="3"/>
          </w:tcPr>
          <w:p w14:paraId="71333F4B" w14:textId="77777777" w:rsidR="00D83362" w:rsidRDefault="00D83362" w:rsidP="00671DBD">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56100818" w14:textId="77777777" w:rsidR="00D83362" w:rsidRPr="00E109DF" w:rsidRDefault="00D83362" w:rsidP="00671DBD">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45DB7FB4" w14:textId="77777777" w:rsidR="00D83362" w:rsidRDefault="00D83362" w:rsidP="00D83362">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D83362" w:rsidRPr="00CE3194" w14:paraId="6C2AB146" w14:textId="77777777" w:rsidTr="00671DBD">
        <w:tc>
          <w:tcPr>
            <w:tcW w:w="1668" w:type="dxa"/>
          </w:tcPr>
          <w:p w14:paraId="10BEE3F3" w14:textId="77777777" w:rsidR="00D83362" w:rsidRPr="00CE3194" w:rsidRDefault="00D83362" w:rsidP="00671DBD">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063BA6AA" w14:textId="77777777" w:rsidR="00D83362" w:rsidRPr="00CE3194" w:rsidRDefault="00D83362" w:rsidP="00671DBD">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397582E1" w14:textId="77777777" w:rsidR="00D83362" w:rsidRDefault="00D83362" w:rsidP="00671DBD">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D83362" w:rsidRPr="00CE3194" w14:paraId="6C276B17" w14:textId="77777777" w:rsidTr="00671DBD">
        <w:tc>
          <w:tcPr>
            <w:tcW w:w="1668" w:type="dxa"/>
          </w:tcPr>
          <w:p w14:paraId="3CDFCBD5" w14:textId="77777777" w:rsidR="00D83362" w:rsidRPr="005905B2" w:rsidRDefault="00D83362" w:rsidP="00671DBD">
            <w:pPr>
              <w:jc w:val="both"/>
              <w:rPr>
                <w:rFonts w:ascii="Arial" w:hAnsi="Arial" w:cs="Arial"/>
                <w:i/>
                <w:sz w:val="20"/>
                <w:szCs w:val="20"/>
                <w:highlight w:val="lightGray"/>
              </w:rPr>
            </w:pPr>
            <w:r>
              <w:rPr>
                <w:rFonts w:ascii="Arial" w:hAnsi="Arial" w:cs="Arial"/>
                <w:i/>
                <w:sz w:val="20"/>
                <w:szCs w:val="20"/>
                <w:highlight w:val="lightGray"/>
              </w:rPr>
              <w:t xml:space="preserve">Auslagerungspolitik / -richtlinien </w:t>
            </w:r>
          </w:p>
        </w:tc>
        <w:tc>
          <w:tcPr>
            <w:tcW w:w="5313" w:type="dxa"/>
          </w:tcPr>
          <w:p w14:paraId="709B7887" w14:textId="72AAE283"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Auslagerungspolitik sowie die internen Verfahren stellen die Einhaltung der </w:t>
            </w:r>
            <w:r w:rsidR="008C7E05">
              <w:rPr>
                <w:rFonts w:cs="Arial"/>
                <w:i/>
                <w:szCs w:val="20"/>
                <w:highlight w:val="lightGray"/>
              </w:rPr>
              <w:t>regulatorischen</w:t>
            </w:r>
            <w:r>
              <w:rPr>
                <w:rFonts w:cs="Arial"/>
                <w:i/>
                <w:szCs w:val="20"/>
                <w:highlight w:val="lightGray"/>
              </w:rPr>
              <w:t xml:space="preserve"> Bestimmungen sicher</w:t>
            </w:r>
          </w:p>
          <w:p w14:paraId="176BBE31" w14:textId="4BD02F51"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sind angemessen ausgestaltet und decken zumindest folgende Gesichtspunkte ab:</w:t>
            </w:r>
          </w:p>
          <w:p w14:paraId="1B6C2DE7"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Zuständigkeiten von Verwaltungsrat und Geschäftsleitung</w:t>
            </w:r>
          </w:p>
          <w:p w14:paraId="2029B111"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Einbindung der Geschäftsbereiche und der internen Kontrollfunktionen</w:t>
            </w:r>
          </w:p>
          <w:p w14:paraId="7A7A8ADA"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Planung von Auslagerungsvereinbarungen</w:t>
            </w:r>
          </w:p>
          <w:p w14:paraId="4A2DB771"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Umsetzung, Überwachung und das Management von Auslagerungsvereinbarungen</w:t>
            </w:r>
          </w:p>
          <w:p w14:paraId="56E3599E"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Dokumentation von Auslagerungsvereinbarungen</w:t>
            </w:r>
          </w:p>
          <w:p w14:paraId="6AF1EDFE" w14:textId="77777777" w:rsidR="00D83362" w:rsidRDefault="00D83362" w:rsidP="00671DBD">
            <w:pPr>
              <w:pStyle w:val="Listenabsatz"/>
              <w:numPr>
                <w:ilvl w:val="2"/>
                <w:numId w:val="17"/>
              </w:numPr>
              <w:ind w:left="742"/>
              <w:jc w:val="both"/>
              <w:rPr>
                <w:rFonts w:cs="Arial"/>
                <w:i/>
                <w:szCs w:val="20"/>
                <w:highlight w:val="lightGray"/>
              </w:rPr>
            </w:pPr>
            <w:r>
              <w:rPr>
                <w:rFonts w:cs="Arial"/>
                <w:i/>
                <w:szCs w:val="20"/>
                <w:highlight w:val="lightGray"/>
              </w:rPr>
              <w:t xml:space="preserve">Ausstiegsszenarien und Kündigungsverfahren inkl. eines dokumentierten Ausstiegsplans für jede auszulagernde kritische oder wesentliche Funktion </w:t>
            </w:r>
          </w:p>
          <w:p w14:paraId="5E44232E"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wurden vom Verwaltungsrat genehmigt</w:t>
            </w:r>
          </w:p>
          <w:p w14:paraId="770689ED"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regelmässig überprüft und aktualisiert</w:t>
            </w:r>
          </w:p>
          <w:p w14:paraId="50E650B8" w14:textId="77777777" w:rsidR="00D83362" w:rsidRPr="005905B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angemessen umgesetzt</w:t>
            </w:r>
          </w:p>
        </w:tc>
        <w:tc>
          <w:tcPr>
            <w:tcW w:w="2759" w:type="dxa"/>
          </w:tcPr>
          <w:p w14:paraId="2EB373D8" w14:textId="49775A2B" w:rsidR="00D83362" w:rsidRDefault="00D83362" w:rsidP="00671DBD">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w:t>
            </w:r>
            <w:r w:rsidRPr="00255340">
              <w:rPr>
                <w:rFonts w:cs="Arial"/>
                <w:i/>
                <w:szCs w:val="20"/>
                <w:highlight w:val="lightGray"/>
              </w:rPr>
              <w:t xml:space="preserve">eine angemessene Auslagerungspolitik zu Auslagerungen sowie interne Verfahren bestehen, die die Einhaltung der </w:t>
            </w:r>
            <w:r w:rsidR="008C7E05">
              <w:rPr>
                <w:rFonts w:cs="Arial"/>
                <w:i/>
                <w:szCs w:val="20"/>
                <w:highlight w:val="lightGray"/>
              </w:rPr>
              <w:t>regulatorischen</w:t>
            </w:r>
            <w:r w:rsidRPr="00255340">
              <w:rPr>
                <w:rFonts w:cs="Arial"/>
                <w:i/>
                <w:szCs w:val="20"/>
                <w:highlight w:val="lightGray"/>
              </w:rPr>
              <w:t xml:space="preserve"> Bestimmungen zu Auslagerungen sicherstellen</w:t>
            </w:r>
          </w:p>
          <w:p w14:paraId="356FE682" w14:textId="77777777" w:rsidR="00D83362" w:rsidRPr="000C756C"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die internen Auslagerungsrichtlinien angemessen ausgestaltet sind, regelmässig überprüft und aktualisiert werden</w:t>
            </w:r>
          </w:p>
          <w:p w14:paraId="20EAD62E" w14:textId="77777777" w:rsidR="00D83362" w:rsidRPr="000C756C" w:rsidRDefault="00D83362" w:rsidP="00671DBD">
            <w:pPr>
              <w:pStyle w:val="Listenabsatz"/>
              <w:ind w:left="1440"/>
              <w:jc w:val="both"/>
              <w:rPr>
                <w:rFonts w:cs="Arial"/>
                <w:i/>
                <w:szCs w:val="20"/>
                <w:highlight w:val="lightGray"/>
              </w:rPr>
            </w:pPr>
          </w:p>
        </w:tc>
      </w:tr>
      <w:tr w:rsidR="00D83362" w:rsidRPr="00CE3194" w14:paraId="7283AA5C" w14:textId="77777777" w:rsidTr="00671DBD">
        <w:tc>
          <w:tcPr>
            <w:tcW w:w="1668" w:type="dxa"/>
          </w:tcPr>
          <w:p w14:paraId="3F443D07"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Analyse vor der Auslagerung</w:t>
            </w:r>
          </w:p>
        </w:tc>
        <w:tc>
          <w:tcPr>
            <w:tcW w:w="5313" w:type="dxa"/>
          </w:tcPr>
          <w:p w14:paraId="37E61022"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der Auslagerung die aufsichtlichen Bedingungen für eine Auslagerung geprüft werden und erfüllt sind</w:t>
            </w:r>
          </w:p>
          <w:p w14:paraId="1005B2FC" w14:textId="74FF0014"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sicher, dass</w:t>
            </w:r>
            <w:r w:rsidR="00953F3E">
              <w:rPr>
                <w:rFonts w:cs="Arial"/>
                <w:i/>
                <w:szCs w:val="20"/>
                <w:highlight w:val="lightGray"/>
              </w:rPr>
              <w:t xml:space="preserve"> die wesentlichen</w:t>
            </w:r>
            <w:r>
              <w:rPr>
                <w:rFonts w:cs="Arial"/>
                <w:i/>
                <w:szCs w:val="20"/>
                <w:highlight w:val="lightGray"/>
              </w:rPr>
              <w:t xml:space="preserve"> Risiken der Auslagerungsvereinbarung im Vorfeld ermittelt und bewertet werden</w:t>
            </w:r>
          </w:p>
          <w:p w14:paraId="45B01DBA" w14:textId="31EAB569"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Auswahl- und Bewertungsverfahren (Due-Diligence-Prüfung) des künftigen Dienstleisters</w:t>
            </w:r>
            <w:r w:rsidR="00310057">
              <w:rPr>
                <w:rFonts w:cs="Arial"/>
                <w:i/>
                <w:szCs w:val="20"/>
                <w:highlight w:val="lightGray"/>
              </w:rPr>
              <w:t>*</w:t>
            </w:r>
            <w:r>
              <w:rPr>
                <w:rFonts w:cs="Arial"/>
                <w:i/>
                <w:szCs w:val="20"/>
                <w:highlight w:val="lightGray"/>
              </w:rPr>
              <w:t xml:space="preserve"> sicher</w:t>
            </w:r>
          </w:p>
          <w:p w14:paraId="10713A8C"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Das Auswahl- und Bewertungsverfahren für die Auslagerung von kritischen und wesentlichen Funktionen hat die Beurteilung der Reputation, der angemessenen und ausreichenden Fähigkeiten, Fachkenntnisse, Kapazitäten, personelle und finanzielle Mittel und eine angemessene Organisationsstruktur zu beinhalten</w:t>
            </w:r>
          </w:p>
          <w:p w14:paraId="62DFB565"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Interessenskonflikte, die durch die Auslagerung entstehen könnten, im Vorfeld der Auslagerungsvereinbarung analysiert und bewertet werden</w:t>
            </w:r>
          </w:p>
        </w:tc>
        <w:tc>
          <w:tcPr>
            <w:tcW w:w="2759" w:type="dxa"/>
          </w:tcPr>
          <w:p w14:paraId="3B3EC7CC" w14:textId="77777777" w:rsidR="00D83362" w:rsidRPr="000C756C"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angemessene interne Verfahren für die Analyse des Dienstleister und der </w:t>
            </w:r>
            <w:r w:rsidRPr="00255340">
              <w:rPr>
                <w:rFonts w:cs="Arial"/>
                <w:i/>
                <w:szCs w:val="20"/>
                <w:highlight w:val="lightGray"/>
              </w:rPr>
              <w:lastRenderedPageBreak/>
              <w:t>auszulagernden Funktionen/Prozesse/Dienstleistungen vor der effektiven Auslagerung bestehen, die die Prüfung der aufsichtlichen Bedingungen, die Berücksichtigung wesentlicher Risiken, eine angemessene Due-Diligence-Prüfung und die Analyse von Interessenskonflikte berücksichtigen</w:t>
            </w:r>
          </w:p>
        </w:tc>
      </w:tr>
      <w:tr w:rsidR="00D83362" w:rsidRPr="00CE3194" w14:paraId="74B01B25" w14:textId="77777777" w:rsidTr="00671DBD">
        <w:tc>
          <w:tcPr>
            <w:tcW w:w="1668" w:type="dxa"/>
          </w:tcPr>
          <w:p w14:paraId="402B6FAD"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lastRenderedPageBreak/>
              <w:t>Auslagerungsvereinbarungen</w:t>
            </w:r>
          </w:p>
        </w:tc>
        <w:tc>
          <w:tcPr>
            <w:tcW w:w="5313" w:type="dxa"/>
          </w:tcPr>
          <w:p w14:paraId="5D681B09"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sämtliche ausgelagerte Funktionen/Prozesse/Dienstleistungen schriftliche Auslagerungsvereinbarungen abgeschlossen werden</w:t>
            </w:r>
          </w:p>
          <w:p w14:paraId="7DE20447" w14:textId="4192E005"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Auslagerungsvereinbarung die Rechte und Pflichten des Dienstleisters und </w:t>
            </w:r>
            <w:r w:rsidR="00D9457E">
              <w:rPr>
                <w:rFonts w:cs="Arial"/>
                <w:i/>
                <w:szCs w:val="20"/>
                <w:highlight w:val="lightGray"/>
              </w:rPr>
              <w:t xml:space="preserve">der </w:t>
            </w:r>
            <w:r w:rsidR="004B6F11">
              <w:rPr>
                <w:rFonts w:cs="Arial"/>
                <w:i/>
                <w:szCs w:val="20"/>
                <w:highlight w:val="lightGray"/>
              </w:rPr>
              <w:t>Bank/Wertpapierfirma</w:t>
            </w:r>
            <w:r w:rsidR="004D5057">
              <w:rPr>
                <w:rFonts w:cs="Arial"/>
                <w:i/>
                <w:szCs w:val="20"/>
                <w:highlight w:val="lightGray"/>
              </w:rPr>
              <w:t xml:space="preserve"> bzw. </w:t>
            </w:r>
            <w:r w:rsidR="004B6F11" w:rsidRPr="00CE3194">
              <w:rPr>
                <w:rFonts w:cs="Arial"/>
                <w:i/>
                <w:szCs w:val="20"/>
                <w:highlight w:val="lightGray"/>
              </w:rPr>
              <w:t>der Gruppe</w:t>
            </w:r>
            <w:r w:rsidR="002A0999">
              <w:rPr>
                <w:rFonts w:cs="Arial"/>
                <w:i/>
                <w:szCs w:val="20"/>
                <w:highlight w:val="lightGray"/>
              </w:rPr>
              <w:t>, die Ziele und Massnahmen bzgl. der Informationssicherheit (Cybersicherheit, Datenlebenszyklus, Datenverschlüsselung, Standort Rechenzentren etc.), die Prozesse zur Behandlung, Eskalations- und Berichterstattung von Betriebs- und Sicherheitsvorfällen</w:t>
            </w:r>
            <w:r>
              <w:rPr>
                <w:rFonts w:cs="Arial"/>
                <w:i/>
                <w:szCs w:val="20"/>
                <w:highlight w:val="lightGray"/>
              </w:rPr>
              <w:t xml:space="preserve"> eindeutig festlegt</w:t>
            </w:r>
            <w:r w:rsidR="002A0999">
              <w:rPr>
                <w:rFonts w:cs="Arial"/>
                <w:i/>
                <w:szCs w:val="20"/>
                <w:highlight w:val="lightGray"/>
              </w:rPr>
              <w:t xml:space="preserve"> </w:t>
            </w:r>
          </w:p>
          <w:p w14:paraId="62CB1A17"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darlegt, ob Weiterverlagerungen von kritischen oder wesentlichen Funktionen zulässig sind oder nicht</w:t>
            </w:r>
          </w:p>
          <w:p w14:paraId="6584DDE5"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 beinhaltet Kündigungsrechte</w:t>
            </w:r>
          </w:p>
          <w:p w14:paraId="24B4DFC4" w14:textId="4A0B6502" w:rsidR="00DE266B" w:rsidRPr="00DE266B" w:rsidRDefault="00DE266B" w:rsidP="00DE266B">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Auslagerungsvereinbarungen stellen sicher, dass die </w:t>
            </w:r>
            <w:r w:rsidR="004B6F11">
              <w:rPr>
                <w:rFonts w:cs="Arial"/>
                <w:i/>
                <w:szCs w:val="20"/>
                <w:highlight w:val="lightGray"/>
              </w:rPr>
              <w:t xml:space="preserve">Bank/Wertpapierfirma bzw. </w:t>
            </w:r>
            <w:r w:rsidR="004B6F11" w:rsidRPr="00CE3194">
              <w:rPr>
                <w:rFonts w:cs="Arial"/>
                <w:i/>
                <w:szCs w:val="20"/>
                <w:highlight w:val="lightGray"/>
              </w:rPr>
              <w:t>d</w:t>
            </w:r>
            <w:r w:rsidR="004B6F11">
              <w:rPr>
                <w:rFonts w:cs="Arial"/>
                <w:i/>
                <w:szCs w:val="20"/>
                <w:highlight w:val="lightGray"/>
              </w:rPr>
              <w:t>ie</w:t>
            </w:r>
            <w:r w:rsidR="004B6F11" w:rsidRPr="00CE3194">
              <w:rPr>
                <w:rFonts w:cs="Arial"/>
                <w:i/>
                <w:szCs w:val="20"/>
                <w:highlight w:val="lightGray"/>
              </w:rPr>
              <w:t xml:space="preserve"> Gruppe</w:t>
            </w:r>
            <w:r w:rsidRPr="0070592D">
              <w:rPr>
                <w:rFonts w:cs="Arial"/>
                <w:i/>
                <w:szCs w:val="20"/>
                <w:highlight w:val="lightGray"/>
              </w:rPr>
              <w:t xml:space="preserve">, die interne und externe Revisionsstelle sowie die FMA über uneingeschränkte Zugangs-, Informations- und Prüfungsrechte zu den ausgelagerten Diensten, Systemen und Cloud-Services </w:t>
            </w:r>
            <w:r w:rsidR="00AC2FFF">
              <w:rPr>
                <w:rFonts w:cs="Arial"/>
                <w:i/>
                <w:szCs w:val="20"/>
                <w:highlight w:val="lightGray"/>
              </w:rPr>
              <w:t xml:space="preserve">gemäss den </w:t>
            </w:r>
            <w:r w:rsidR="00301F5D">
              <w:rPr>
                <w:rFonts w:cs="Arial"/>
                <w:i/>
                <w:szCs w:val="20"/>
                <w:highlight w:val="lightGray"/>
              </w:rPr>
              <w:t>einschlägigen</w:t>
            </w:r>
            <w:r w:rsidR="00AC2FFF">
              <w:rPr>
                <w:rFonts w:cs="Arial"/>
                <w:i/>
                <w:szCs w:val="20"/>
                <w:highlight w:val="lightGray"/>
              </w:rPr>
              <w:t xml:space="preserve"> Bestimmungen verfügt</w:t>
            </w:r>
            <w:r w:rsidR="00AC2FFF" w:rsidRPr="0070592D">
              <w:rPr>
                <w:rFonts w:cs="Arial"/>
                <w:i/>
                <w:szCs w:val="20"/>
                <w:highlight w:val="lightGray"/>
              </w:rPr>
              <w:t xml:space="preserve"> </w:t>
            </w:r>
            <w:r w:rsidR="00AC2FFF">
              <w:rPr>
                <w:rFonts w:cs="Arial"/>
                <w:i/>
                <w:szCs w:val="20"/>
                <w:highlight w:val="lightGray"/>
              </w:rPr>
              <w:t xml:space="preserve">(bei kritisch/wesentlich und bei unkritisch/wesentlich) </w:t>
            </w:r>
            <w:r w:rsidRPr="0070592D">
              <w:rPr>
                <w:rFonts w:cs="Arial"/>
                <w:i/>
                <w:szCs w:val="20"/>
                <w:highlight w:val="lightGray"/>
              </w:rPr>
              <w:t>verfügt (im Falle einer Weiterverlagerung auch gegenüber Subunternehmen)</w:t>
            </w:r>
            <w:r w:rsidR="00127F95">
              <w:rPr>
                <w:rFonts w:cs="Arial"/>
                <w:i/>
                <w:szCs w:val="20"/>
                <w:highlight w:val="lightGray"/>
              </w:rPr>
              <w:t xml:space="preserve"> </w:t>
            </w:r>
          </w:p>
        </w:tc>
        <w:tc>
          <w:tcPr>
            <w:tcW w:w="2759" w:type="dxa"/>
          </w:tcPr>
          <w:p w14:paraId="49F91BE6"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die schriftlichen Auslagerungsvereinbarungen angemessen ausgestaltet sind</w:t>
            </w:r>
          </w:p>
        </w:tc>
      </w:tr>
      <w:tr w:rsidR="00D83362" w:rsidRPr="00CE3194" w14:paraId="1E8E1CD6" w14:textId="77777777" w:rsidTr="00671DBD">
        <w:tc>
          <w:tcPr>
            <w:tcW w:w="1668" w:type="dxa"/>
          </w:tcPr>
          <w:p w14:paraId="230E5D6B"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Identifikation von Auslagerungen iVm kritischer oder wesentlicher Funktionen</w:t>
            </w:r>
          </w:p>
        </w:tc>
        <w:tc>
          <w:tcPr>
            <w:tcW w:w="5313" w:type="dxa"/>
          </w:tcPr>
          <w:p w14:paraId="792298D3"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vollständige und korrekte Identifikation der ausgelagerten Funktionen/Prozesse/Dienstleistungen an einen Dienstleister („Auslagerungen“) sicher</w:t>
            </w:r>
          </w:p>
          <w:p w14:paraId="3F4DD761" w14:textId="4CA5C99A"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angemessene Identifikation der kritischen oder wesentlichen ausgelagerten Funktionen/Prozesse/Dienstleistungen </w:t>
            </w:r>
            <w:r w:rsidR="00D9457E">
              <w:rPr>
                <w:rFonts w:cs="Arial"/>
                <w:i/>
                <w:szCs w:val="20"/>
                <w:highlight w:val="lightGray"/>
              </w:rPr>
              <w:t xml:space="preserve">der </w:t>
            </w:r>
            <w:r w:rsidR="004B6F11">
              <w:rPr>
                <w:rFonts w:cs="Arial"/>
                <w:i/>
                <w:szCs w:val="20"/>
                <w:highlight w:val="lightGray"/>
              </w:rPr>
              <w:t xml:space="preserve">Bank/Wertpapierfirma bzw. </w:t>
            </w:r>
            <w:r w:rsidR="004B6F11" w:rsidRPr="00CE3194">
              <w:rPr>
                <w:rFonts w:cs="Arial"/>
                <w:i/>
                <w:szCs w:val="20"/>
                <w:highlight w:val="lightGray"/>
              </w:rPr>
              <w:t>der Gruppe</w:t>
            </w:r>
            <w:r w:rsidR="004B6F11" w:rsidDel="004B6F11">
              <w:rPr>
                <w:rFonts w:cs="Arial"/>
                <w:i/>
                <w:szCs w:val="20"/>
                <w:highlight w:val="lightGray"/>
              </w:rPr>
              <w:t xml:space="preserve"> </w:t>
            </w:r>
            <w:r>
              <w:rPr>
                <w:rFonts w:cs="Arial"/>
                <w:i/>
                <w:szCs w:val="20"/>
                <w:highlight w:val="lightGray"/>
              </w:rPr>
              <w:t>gemäss regulatorischer und interner Bestimmungen sicher</w:t>
            </w:r>
          </w:p>
          <w:p w14:paraId="19E3D30F" w14:textId="5893C811"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bei Weiterverlagerung von kritischen oder wesentlichen Funktionen sicher, dass die Auslagerungsvereinbarung die vorgegebenen regulatorischen Mindestinhalte beinhaltet: Angaben von Tätigkeiten die von einer Weiterverlagerung ausgeschlossen sind; Bedingungen, die bei der Weiterverlagerung vom Dienstleister einzuhalten sind; die Überwachungspflichten des Dienstleisters; die Genehmigungs- und Informationspflichten des Dienstleisters, die Kündi</w:t>
            </w:r>
            <w:r w:rsidR="00D9457E">
              <w:rPr>
                <w:rFonts w:cs="Arial"/>
                <w:i/>
                <w:szCs w:val="20"/>
                <w:highlight w:val="lightGray"/>
              </w:rPr>
              <w:t xml:space="preserve">gungsrechte für </w:t>
            </w:r>
            <w:r w:rsidR="004B6F11">
              <w:rPr>
                <w:rFonts w:cs="Arial"/>
                <w:i/>
                <w:szCs w:val="20"/>
                <w:highlight w:val="lightGray"/>
              </w:rPr>
              <w:t xml:space="preserve">Bank/Wertpapierfirma bzw. </w:t>
            </w:r>
            <w:r w:rsidR="004B6F11" w:rsidRPr="00CE3194">
              <w:rPr>
                <w:rFonts w:cs="Arial"/>
                <w:i/>
                <w:szCs w:val="20"/>
                <w:highlight w:val="lightGray"/>
              </w:rPr>
              <w:t>der Gruppe</w:t>
            </w:r>
            <w:r>
              <w:rPr>
                <w:rFonts w:cs="Arial"/>
                <w:i/>
                <w:szCs w:val="20"/>
                <w:highlight w:val="lightGray"/>
              </w:rPr>
              <w:t xml:space="preserve"> im Falle einer unzulässigen Weiterverlagerung durch den Dienstleister</w:t>
            </w:r>
          </w:p>
        </w:tc>
        <w:tc>
          <w:tcPr>
            <w:tcW w:w="2759" w:type="dxa"/>
          </w:tcPr>
          <w:p w14:paraId="5424B74C" w14:textId="77777777" w:rsidR="00D83362" w:rsidRPr="00255340"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internen Verfahren gewährleisten, dass die ausgelagerten Funktionen/Prozesse/Dienstleistungen an einen </w:t>
            </w:r>
            <w:r>
              <w:rPr>
                <w:rFonts w:cs="Arial"/>
                <w:i/>
                <w:szCs w:val="20"/>
                <w:highlight w:val="lightGray"/>
              </w:rPr>
              <w:t>Dienstleister</w:t>
            </w:r>
            <w:r w:rsidRPr="00255340">
              <w:rPr>
                <w:rFonts w:cs="Arial"/>
                <w:i/>
                <w:szCs w:val="20"/>
                <w:highlight w:val="lightGray"/>
              </w:rPr>
              <w:t xml:space="preserve"> vollständig und korrekt identifiziert werden.  </w:t>
            </w:r>
          </w:p>
          <w:p w14:paraId="1F98B813" w14:textId="1A761EBA" w:rsidR="00D83362" w:rsidRPr="00255340"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internen Verfahren die angemessene Definition der kritischen oder wesentlichen ausgelagerten Funktionen/Prozesse/Dienstleistungen </w:t>
            </w:r>
            <w:r w:rsidR="00D9457E">
              <w:rPr>
                <w:rFonts w:cs="Arial"/>
                <w:i/>
                <w:szCs w:val="20"/>
                <w:highlight w:val="lightGray"/>
              </w:rPr>
              <w:t xml:space="preserve">der </w:t>
            </w:r>
            <w:r w:rsidR="004B6F11">
              <w:rPr>
                <w:rFonts w:cs="Arial"/>
                <w:i/>
                <w:szCs w:val="20"/>
                <w:highlight w:val="lightGray"/>
              </w:rPr>
              <w:t xml:space="preserve">Bank/Wertpapierfirma bzw. </w:t>
            </w:r>
            <w:r w:rsidR="004B6F11" w:rsidRPr="00CE3194">
              <w:rPr>
                <w:rFonts w:cs="Arial"/>
                <w:i/>
                <w:szCs w:val="20"/>
                <w:highlight w:val="lightGray"/>
              </w:rPr>
              <w:t>der Gruppe</w:t>
            </w:r>
            <w:r w:rsidR="00D9457E">
              <w:rPr>
                <w:rFonts w:cs="Arial"/>
                <w:i/>
                <w:szCs w:val="20"/>
                <w:highlight w:val="lightGray"/>
              </w:rPr>
              <w:t xml:space="preserve"> </w:t>
            </w:r>
            <w:r w:rsidRPr="00255340">
              <w:rPr>
                <w:rFonts w:cs="Arial"/>
                <w:i/>
                <w:szCs w:val="20"/>
                <w:highlight w:val="lightGray"/>
              </w:rPr>
              <w:t xml:space="preserve">gemäss regulatorischer </w:t>
            </w:r>
            <w:r>
              <w:rPr>
                <w:rFonts w:cs="Arial"/>
                <w:i/>
                <w:szCs w:val="20"/>
                <w:highlight w:val="lightGray"/>
              </w:rPr>
              <w:t>und interner Bestimmungen</w:t>
            </w:r>
            <w:r w:rsidRPr="00255340">
              <w:rPr>
                <w:rFonts w:cs="Arial"/>
                <w:i/>
                <w:szCs w:val="20"/>
                <w:highlight w:val="lightGray"/>
              </w:rPr>
              <w:t xml:space="preserve"> sicherstellen</w:t>
            </w:r>
          </w:p>
          <w:p w14:paraId="1A5734B7"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bei der Weiterverlagerung von kritischen oder wesentlichen Funktionen die Auslagerungsvereinbarung die vorgegebenen regulatorischen Mindestinhalte beinhaltet</w:t>
            </w:r>
          </w:p>
        </w:tc>
      </w:tr>
      <w:tr w:rsidR="00D83362" w:rsidRPr="00CE3194" w14:paraId="61BFBA18" w14:textId="77777777" w:rsidTr="00671DBD">
        <w:tc>
          <w:tcPr>
            <w:tcW w:w="1668" w:type="dxa"/>
          </w:tcPr>
          <w:p w14:paraId="4CF4F4BD"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lastRenderedPageBreak/>
              <w:t>Internes Kontrollsystem von Auslagerungen</w:t>
            </w:r>
          </w:p>
        </w:tc>
        <w:tc>
          <w:tcPr>
            <w:tcW w:w="5313" w:type="dxa"/>
          </w:tcPr>
          <w:p w14:paraId="6C5DDCEF" w14:textId="4448C45B"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w:t>
            </w:r>
            <w:r>
              <w:rPr>
                <w:rFonts w:cs="Arial"/>
                <w:i/>
                <w:szCs w:val="20"/>
                <w:highlight w:val="lightGray"/>
              </w:rPr>
              <w:t xml:space="preserve">für die Dokumentation, das Management und die Kontrolle von Auslagerungsvereinbarungen </w:t>
            </w:r>
            <w:r w:rsidRPr="00CE3194">
              <w:rPr>
                <w:rFonts w:cs="Arial"/>
                <w:i/>
                <w:szCs w:val="20"/>
                <w:highlight w:val="lightGray"/>
              </w:rPr>
              <w:t xml:space="preserve">sind klar </w:t>
            </w:r>
            <w:r>
              <w:rPr>
                <w:rFonts w:cs="Arial"/>
                <w:i/>
                <w:szCs w:val="20"/>
                <w:highlight w:val="lightGray"/>
              </w:rPr>
              <w:t>und angemessen</w:t>
            </w:r>
            <w:r w:rsidRPr="00CE3194">
              <w:rPr>
                <w:rFonts w:cs="Arial"/>
                <w:i/>
                <w:szCs w:val="20"/>
                <w:highlight w:val="lightGray"/>
              </w:rPr>
              <w:t xml:space="preserve"> geregelt; </w:t>
            </w:r>
          </w:p>
          <w:p w14:paraId="36A1BCBD" w14:textId="0E0634DB" w:rsidR="002A0999" w:rsidRPr="002A0999" w:rsidRDefault="002A0999" w:rsidP="002A0999">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Verantwortlichkeiten und Kompetenzen zur Instruktion, Steuerung und Überwachung von </w:t>
            </w:r>
            <w:r w:rsidR="005C5BF3">
              <w:rPr>
                <w:rFonts w:cs="Arial"/>
                <w:i/>
                <w:szCs w:val="20"/>
                <w:highlight w:val="lightGray"/>
              </w:rPr>
              <w:t>Dienstleistern</w:t>
            </w:r>
            <w:r w:rsidRPr="0070592D">
              <w:rPr>
                <w:rFonts w:cs="Arial"/>
                <w:i/>
                <w:szCs w:val="20"/>
                <w:highlight w:val="lightGray"/>
              </w:rPr>
              <w:t xml:space="preserve"> sind durch die angemessene Ausgestaltung der Auslagerungsfunktion klar geregelt. </w:t>
            </w:r>
          </w:p>
          <w:p w14:paraId="67F1BAB4" w14:textId="1677371F"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w:t>
            </w:r>
            <w:r>
              <w:rPr>
                <w:rFonts w:cs="Arial"/>
                <w:i/>
                <w:szCs w:val="20"/>
                <w:highlight w:val="lightGray"/>
              </w:rPr>
              <w:t xml:space="preserve">dem Management und der Kontrolle von Auslagerungsvereinbarungen </w:t>
            </w:r>
          </w:p>
          <w:p w14:paraId="768A5F0C" w14:textId="343F2001" w:rsidR="00784864" w:rsidRPr="00784864" w:rsidRDefault="00784864" w:rsidP="0078486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besteht ein angemessener Prozess zur ordnungsgemässen Überwachung und Bewertung von </w:t>
            </w:r>
            <w:r w:rsidR="005C5BF3">
              <w:rPr>
                <w:rFonts w:cs="Arial"/>
                <w:i/>
                <w:szCs w:val="20"/>
                <w:highlight w:val="lightGray"/>
              </w:rPr>
              <w:t>Dienstleistern</w:t>
            </w:r>
            <w:r w:rsidRPr="0070592D">
              <w:rPr>
                <w:rFonts w:cs="Arial"/>
                <w:i/>
                <w:szCs w:val="20"/>
                <w:highlight w:val="lightGray"/>
              </w:rPr>
              <w:t xml:space="preserve"> (</w:t>
            </w:r>
            <w:r w:rsidR="005C5BF3">
              <w:rPr>
                <w:rFonts w:cs="Arial"/>
                <w:i/>
                <w:szCs w:val="20"/>
                <w:highlight w:val="lightGray"/>
              </w:rPr>
              <w:t xml:space="preserve">z.B. </w:t>
            </w:r>
            <w:r w:rsidRPr="0070592D">
              <w:rPr>
                <w:rFonts w:cs="Arial"/>
                <w:i/>
                <w:szCs w:val="20"/>
                <w:highlight w:val="lightGray"/>
              </w:rPr>
              <w:t>Service Reports, Bewertungsprogramm, KPIs etc.) und ihrer Leistungserbringung (Aufdeckung, Beurteilung und Behebung von Mängeln)</w:t>
            </w:r>
          </w:p>
          <w:p w14:paraId="1FEE8F95" w14:textId="34D06485" w:rsidR="00784864" w:rsidRDefault="00784864" w:rsidP="00784864">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bestehen angemessene Verfahren zur Beurteilung oder zur Gewährleistung von Schlüsselkontrollen, die an die </w:t>
            </w:r>
            <w:r w:rsidR="005C5BF3">
              <w:rPr>
                <w:rFonts w:cs="Arial"/>
                <w:i/>
                <w:szCs w:val="20"/>
                <w:highlight w:val="lightGray"/>
              </w:rPr>
              <w:t>Dienstleister</w:t>
            </w:r>
            <w:r w:rsidRPr="0070592D">
              <w:rPr>
                <w:rFonts w:cs="Arial"/>
                <w:i/>
                <w:szCs w:val="20"/>
                <w:highlight w:val="lightGray"/>
              </w:rPr>
              <w:t xml:space="preserve"> ausgelagert wurden (z.B. unabhängige Beurteilungen, etc.)</w:t>
            </w:r>
          </w:p>
          <w:p w14:paraId="3F946B39" w14:textId="77777777"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bestehen angemessene Verfahren zur </w:t>
            </w:r>
            <w:r>
              <w:rPr>
                <w:rFonts w:cs="Arial"/>
                <w:i/>
                <w:szCs w:val="20"/>
                <w:highlight w:val="lightGray"/>
              </w:rPr>
              <w:t xml:space="preserve">Erkennung, </w:t>
            </w:r>
            <w:r w:rsidRPr="00CE3194">
              <w:rPr>
                <w:rFonts w:cs="Arial"/>
                <w:i/>
                <w:szCs w:val="20"/>
                <w:highlight w:val="lightGray"/>
              </w:rPr>
              <w:t>Vermeidung,</w:t>
            </w:r>
            <w:r>
              <w:rPr>
                <w:rFonts w:cs="Arial"/>
                <w:i/>
                <w:szCs w:val="20"/>
                <w:highlight w:val="lightGray"/>
              </w:rPr>
              <w:t xml:space="preserve"> Bewertung,</w:t>
            </w:r>
            <w:r w:rsidRPr="00CE3194">
              <w:rPr>
                <w:rFonts w:cs="Arial"/>
                <w:i/>
                <w:szCs w:val="20"/>
                <w:highlight w:val="lightGray"/>
              </w:rPr>
              <w:t xml:space="preserve"> Reduzierung und Offenlegung von Interessenkonflikten</w:t>
            </w:r>
            <w:r>
              <w:rPr>
                <w:rFonts w:cs="Arial"/>
                <w:i/>
                <w:szCs w:val="20"/>
                <w:highlight w:val="lightGray"/>
              </w:rPr>
              <w:t xml:space="preserve"> hinsichtlich der Auslagerungsvereinbarungen</w:t>
            </w:r>
          </w:p>
          <w:p w14:paraId="3BE24FC3" w14:textId="73EC2FC1" w:rsidR="00D83362" w:rsidRPr="005F3514" w:rsidRDefault="00D83362" w:rsidP="00671DBD">
            <w:pPr>
              <w:pStyle w:val="Listenabsatz"/>
              <w:numPr>
                <w:ilvl w:val="1"/>
                <w:numId w:val="17"/>
              </w:numPr>
              <w:ind w:left="317" w:hanging="283"/>
              <w:jc w:val="both"/>
              <w:rPr>
                <w:rFonts w:cs="Arial"/>
                <w:i/>
                <w:szCs w:val="20"/>
                <w:highlight w:val="lightGray"/>
              </w:rPr>
            </w:pPr>
            <w:r w:rsidRPr="004D71A2">
              <w:rPr>
                <w:rFonts w:cs="Arial"/>
                <w:i/>
                <w:szCs w:val="20"/>
                <w:highlight w:val="lightGray"/>
              </w:rPr>
              <w:t>Es bestehen</w:t>
            </w:r>
            <w:r w:rsidR="00992EA8">
              <w:rPr>
                <w:rFonts w:cs="Arial"/>
                <w:i/>
                <w:szCs w:val="20"/>
                <w:highlight w:val="lightGray"/>
              </w:rPr>
              <w:t xml:space="preserve"> </w:t>
            </w:r>
            <w:r w:rsidRPr="005F3514">
              <w:rPr>
                <w:rFonts w:cs="Arial"/>
                <w:i/>
                <w:szCs w:val="20"/>
                <w:highlight w:val="lightGray"/>
              </w:rPr>
              <w:t>angemessene Personalressourcen (A</w:t>
            </w:r>
            <w:r w:rsidRPr="003021FD">
              <w:rPr>
                <w:rFonts w:cs="Arial"/>
                <w:i/>
                <w:szCs w:val="20"/>
                <w:highlight w:val="lightGray"/>
              </w:rPr>
              <w:t>n</w:t>
            </w:r>
            <w:r w:rsidRPr="004D71A2">
              <w:rPr>
                <w:rFonts w:cs="Arial"/>
                <w:i/>
                <w:szCs w:val="20"/>
                <w:highlight w:val="lightGray"/>
              </w:rPr>
              <w:t>zahl, Eignung, Zuverlässi</w:t>
            </w:r>
            <w:r w:rsidRPr="003021FD">
              <w:rPr>
                <w:rFonts w:cs="Arial"/>
                <w:i/>
                <w:szCs w:val="20"/>
                <w:highlight w:val="lightGray"/>
              </w:rPr>
              <w:t>g</w:t>
            </w:r>
            <w:r w:rsidRPr="004D71A2">
              <w:rPr>
                <w:rFonts w:cs="Arial"/>
                <w:i/>
                <w:szCs w:val="20"/>
                <w:highlight w:val="lightGray"/>
              </w:rPr>
              <w:t>keit) um ein angemessenes Manag</w:t>
            </w:r>
            <w:r w:rsidRPr="003021FD">
              <w:rPr>
                <w:rFonts w:cs="Arial"/>
                <w:i/>
                <w:szCs w:val="20"/>
                <w:highlight w:val="lightGray"/>
              </w:rPr>
              <w:t>e</w:t>
            </w:r>
            <w:r w:rsidRPr="004D71A2">
              <w:rPr>
                <w:rFonts w:cs="Arial"/>
                <w:i/>
                <w:szCs w:val="20"/>
                <w:highlight w:val="lightGray"/>
              </w:rPr>
              <w:t>ment und die Über</w:t>
            </w:r>
            <w:r w:rsidRPr="005F3514">
              <w:rPr>
                <w:rFonts w:cs="Arial"/>
                <w:i/>
                <w:szCs w:val="20"/>
                <w:highlight w:val="lightGray"/>
              </w:rPr>
              <w:t>wachung der Auslagerungsvereinbarungen s</w:t>
            </w:r>
            <w:r w:rsidRPr="003021FD">
              <w:rPr>
                <w:rFonts w:cs="Arial"/>
                <w:i/>
                <w:szCs w:val="20"/>
                <w:highlight w:val="lightGray"/>
              </w:rPr>
              <w:t>i</w:t>
            </w:r>
            <w:r w:rsidRPr="004D71A2">
              <w:rPr>
                <w:rFonts w:cs="Arial"/>
                <w:i/>
                <w:szCs w:val="20"/>
                <w:highlight w:val="lightGray"/>
              </w:rPr>
              <w:t>cherzu</w:t>
            </w:r>
            <w:r w:rsidRPr="005F3514">
              <w:rPr>
                <w:rFonts w:cs="Arial"/>
                <w:i/>
                <w:szCs w:val="20"/>
                <w:highlight w:val="lightGray"/>
              </w:rPr>
              <w:t>stellen</w:t>
            </w:r>
          </w:p>
          <w:p w14:paraId="741AAE73" w14:textId="77777777" w:rsidR="00D83362" w:rsidRPr="00E1476E"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um sicherzustellen, dass die Auslagerung nicht zur Delegation der Aufgaben des Verwaltungsrats führt</w:t>
            </w:r>
          </w:p>
          <w:p w14:paraId="3EA35DF9" w14:textId="4CC29344"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lastRenderedPageBreak/>
              <w:t>Es bestehen wirksame</w:t>
            </w:r>
            <w:r>
              <w:rPr>
                <w:rFonts w:cs="Arial"/>
                <w:i/>
                <w:szCs w:val="20"/>
                <w:highlight w:val="lightGray"/>
              </w:rPr>
              <w:t xml:space="preserve"> interne Eskalationsmechanismen</w:t>
            </w:r>
            <w:r w:rsidR="00992EA8">
              <w:rPr>
                <w:rFonts w:cs="Arial"/>
                <w:i/>
                <w:szCs w:val="20"/>
                <w:highlight w:val="lightGray"/>
              </w:rPr>
              <w:t xml:space="preserve"> in Bezug auf die Nicht-Einhaltung von Kontrollen zur Überwachung der Auslagerungen</w:t>
            </w:r>
          </w:p>
          <w:p w14:paraId="1C58FE63" w14:textId="77777777"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w:t>
            </w:r>
            <w:r>
              <w:rPr>
                <w:rFonts w:cs="Arial"/>
                <w:i/>
                <w:szCs w:val="20"/>
                <w:highlight w:val="lightGray"/>
              </w:rPr>
              <w:t>tations- und Archivierungswesen</w:t>
            </w:r>
          </w:p>
          <w:p w14:paraId="1D23E925" w14:textId="77777777" w:rsidR="00D83362" w:rsidRDefault="00D83362" w:rsidP="00671DBD">
            <w:pPr>
              <w:pStyle w:val="Listenabsatz"/>
              <w:numPr>
                <w:ilvl w:val="1"/>
                <w:numId w:val="17"/>
              </w:numPr>
              <w:ind w:left="317" w:hanging="283"/>
              <w:jc w:val="both"/>
              <w:rPr>
                <w:rFonts w:cs="Arial"/>
                <w:i/>
                <w:szCs w:val="20"/>
                <w:highlight w:val="lightGray"/>
              </w:rPr>
            </w:pPr>
            <w:r w:rsidRPr="00D2046C">
              <w:rPr>
                <w:rFonts w:cs="Arial"/>
                <w:i/>
                <w:szCs w:val="20"/>
                <w:highlight w:val="lightGray"/>
              </w:rPr>
              <w:t>Die internen Verfahren stellen den internen Wissenstransfer (B</w:t>
            </w:r>
            <w:r w:rsidRPr="00304114">
              <w:rPr>
                <w:rFonts w:cs="Arial"/>
                <w:i/>
                <w:szCs w:val="20"/>
                <w:highlight w:val="lightGray"/>
              </w:rPr>
              <w:t>e</w:t>
            </w:r>
            <w:r w:rsidRPr="00D2046C">
              <w:rPr>
                <w:rFonts w:cs="Arial"/>
                <w:i/>
                <w:szCs w:val="20"/>
                <w:highlight w:val="lightGray"/>
              </w:rPr>
              <w:t>richterstattung) angemessen sicher</w:t>
            </w:r>
          </w:p>
        </w:tc>
        <w:tc>
          <w:tcPr>
            <w:tcW w:w="2759" w:type="dxa"/>
          </w:tcPr>
          <w:p w14:paraId="05B3E75E" w14:textId="02B2A715"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Bestätigung, dass das Interne Kontrollsystem für die Dokumentation, das Management und die Kontrolle von Auslagerungsvereinbarungen</w:t>
            </w:r>
            <w:r w:rsidR="00DE266B">
              <w:rPr>
                <w:rFonts w:cs="Arial"/>
                <w:i/>
                <w:szCs w:val="20"/>
                <w:highlight w:val="lightGray"/>
              </w:rPr>
              <w:t xml:space="preserve"> und Outsourcing-Dienstleistern/Drittanbietern</w:t>
            </w:r>
            <w:r w:rsidRPr="00255340" w:rsidDel="00BE0B96">
              <w:rPr>
                <w:rFonts w:cs="Arial"/>
                <w:i/>
                <w:szCs w:val="20"/>
                <w:highlight w:val="lightGray"/>
              </w:rPr>
              <w:t xml:space="preserve"> </w:t>
            </w:r>
            <w:r w:rsidRPr="00255340">
              <w:rPr>
                <w:rFonts w:cs="Arial"/>
                <w:i/>
                <w:szCs w:val="20"/>
                <w:highlight w:val="lightGray"/>
              </w:rPr>
              <w:t>angemessen ist und im Falle der Prüftiefe Detailprüfung effektiv angewendet wurden.</w:t>
            </w:r>
          </w:p>
        </w:tc>
      </w:tr>
      <w:tr w:rsidR="00D83362" w:rsidRPr="00CE3194" w14:paraId="5519B431" w14:textId="77777777" w:rsidTr="00671DBD">
        <w:tc>
          <w:tcPr>
            <w:tcW w:w="1668" w:type="dxa"/>
          </w:tcPr>
          <w:p w14:paraId="1353065C"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Risikomanagement von Auslagerungen</w:t>
            </w:r>
          </w:p>
        </w:tc>
        <w:tc>
          <w:tcPr>
            <w:tcW w:w="5313" w:type="dxa"/>
          </w:tcPr>
          <w:p w14:paraId="7327B084" w14:textId="64A77655"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wesentlichen Risiken, welche durch Vereinbarungen mit Dienstleistern verursacht werden, </w:t>
            </w:r>
            <w:r w:rsidRPr="00CE3194">
              <w:rPr>
                <w:rFonts w:cs="Arial"/>
                <w:i/>
                <w:szCs w:val="20"/>
                <w:highlight w:val="lightGray"/>
              </w:rPr>
              <w:t>werden laufend identifiziert, bewertet, gemessen, begrenzt</w:t>
            </w:r>
            <w:r>
              <w:rPr>
                <w:rFonts w:cs="Arial"/>
                <w:i/>
                <w:szCs w:val="20"/>
                <w:highlight w:val="lightGray"/>
              </w:rPr>
              <w:t>, überwacht</w:t>
            </w:r>
            <w:r w:rsidR="002A0999">
              <w:rPr>
                <w:rFonts w:cs="Arial"/>
                <w:i/>
                <w:szCs w:val="20"/>
                <w:highlight w:val="lightGray"/>
              </w:rPr>
              <w:t xml:space="preserve">, </w:t>
            </w:r>
            <w:r w:rsidRPr="00CE3194">
              <w:rPr>
                <w:rFonts w:cs="Arial"/>
                <w:i/>
                <w:szCs w:val="20"/>
                <w:highlight w:val="lightGray"/>
              </w:rPr>
              <w:t>gesteuert</w:t>
            </w:r>
            <w:r w:rsidR="002A0999">
              <w:rPr>
                <w:rFonts w:cs="Arial"/>
                <w:i/>
                <w:szCs w:val="20"/>
                <w:highlight w:val="lightGray"/>
              </w:rPr>
              <w:t xml:space="preserve"> und dokumentiert</w:t>
            </w:r>
            <w:r w:rsidRPr="00CE3194">
              <w:rPr>
                <w:rFonts w:cs="Arial"/>
                <w:i/>
                <w:szCs w:val="20"/>
                <w:highlight w:val="lightGray"/>
              </w:rPr>
              <w:t>;</w:t>
            </w:r>
          </w:p>
          <w:p w14:paraId="54ABA187"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Bei Weiterverlagerungen an einen anderen Dienstleister („Ketten-Auslagerungen“) sind die daraus entstehenden Risiken in der Risikobewertung zu berücksichtigen</w:t>
            </w:r>
          </w:p>
          <w:p w14:paraId="57608F55"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Risikobewertung hat zumindest Folgendes zu umfassen: Sensitivität der Daten und Systeme, Sicherheitsmassnahmen, Folgen des Standorts des Dienstleisters, politische Stabilität, Sicherheitslage der betreffenden Rechtsordnungen, Vertraulichkeit von Daten, Kontinuität ausgelagerter Tätigkeiten, Integrität und Rückverfolgbarkeit von Daten und Systemen</w:t>
            </w:r>
          </w:p>
          <w:p w14:paraId="2E67A12C"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Auslagerungsfunktion innerhalb der Risikomanagementfunktion ist angemessen ausgestaltet und unmittelbar dem Leitungsorgan unterstellt </w:t>
            </w:r>
          </w:p>
          <w:p w14:paraId="589EE109"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dokumentiert sämtliche Auslagerungsvereinbarungen</w:t>
            </w:r>
          </w:p>
          <w:p w14:paraId="622BFE1E"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ist für die Steuerung und Kontrolle des Risikos aus Auslagerungen verantwortlich</w:t>
            </w:r>
          </w:p>
          <w:p w14:paraId="4CC0BBA9"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Szenarien berücksichtigen mögliche Auswirkungen unterlassener oder unzureichender Dienstleistungen von Dienstleistern</w:t>
            </w:r>
          </w:p>
          <w:p w14:paraId="18EC186A" w14:textId="77777777" w:rsidR="00D83362" w:rsidRPr="00CE3194"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Annahmen, Parameter und Szenarien des Risikomanagements werden regelmässig validiert</w:t>
            </w:r>
          </w:p>
          <w:p w14:paraId="34716211" w14:textId="77777777" w:rsidR="00D83362" w:rsidRPr="00CE3194"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7CCBEB8E" w14:textId="77777777" w:rsidR="00D83362" w:rsidRDefault="00D83362" w:rsidP="00671DBD">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3618AE6F" w14:textId="77777777" w:rsidR="00D83362" w:rsidRPr="00CE3194"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Ergebnisse und Analysen werden angemessen dokumentiert</w:t>
            </w:r>
          </w:p>
        </w:tc>
        <w:tc>
          <w:tcPr>
            <w:tcW w:w="2759" w:type="dxa"/>
          </w:tcPr>
          <w:p w14:paraId="6BE897F0" w14:textId="4D0FDEAE"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Methoden zur Identifikation, Bewertung, Messung, Begrenzung, Überwachung</w:t>
            </w:r>
            <w:r w:rsidR="007D4EE8">
              <w:rPr>
                <w:rFonts w:cs="Arial"/>
                <w:i/>
                <w:szCs w:val="20"/>
                <w:highlight w:val="lightGray"/>
              </w:rPr>
              <w:t xml:space="preserve">, </w:t>
            </w:r>
            <w:r w:rsidRPr="00255340">
              <w:rPr>
                <w:rFonts w:cs="Arial"/>
                <w:i/>
                <w:szCs w:val="20"/>
                <w:highlight w:val="lightGray"/>
              </w:rPr>
              <w:t xml:space="preserve">Steuerung </w:t>
            </w:r>
            <w:r w:rsidR="007D4EE8">
              <w:rPr>
                <w:rFonts w:cs="Arial"/>
                <w:i/>
                <w:szCs w:val="20"/>
                <w:highlight w:val="lightGray"/>
              </w:rPr>
              <w:t xml:space="preserve">und Dokumentation </w:t>
            </w:r>
            <w:r w:rsidRPr="00255340">
              <w:rPr>
                <w:rFonts w:cs="Arial"/>
                <w:i/>
                <w:szCs w:val="20"/>
                <w:highlight w:val="lightGray"/>
              </w:rPr>
              <w:t>von Risiken, welche durch Vereinbarungen mit Dienstleistern für Auslagerungen verursacht werden angemessen sind und im Falle der Prüftiefe Detailprüfung effektiv angewendet wurden</w:t>
            </w:r>
          </w:p>
        </w:tc>
      </w:tr>
      <w:tr w:rsidR="00D83362" w:rsidRPr="00CE3194" w14:paraId="329355D7" w14:textId="77777777" w:rsidTr="00671DBD">
        <w:tc>
          <w:tcPr>
            <w:tcW w:w="1668" w:type="dxa"/>
          </w:tcPr>
          <w:p w14:paraId="5622AC1E"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Interne Revision der ausgelagerten Tätigkeiten</w:t>
            </w:r>
          </w:p>
        </w:tc>
        <w:tc>
          <w:tcPr>
            <w:tcW w:w="5313" w:type="dxa"/>
          </w:tcPr>
          <w:p w14:paraId="0B31DF75"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uneingeschränktes Zugangs-, Informations- und Prüfungsrecht zu den ausgelagerten Tätigkeiten</w:t>
            </w:r>
          </w:p>
          <w:p w14:paraId="135635D7"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risikobasierte Prüfplan der internen Revision u.a. die Prüfung der Auslagerungsvereinbarungen für kritische oder wesentliche Funktionen umfasst</w:t>
            </w:r>
          </w:p>
          <w:p w14:paraId="6D5C44A1"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 Revision prüft hinsichtlich des Auslagerungsprozess zumindest Folgendes: Rahmenwerk für Auslagerungen inkl. Auslagerungsrichtlinien; Bewertung der Kritikalität oder Wesentlichkeit von Funktionen; die Risikobewertung der Auslagerungsvereinbarungen, die angemessene Einbringung vom </w:t>
            </w:r>
            <w:r>
              <w:rPr>
                <w:rFonts w:cs="Arial"/>
                <w:i/>
                <w:szCs w:val="20"/>
                <w:highlight w:val="lightGray"/>
              </w:rPr>
              <w:lastRenderedPageBreak/>
              <w:t>Verwaltungsrat, die angemessene Überwachung und das Management von Auslagerungsvereinbarungen</w:t>
            </w:r>
          </w:p>
        </w:tc>
        <w:tc>
          <w:tcPr>
            <w:tcW w:w="2759" w:type="dxa"/>
          </w:tcPr>
          <w:p w14:paraId="07C1D84A"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 Revisionsfunktion für die Überprüfung der ausgelagerten Funktionen/Prozesse/Dienstleistungen angemessen ausgestaltet ist und die ausgelagerten Funktionen/Prozesse/Dienstleistungen im risikobasierten Prüfplan der Internen Revision angemessen </w:t>
            </w:r>
            <w:r w:rsidRPr="00255340">
              <w:rPr>
                <w:rFonts w:cs="Arial"/>
                <w:i/>
                <w:szCs w:val="20"/>
                <w:highlight w:val="lightGray"/>
              </w:rPr>
              <w:lastRenderedPageBreak/>
              <w:t>adressiert und geprüft werden</w:t>
            </w:r>
          </w:p>
        </w:tc>
      </w:tr>
      <w:tr w:rsidR="00D83362" w:rsidRPr="00CE3194" w14:paraId="52CFE7DA" w14:textId="77777777" w:rsidTr="00671DBD">
        <w:tc>
          <w:tcPr>
            <w:tcW w:w="1668" w:type="dxa"/>
          </w:tcPr>
          <w:p w14:paraId="5950F378"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lastRenderedPageBreak/>
              <w:t>Dokumentationsanforderungen / Registerführung</w:t>
            </w:r>
          </w:p>
        </w:tc>
        <w:tc>
          <w:tcPr>
            <w:tcW w:w="5313" w:type="dxa"/>
          </w:tcPr>
          <w:p w14:paraId="11991EAF"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Register mit Informationen über alle Auslagerungsvereinbarungen geführt und laufend aktualisiert wird</w:t>
            </w:r>
          </w:p>
          <w:p w14:paraId="3A3ADC1E"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Register vollständig und den Mindestinhalten der regulatorischen Vorschriften entspricht</w:t>
            </w:r>
          </w:p>
        </w:tc>
        <w:tc>
          <w:tcPr>
            <w:tcW w:w="2759" w:type="dxa"/>
          </w:tcPr>
          <w:p w14:paraId="7F1B3BBE"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ein Register mit Informationen über alle Auslagerungsvereinbarungen vollständig, gemäss den regulatorischen Mindestinhalten, geführt und laufend aktualisiert wird</w:t>
            </w:r>
          </w:p>
        </w:tc>
      </w:tr>
      <w:tr w:rsidR="00D83362" w:rsidRPr="00CE3194" w14:paraId="6C382A9E" w14:textId="77777777" w:rsidTr="00671DBD">
        <w:tc>
          <w:tcPr>
            <w:tcW w:w="1668" w:type="dxa"/>
          </w:tcPr>
          <w:p w14:paraId="0CFE6B64" w14:textId="77777777" w:rsidR="00D83362" w:rsidRDefault="00D83362" w:rsidP="00671DBD">
            <w:pPr>
              <w:jc w:val="both"/>
              <w:rPr>
                <w:rFonts w:ascii="Arial" w:hAnsi="Arial" w:cs="Arial"/>
                <w:i/>
                <w:sz w:val="20"/>
                <w:szCs w:val="20"/>
                <w:highlight w:val="lightGray"/>
              </w:rPr>
            </w:pPr>
            <w:r>
              <w:rPr>
                <w:rFonts w:ascii="Arial" w:hAnsi="Arial" w:cs="Arial"/>
                <w:i/>
                <w:sz w:val="20"/>
                <w:szCs w:val="20"/>
                <w:highlight w:val="lightGray"/>
              </w:rPr>
              <w:t>Ausstiegsstrategien</w:t>
            </w:r>
          </w:p>
        </w:tc>
        <w:tc>
          <w:tcPr>
            <w:tcW w:w="5313" w:type="dxa"/>
          </w:tcPr>
          <w:p w14:paraId="176AA2F6"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Ausstiegsstrategie stimmt mit der Auslagerungspolitik und den Plänen zur Geschäftsfortführung (BCM) überein</w:t>
            </w:r>
          </w:p>
          <w:p w14:paraId="70FA83B7"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Entwicklung von angemessenen Ausstiegspläne sicher</w:t>
            </w:r>
          </w:p>
          <w:p w14:paraId="559C0734"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Ausstiegspläne werden angemessen dokumentiert</w:t>
            </w:r>
          </w:p>
          <w:p w14:paraId="5DCD3C2B"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Die Ausstiegspläne sind ausreichend erprobt (z.B. Durchführung einer Analyse der potenziellen Kosten, Folgen, Mittel und zeitlicher Auswirkungen der Übertragung auf einen anderen Anbieter)</w:t>
            </w:r>
          </w:p>
          <w:p w14:paraId="258A1524" w14:textId="77777777" w:rsidR="00D83362" w:rsidRDefault="00D83362" w:rsidP="00671DBD">
            <w:pPr>
              <w:pStyle w:val="Listenabsatz"/>
              <w:numPr>
                <w:ilvl w:val="1"/>
                <w:numId w:val="17"/>
              </w:numPr>
              <w:ind w:left="317" w:hanging="283"/>
              <w:jc w:val="both"/>
              <w:rPr>
                <w:rFonts w:cs="Arial"/>
                <w:i/>
                <w:szCs w:val="20"/>
                <w:highlight w:val="lightGray"/>
              </w:rPr>
            </w:pPr>
            <w:r>
              <w:rPr>
                <w:rFonts w:cs="Arial"/>
                <w:i/>
                <w:szCs w:val="20"/>
                <w:highlight w:val="lightGray"/>
              </w:rPr>
              <w:t>Für Wiedereingliederungen von ausgelagerten Funktionen bestehen angemessene interne Verfahren</w:t>
            </w:r>
          </w:p>
          <w:p w14:paraId="3D59BF8C" w14:textId="5DE2F79D" w:rsidR="00D83362" w:rsidRDefault="00992EA8" w:rsidP="004C0D20">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ausgelagerte Tätigkeiten ohne wesentlichen Unterbruch der Geschäftstätigkeiten wieder in die </w:t>
            </w:r>
            <w:r w:rsidR="004B6F11">
              <w:rPr>
                <w:rFonts w:cs="Arial"/>
                <w:i/>
                <w:szCs w:val="20"/>
                <w:highlight w:val="lightGray"/>
              </w:rPr>
              <w:t>Bank/Wertpapierfirma bzw. in die</w:t>
            </w:r>
            <w:r w:rsidR="004B6F11" w:rsidRPr="00CE3194">
              <w:rPr>
                <w:rFonts w:cs="Arial"/>
                <w:i/>
                <w:szCs w:val="20"/>
                <w:highlight w:val="lightGray"/>
              </w:rPr>
              <w:t xml:space="preserve"> Gruppe</w:t>
            </w:r>
            <w:r>
              <w:rPr>
                <w:rFonts w:cs="Arial"/>
                <w:i/>
                <w:szCs w:val="20"/>
                <w:highlight w:val="lightGray"/>
              </w:rPr>
              <w:t xml:space="preserve"> eingegliedert werden können. </w:t>
            </w:r>
          </w:p>
        </w:tc>
        <w:tc>
          <w:tcPr>
            <w:tcW w:w="2759" w:type="dxa"/>
          </w:tcPr>
          <w:p w14:paraId="371643EA" w14:textId="77777777" w:rsidR="00D83362" w:rsidRPr="00024116" w:rsidRDefault="00D83362" w:rsidP="00671DBD">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angemessene Ausstiegsstrategien und –pläne existieren, die mit der Auslagerungspolitik und den Plänen zur Geschäftsfortführung (BCM) übereinstimmen und die regelmässig erprobt werden</w:t>
            </w:r>
          </w:p>
        </w:tc>
      </w:tr>
    </w:tbl>
    <w:p w14:paraId="41C7DB98" w14:textId="77777777" w:rsidR="00D83362" w:rsidRDefault="00D83362" w:rsidP="00D83362">
      <w:pPr>
        <w:jc w:val="both"/>
      </w:pPr>
    </w:p>
    <w:p w14:paraId="1AEBA80D" w14:textId="24AF841D" w:rsidR="00AA4693" w:rsidRPr="00B037A6" w:rsidRDefault="00AA4693" w:rsidP="00D83362">
      <w:pPr>
        <w:jc w:val="both"/>
        <w:rPr>
          <w:sz w:val="20"/>
          <w:szCs w:val="20"/>
        </w:rPr>
      </w:pPr>
      <w:bookmarkStart w:id="68" w:name="_Hlk55999855"/>
      <w:r w:rsidRPr="00B037A6">
        <w:rPr>
          <w:sz w:val="20"/>
          <w:szCs w:val="20"/>
        </w:rPr>
        <w:t xml:space="preserve">*Der Begriff </w:t>
      </w:r>
      <w:r>
        <w:rPr>
          <w:sz w:val="20"/>
          <w:szCs w:val="20"/>
        </w:rPr>
        <w:t>„</w:t>
      </w:r>
      <w:r w:rsidRPr="00B037A6">
        <w:rPr>
          <w:sz w:val="20"/>
          <w:szCs w:val="20"/>
        </w:rPr>
        <w:t>Dienstleister</w:t>
      </w:r>
      <w:r>
        <w:rPr>
          <w:sz w:val="20"/>
          <w:szCs w:val="20"/>
        </w:rPr>
        <w:t>“</w:t>
      </w:r>
      <w:r w:rsidRPr="00B037A6">
        <w:rPr>
          <w:sz w:val="20"/>
          <w:szCs w:val="20"/>
        </w:rPr>
        <w:t xml:space="preserve"> beinhaltet gruppeninterne Dienstleister als auch Dritte. </w:t>
      </w:r>
    </w:p>
    <w:bookmarkEnd w:id="68"/>
    <w:p w14:paraId="5D9AB863" w14:textId="77777777" w:rsidR="00AA4693" w:rsidRDefault="00AA4693" w:rsidP="00D83362">
      <w:pPr>
        <w:jc w:val="both"/>
      </w:pPr>
    </w:p>
    <w:p w14:paraId="2B403B26" w14:textId="77777777" w:rsidR="00D83362" w:rsidRPr="00276C60" w:rsidRDefault="00D83362" w:rsidP="00D83362">
      <w:pPr>
        <w:jc w:val="both"/>
        <w:rPr>
          <w:rFonts w:ascii="Arial" w:hAnsi="Arial" w:cs="Arial"/>
          <w:i/>
          <w:sz w:val="20"/>
          <w:szCs w:val="20"/>
        </w:rPr>
      </w:pPr>
      <w:r w:rsidRPr="00276C60">
        <w:rPr>
          <w:rFonts w:ascii="Arial" w:hAnsi="Arial" w:cs="Arial"/>
          <w:i/>
          <w:sz w:val="20"/>
          <w:szCs w:val="20"/>
          <w:highlight w:val="yellow"/>
        </w:rPr>
        <w:t>Text</w:t>
      </w:r>
    </w:p>
    <w:p w14:paraId="52464B13" w14:textId="77777777" w:rsidR="00D83362" w:rsidRDefault="00D83362" w:rsidP="006C48BB">
      <w:pPr>
        <w:jc w:val="both"/>
      </w:pPr>
    </w:p>
    <w:p w14:paraId="5C35FC76" w14:textId="77777777" w:rsidR="006C48BB" w:rsidRDefault="006C48BB" w:rsidP="006C48BB">
      <w:pPr>
        <w:jc w:val="both"/>
      </w:pPr>
    </w:p>
    <w:p w14:paraId="1E233514" w14:textId="77777777" w:rsidR="008C30D1" w:rsidRDefault="008C30D1" w:rsidP="006F7AB5">
      <w:pPr>
        <w:pStyle w:val="FINMAGliederungEbene3"/>
      </w:pPr>
      <w:bookmarkStart w:id="69" w:name="_Toc147849922"/>
      <w:r>
        <w:t>Business Continuity Management</w:t>
      </w:r>
      <w:r w:rsidR="00CA5DD8">
        <w:t xml:space="preserve"> (Massnahmen zur Aufrechterhaltung des Geschäftsbetriebs)</w:t>
      </w:r>
      <w:r w:rsidR="0003063F">
        <w:t xml:space="preserve"> (GOV-9</w:t>
      </w:r>
      <w:r w:rsidR="00543DCA">
        <w:t>)</w:t>
      </w:r>
      <w:bookmarkEnd w:id="69"/>
    </w:p>
    <w:p w14:paraId="47B7FD8F" w14:textId="77777777" w:rsidR="000901CB" w:rsidRDefault="00543DCA" w:rsidP="000901CB">
      <w:pPr>
        <w:jc w:val="both"/>
      </w:pPr>
      <w:r>
        <w:t xml:space="preserve"> </w:t>
      </w:r>
    </w:p>
    <w:tbl>
      <w:tblPr>
        <w:tblStyle w:val="Tabellenraster"/>
        <w:tblW w:w="0" w:type="auto"/>
        <w:tblLook w:val="04A0" w:firstRow="1" w:lastRow="0" w:firstColumn="1" w:lastColumn="0" w:noHBand="0" w:noVBand="1"/>
      </w:tblPr>
      <w:tblGrid>
        <w:gridCol w:w="1932"/>
        <w:gridCol w:w="2145"/>
        <w:gridCol w:w="1721"/>
        <w:gridCol w:w="3382"/>
      </w:tblGrid>
      <w:tr w:rsidR="000901CB" w:rsidRPr="009872F3" w14:paraId="3BA1F43B" w14:textId="77777777" w:rsidTr="004F737B">
        <w:trPr>
          <w:trHeight w:val="563"/>
        </w:trPr>
        <w:tc>
          <w:tcPr>
            <w:tcW w:w="1932" w:type="dxa"/>
          </w:tcPr>
          <w:p w14:paraId="788720C0"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Nettorisiko</w:t>
            </w:r>
          </w:p>
        </w:tc>
        <w:tc>
          <w:tcPr>
            <w:tcW w:w="2145" w:type="dxa"/>
          </w:tcPr>
          <w:p w14:paraId="730062BA"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0D878DF"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0901CB" w:rsidRPr="009872F3" w14:paraId="41052CB5" w14:textId="77777777" w:rsidTr="004F737B">
        <w:trPr>
          <w:trHeight w:val="698"/>
        </w:trPr>
        <w:tc>
          <w:tcPr>
            <w:tcW w:w="1932" w:type="dxa"/>
          </w:tcPr>
          <w:p w14:paraId="4F234098" w14:textId="5593B8B4"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1671D3CC" w14:textId="77777777" w:rsidR="000901CB" w:rsidRPr="006749F0" w:rsidRDefault="000901CB" w:rsidP="004F737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7D70503" w14:textId="77777777" w:rsidR="000901CB" w:rsidRPr="009872F3" w:rsidRDefault="000901CB" w:rsidP="004F737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EE81E00" w14:textId="77777777" w:rsidR="000901CB" w:rsidRDefault="000901CB" w:rsidP="004F737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9D3E501" w14:textId="77777777" w:rsidR="000901CB" w:rsidRPr="006749F0" w:rsidRDefault="000901CB" w:rsidP="004F737B">
            <w:pPr>
              <w:jc w:val="both"/>
              <w:rPr>
                <w:rFonts w:ascii="Arial" w:hAnsi="Arial" w:cs="Arial"/>
                <w:i/>
                <w:sz w:val="18"/>
                <w:szCs w:val="18"/>
              </w:rPr>
            </w:pPr>
            <w:r w:rsidRPr="006749F0">
              <w:rPr>
                <w:rFonts w:ascii="Arial" w:hAnsi="Arial" w:cs="Arial"/>
                <w:i/>
                <w:sz w:val="18"/>
                <w:szCs w:val="18"/>
                <w:highlight w:val="yellow"/>
              </w:rPr>
              <w:t>Jahr</w:t>
            </w:r>
          </w:p>
        </w:tc>
      </w:tr>
      <w:tr w:rsidR="000901CB" w:rsidRPr="00301F5D" w14:paraId="5F2DCBE1" w14:textId="77777777" w:rsidTr="004F737B">
        <w:trPr>
          <w:trHeight w:val="636"/>
        </w:trPr>
        <w:tc>
          <w:tcPr>
            <w:tcW w:w="9180" w:type="dxa"/>
            <w:gridSpan w:val="4"/>
          </w:tcPr>
          <w:p w14:paraId="7E90F152" w14:textId="77777777" w:rsidR="000901CB" w:rsidRDefault="000901CB" w:rsidP="004F737B">
            <w:pPr>
              <w:jc w:val="both"/>
              <w:rPr>
                <w:rFonts w:ascii="Arial" w:hAnsi="Arial" w:cs="Arial"/>
                <w:sz w:val="18"/>
                <w:szCs w:val="18"/>
              </w:rPr>
            </w:pPr>
          </w:p>
          <w:p w14:paraId="1986C144" w14:textId="77777777" w:rsidR="000901CB" w:rsidRPr="00F60909" w:rsidRDefault="000901CB" w:rsidP="004F737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1B10586" w14:textId="045E7B45" w:rsidR="000901CB" w:rsidRPr="00A72EFF" w:rsidRDefault="000901CB" w:rsidP="004F737B">
            <w:pPr>
              <w:jc w:val="both"/>
              <w:rPr>
                <w:rFonts w:ascii="Arial" w:hAnsi="Arial" w:cs="Arial"/>
                <w:sz w:val="18"/>
                <w:szCs w:val="18"/>
              </w:rPr>
            </w:pPr>
            <w:r w:rsidRPr="00A72EFF">
              <w:rPr>
                <w:rFonts w:ascii="Arial" w:hAnsi="Arial" w:cs="Arial"/>
                <w:sz w:val="18"/>
                <w:szCs w:val="18"/>
                <w:highlight w:val="yellow"/>
              </w:rPr>
              <w:t>Art. 7a BankG; Art. 21o BankV;</w:t>
            </w:r>
            <w:r w:rsidR="00A969E3" w:rsidRPr="00A72EFF">
              <w:rPr>
                <w:rFonts w:ascii="Arial" w:hAnsi="Arial" w:cs="Arial"/>
                <w:sz w:val="18"/>
                <w:szCs w:val="18"/>
                <w:highlight w:val="yellow"/>
              </w:rPr>
              <w:t xml:space="preserve"> Art. 35 BankV</w:t>
            </w:r>
            <w:r w:rsidR="00301F5D" w:rsidRPr="005B66F8">
              <w:rPr>
                <w:rFonts w:ascii="Arial" w:hAnsi="Arial" w:cs="Arial"/>
                <w:sz w:val="18"/>
                <w:szCs w:val="18"/>
                <w:highlight w:val="yellow"/>
              </w:rPr>
              <w:t>;</w:t>
            </w:r>
            <w:r w:rsidRPr="00A72EFF">
              <w:rPr>
                <w:rFonts w:ascii="Arial" w:hAnsi="Arial" w:cs="Arial"/>
                <w:sz w:val="18"/>
                <w:szCs w:val="18"/>
                <w:highlight w:val="yellow"/>
              </w:rPr>
              <w:t xml:space="preserve"> </w:t>
            </w:r>
            <w:r w:rsidR="008A315D" w:rsidRPr="005B66F8">
              <w:rPr>
                <w:rFonts w:ascii="Arial" w:hAnsi="Arial" w:cs="Arial"/>
                <w:sz w:val="18"/>
                <w:szCs w:val="18"/>
                <w:highlight w:val="yellow"/>
              </w:rPr>
              <w:t>EBA/GL/2021/05</w:t>
            </w:r>
            <w:r w:rsidRPr="00A72EFF">
              <w:rPr>
                <w:rFonts w:ascii="Arial" w:hAnsi="Arial" w:cs="Arial"/>
                <w:sz w:val="18"/>
                <w:szCs w:val="18"/>
                <w:highlight w:val="yellow"/>
              </w:rPr>
              <w:t>; EBA/GL/2014/13</w:t>
            </w:r>
            <w:r w:rsidR="00953F3E" w:rsidRPr="00A72EFF">
              <w:rPr>
                <w:rFonts w:ascii="Arial" w:hAnsi="Arial" w:cs="Arial"/>
                <w:sz w:val="18"/>
                <w:szCs w:val="18"/>
                <w:highlight w:val="yellow"/>
              </w:rPr>
              <w:t>; EBA/GL/2019/02</w:t>
            </w:r>
          </w:p>
        </w:tc>
      </w:tr>
      <w:tr w:rsidR="000901CB" w:rsidRPr="00301F5D" w14:paraId="67C25D42" w14:textId="77777777" w:rsidTr="004F737B">
        <w:trPr>
          <w:trHeight w:val="294"/>
        </w:trPr>
        <w:tc>
          <w:tcPr>
            <w:tcW w:w="9180" w:type="dxa"/>
            <w:gridSpan w:val="4"/>
          </w:tcPr>
          <w:p w14:paraId="7AF36DA5" w14:textId="77777777" w:rsidR="000901CB" w:rsidRPr="00A72EFF" w:rsidRDefault="000901CB" w:rsidP="004F737B">
            <w:pPr>
              <w:jc w:val="both"/>
              <w:rPr>
                <w:rFonts w:ascii="Arial" w:hAnsi="Arial" w:cs="Arial"/>
                <w:sz w:val="18"/>
                <w:szCs w:val="18"/>
              </w:rPr>
            </w:pPr>
          </w:p>
        </w:tc>
      </w:tr>
      <w:tr w:rsidR="000901CB" w:rsidRPr="009872F3" w14:paraId="58521199" w14:textId="77777777" w:rsidTr="004F737B">
        <w:tc>
          <w:tcPr>
            <w:tcW w:w="5798" w:type="dxa"/>
            <w:gridSpan w:val="3"/>
          </w:tcPr>
          <w:p w14:paraId="79F8461F" w14:textId="39E5BBBF" w:rsidR="000901CB" w:rsidRDefault="005034FA" w:rsidP="00B016A4">
            <w:pPr>
              <w:jc w:val="both"/>
              <w:rPr>
                <w:rFonts w:ascii="Arial" w:hAnsi="Arial" w:cs="Arial"/>
                <w:sz w:val="18"/>
                <w:szCs w:val="18"/>
              </w:rPr>
            </w:pPr>
            <w:r>
              <w:rPr>
                <w:rFonts w:ascii="Arial" w:hAnsi="Arial" w:cs="Arial"/>
                <w:sz w:val="18"/>
                <w:szCs w:val="18"/>
              </w:rPr>
              <w:t>Bestätigung, dass Business Impact Analyse</w:t>
            </w:r>
            <w:r w:rsidR="009E6900">
              <w:rPr>
                <w:rFonts w:ascii="Arial" w:hAnsi="Arial" w:cs="Arial"/>
                <w:sz w:val="18"/>
                <w:szCs w:val="18"/>
              </w:rPr>
              <w:t>n angemessen und regelmässig durchgeführt werden</w:t>
            </w:r>
          </w:p>
        </w:tc>
        <w:tc>
          <w:tcPr>
            <w:tcW w:w="3382" w:type="dxa"/>
          </w:tcPr>
          <w:p w14:paraId="44A7115E" w14:textId="77777777" w:rsidR="000901CB" w:rsidRPr="00E109DF" w:rsidRDefault="000901CB"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9E6900" w:rsidRPr="009872F3" w14:paraId="01A4D5BA" w14:textId="77777777" w:rsidTr="004F737B">
        <w:tc>
          <w:tcPr>
            <w:tcW w:w="5798" w:type="dxa"/>
            <w:gridSpan w:val="3"/>
          </w:tcPr>
          <w:p w14:paraId="5F79FB3D" w14:textId="77777777" w:rsidR="009E6900" w:rsidRDefault="009E6900" w:rsidP="009E6900">
            <w:pPr>
              <w:jc w:val="both"/>
              <w:rPr>
                <w:rFonts w:ascii="Arial" w:hAnsi="Arial" w:cs="Arial"/>
                <w:sz w:val="18"/>
                <w:szCs w:val="18"/>
              </w:rPr>
            </w:pPr>
            <w:r>
              <w:rPr>
                <w:rFonts w:ascii="Arial" w:hAnsi="Arial" w:cs="Arial"/>
                <w:sz w:val="18"/>
                <w:szCs w:val="18"/>
              </w:rPr>
              <w:t xml:space="preserve">Bestätigung, dass die internen Verfahren sicherstellen, dass die Business Continuity Strategie (Notfallpläne, Betriebskontinuitätspläne und </w:t>
            </w:r>
            <w:r>
              <w:rPr>
                <w:rFonts w:ascii="Arial" w:hAnsi="Arial" w:cs="Arial"/>
                <w:sz w:val="18"/>
                <w:szCs w:val="18"/>
              </w:rPr>
              <w:lastRenderedPageBreak/>
              <w:t>Sanierungspläne) und die enthaltenen Massnahmen angemessen ausgestaltet und dokumentiert sind</w:t>
            </w:r>
          </w:p>
        </w:tc>
        <w:tc>
          <w:tcPr>
            <w:tcW w:w="3382" w:type="dxa"/>
          </w:tcPr>
          <w:p w14:paraId="65A83923" w14:textId="77777777" w:rsidR="009E6900"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lastRenderedPageBreak/>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034FA" w:rsidRPr="009872F3" w14:paraId="1A8460FB" w14:textId="77777777" w:rsidTr="004F737B">
        <w:tc>
          <w:tcPr>
            <w:tcW w:w="5798" w:type="dxa"/>
            <w:gridSpan w:val="3"/>
          </w:tcPr>
          <w:p w14:paraId="2BA7E42A" w14:textId="4C1EAB53" w:rsidR="005034FA" w:rsidRDefault="005034FA" w:rsidP="009E6900">
            <w:pPr>
              <w:jc w:val="both"/>
              <w:rPr>
                <w:rFonts w:ascii="Arial" w:hAnsi="Arial" w:cs="Arial"/>
                <w:sz w:val="18"/>
                <w:szCs w:val="18"/>
              </w:rPr>
            </w:pPr>
            <w:r>
              <w:rPr>
                <w:rFonts w:ascii="Arial" w:hAnsi="Arial" w:cs="Arial"/>
                <w:sz w:val="18"/>
                <w:szCs w:val="18"/>
              </w:rPr>
              <w:t xml:space="preserve">Bestätigung, dass die internen Verfahren sicherstellen, dass </w:t>
            </w:r>
            <w:r w:rsidR="009E6900">
              <w:rPr>
                <w:rFonts w:ascii="Arial" w:hAnsi="Arial" w:cs="Arial"/>
                <w:sz w:val="18"/>
                <w:szCs w:val="18"/>
              </w:rPr>
              <w:t>die Business Continuity Strategie (Notfallpläne, Betriebskontinuitätspläne und Sanierungsplän</w:t>
            </w:r>
            <w:r w:rsidR="008F0E6F">
              <w:rPr>
                <w:rFonts w:ascii="Arial" w:hAnsi="Arial" w:cs="Arial"/>
                <w:sz w:val="18"/>
                <w:szCs w:val="18"/>
              </w:rPr>
              <w:t>e</w:t>
            </w:r>
            <w:r w:rsidR="009E6900">
              <w:rPr>
                <w:rFonts w:ascii="Arial" w:hAnsi="Arial" w:cs="Arial"/>
                <w:sz w:val="18"/>
                <w:szCs w:val="18"/>
              </w:rPr>
              <w:t>) alle wichtigen Funktionen und Ressourcen</w:t>
            </w:r>
            <w:r w:rsidR="00730181">
              <w:rPr>
                <w:rFonts w:ascii="Arial" w:hAnsi="Arial" w:cs="Arial"/>
                <w:sz w:val="18"/>
                <w:szCs w:val="18"/>
              </w:rPr>
              <w:t xml:space="preserve"> (inkl. ausgelagerte kritische oder wesentliche Funktionen)</w:t>
            </w:r>
            <w:r w:rsidR="009E6900">
              <w:rPr>
                <w:rFonts w:ascii="Arial" w:hAnsi="Arial" w:cs="Arial"/>
                <w:sz w:val="18"/>
                <w:szCs w:val="18"/>
              </w:rPr>
              <w:t xml:space="preserve"> umfasst.</w:t>
            </w:r>
          </w:p>
        </w:tc>
        <w:tc>
          <w:tcPr>
            <w:tcW w:w="3382" w:type="dxa"/>
          </w:tcPr>
          <w:p w14:paraId="62E8DD73" w14:textId="77777777" w:rsidR="005034FA" w:rsidRPr="00E109DF" w:rsidRDefault="009E6900"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901CB" w:rsidRPr="009872F3" w14:paraId="07EF9806" w14:textId="77777777" w:rsidTr="004F737B">
        <w:tc>
          <w:tcPr>
            <w:tcW w:w="5798" w:type="dxa"/>
            <w:gridSpan w:val="3"/>
          </w:tcPr>
          <w:p w14:paraId="63893108" w14:textId="37544CF8" w:rsidR="000901CB" w:rsidRDefault="009E6900" w:rsidP="005034FA">
            <w:pPr>
              <w:jc w:val="both"/>
              <w:rPr>
                <w:rFonts w:ascii="Arial" w:hAnsi="Arial" w:cs="Arial"/>
                <w:sz w:val="18"/>
                <w:szCs w:val="18"/>
              </w:rPr>
            </w:pPr>
            <w:r>
              <w:rPr>
                <w:rFonts w:ascii="Arial" w:hAnsi="Arial" w:cs="Arial"/>
                <w:sz w:val="18"/>
                <w:szCs w:val="18"/>
              </w:rPr>
              <w:t xml:space="preserve">Bestätigung, dass die </w:t>
            </w:r>
            <w:r w:rsidRPr="002E5C20">
              <w:rPr>
                <w:rFonts w:ascii="Arial" w:hAnsi="Arial" w:cs="Arial"/>
                <w:sz w:val="18"/>
                <w:szCs w:val="18"/>
                <w:highlight w:val="yellow"/>
              </w:rPr>
              <w:t>Bank oder Wertpapierfirma / Gruppe</w:t>
            </w:r>
            <w:r>
              <w:rPr>
                <w:rFonts w:ascii="Arial" w:hAnsi="Arial" w:cs="Arial"/>
                <w:sz w:val="18"/>
                <w:szCs w:val="18"/>
              </w:rPr>
              <w:t xml:space="preserve"> über angemessene Notfallpläne verfügt, welche sicherstellen, dass die </w:t>
            </w:r>
            <w:r w:rsidRPr="002E5C20">
              <w:rPr>
                <w:rFonts w:ascii="Arial" w:hAnsi="Arial" w:cs="Arial"/>
                <w:sz w:val="18"/>
                <w:szCs w:val="18"/>
                <w:highlight w:val="yellow"/>
              </w:rPr>
              <w:t>Bank oder Wertpapierfirma / Gruppe</w:t>
            </w:r>
            <w:r>
              <w:rPr>
                <w:rFonts w:ascii="Arial" w:hAnsi="Arial" w:cs="Arial"/>
                <w:sz w:val="18"/>
                <w:szCs w:val="18"/>
              </w:rPr>
              <w:t xml:space="preserve"> ihre Tätigkeit ohne Unterbruch aufrechterhalten kann und sich die bei schwerwiegenden Betriebsstörungen auftretenden Verluste in Grenzen halten</w:t>
            </w:r>
          </w:p>
        </w:tc>
        <w:tc>
          <w:tcPr>
            <w:tcW w:w="3382" w:type="dxa"/>
          </w:tcPr>
          <w:p w14:paraId="212AF46C" w14:textId="77777777" w:rsidR="000901CB"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r w:rsidRPr="00E109DF" w:rsidDel="009E6900">
              <w:rPr>
                <w:rFonts w:ascii="Arial" w:hAnsi="Arial" w:cs="Arial"/>
                <w:i/>
                <w:sz w:val="18"/>
                <w:szCs w:val="18"/>
                <w:highlight w:val="yellow"/>
              </w:rPr>
              <w:t xml:space="preserve"> </w:t>
            </w:r>
          </w:p>
        </w:tc>
      </w:tr>
      <w:tr w:rsidR="005034FA" w:rsidRPr="009872F3" w14:paraId="28F76BFF" w14:textId="77777777" w:rsidTr="004F737B">
        <w:tc>
          <w:tcPr>
            <w:tcW w:w="5798" w:type="dxa"/>
            <w:gridSpan w:val="3"/>
          </w:tcPr>
          <w:p w14:paraId="0DA7C7EB" w14:textId="77777777" w:rsidR="005034FA" w:rsidRDefault="009E6900" w:rsidP="005034FA">
            <w:pPr>
              <w:jc w:val="both"/>
              <w:rPr>
                <w:rFonts w:ascii="Arial" w:hAnsi="Arial" w:cs="Arial"/>
                <w:sz w:val="18"/>
                <w:szCs w:val="18"/>
              </w:rPr>
            </w:pPr>
            <w:r>
              <w:rPr>
                <w:rFonts w:ascii="Arial" w:hAnsi="Arial" w:cs="Arial"/>
                <w:sz w:val="18"/>
                <w:szCs w:val="18"/>
              </w:rPr>
              <w:t xml:space="preserve">Bestätigung, dass die internen Verfahren ein regelmässiges Testing und Aktualisierung der Business Continuity Strategie </w:t>
            </w:r>
            <w:r w:rsidR="002113BC">
              <w:rPr>
                <w:rFonts w:ascii="Arial" w:hAnsi="Arial" w:cs="Arial"/>
                <w:sz w:val="18"/>
                <w:szCs w:val="18"/>
              </w:rPr>
              <w:t xml:space="preserve">(Notfallpläne, Betriebskontinuitätspläne und Sanierungspläne) </w:t>
            </w:r>
            <w:r>
              <w:rPr>
                <w:rFonts w:ascii="Arial" w:hAnsi="Arial" w:cs="Arial"/>
                <w:sz w:val="18"/>
                <w:szCs w:val="18"/>
              </w:rPr>
              <w:t>und der Massnahmen sicherstellen</w:t>
            </w:r>
          </w:p>
        </w:tc>
        <w:tc>
          <w:tcPr>
            <w:tcW w:w="3382" w:type="dxa"/>
          </w:tcPr>
          <w:p w14:paraId="78AD3C83" w14:textId="77777777" w:rsidR="005034FA"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2113BC" w:rsidRPr="009872F3" w14:paraId="1238DD98" w14:textId="77777777" w:rsidTr="004F737B">
        <w:tc>
          <w:tcPr>
            <w:tcW w:w="5798" w:type="dxa"/>
            <w:gridSpan w:val="3"/>
          </w:tcPr>
          <w:p w14:paraId="36F6D999" w14:textId="4E878846" w:rsidR="002113BC" w:rsidRDefault="002113BC" w:rsidP="00850AE4">
            <w:pPr>
              <w:jc w:val="both"/>
              <w:rPr>
                <w:rFonts w:ascii="Arial" w:hAnsi="Arial" w:cs="Arial"/>
                <w:sz w:val="18"/>
                <w:szCs w:val="18"/>
              </w:rPr>
            </w:pPr>
            <w:r>
              <w:rPr>
                <w:rFonts w:ascii="Arial" w:hAnsi="Arial" w:cs="Arial"/>
                <w:sz w:val="18"/>
                <w:szCs w:val="18"/>
              </w:rPr>
              <w:t xml:space="preserve">Bestätigung, dass die internen Verfahren sicherstellen, dass </w:t>
            </w:r>
            <w:r w:rsidR="00850AE4">
              <w:rPr>
                <w:rFonts w:ascii="Arial" w:hAnsi="Arial" w:cs="Arial"/>
                <w:sz w:val="18"/>
                <w:szCs w:val="18"/>
              </w:rPr>
              <w:t xml:space="preserve">die internen Verfahren zum </w:t>
            </w:r>
            <w:r>
              <w:rPr>
                <w:rFonts w:ascii="Arial" w:hAnsi="Arial" w:cs="Arial"/>
                <w:sz w:val="18"/>
                <w:szCs w:val="18"/>
              </w:rPr>
              <w:t xml:space="preserve">Business Continuity Management </w:t>
            </w:r>
            <w:r w:rsidR="00850AE4">
              <w:rPr>
                <w:rFonts w:ascii="Arial" w:hAnsi="Arial" w:cs="Arial"/>
                <w:sz w:val="18"/>
                <w:szCs w:val="18"/>
              </w:rPr>
              <w:t xml:space="preserve">im Prüfplan der internen Revision angemessen Berücksichtigung finden. </w:t>
            </w:r>
            <w:r>
              <w:rPr>
                <w:rFonts w:ascii="Arial" w:hAnsi="Arial" w:cs="Arial"/>
                <w:sz w:val="18"/>
                <w:szCs w:val="18"/>
              </w:rPr>
              <w:t xml:space="preserve"> </w:t>
            </w:r>
          </w:p>
        </w:tc>
        <w:tc>
          <w:tcPr>
            <w:tcW w:w="3382" w:type="dxa"/>
          </w:tcPr>
          <w:p w14:paraId="370692C2" w14:textId="77777777" w:rsidR="002113BC" w:rsidRPr="00E109DF" w:rsidRDefault="002113BC" w:rsidP="004F737B">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A99BDC7" w14:textId="77777777" w:rsidR="000901CB" w:rsidRDefault="000901CB" w:rsidP="000901CB">
      <w:pPr>
        <w:jc w:val="both"/>
      </w:pPr>
    </w:p>
    <w:tbl>
      <w:tblPr>
        <w:tblStyle w:val="Tabellenraster"/>
        <w:tblW w:w="0" w:type="auto"/>
        <w:tblLook w:val="04A0" w:firstRow="1" w:lastRow="0" w:firstColumn="1" w:lastColumn="0" w:noHBand="0" w:noVBand="1"/>
      </w:tblPr>
      <w:tblGrid>
        <w:gridCol w:w="2660"/>
        <w:gridCol w:w="6520"/>
      </w:tblGrid>
      <w:tr w:rsidR="000901CB" w:rsidRPr="00CE3194" w14:paraId="6B3A5E0E" w14:textId="77777777" w:rsidTr="004F737B">
        <w:tc>
          <w:tcPr>
            <w:tcW w:w="2660" w:type="dxa"/>
          </w:tcPr>
          <w:p w14:paraId="67123F8D" w14:textId="77777777" w:rsidR="000901CB" w:rsidRPr="00CE3194" w:rsidRDefault="000901CB" w:rsidP="004F737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21CF045" w14:textId="77777777" w:rsidR="000901CB" w:rsidRPr="00CE3194" w:rsidRDefault="00BC3C6E" w:rsidP="004F737B">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0901CB" w:rsidRPr="00CE3194" w14:paraId="10DDF629" w14:textId="77777777" w:rsidTr="004F737B">
        <w:tc>
          <w:tcPr>
            <w:tcW w:w="2660" w:type="dxa"/>
          </w:tcPr>
          <w:p w14:paraId="214E0D5D"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Impact Analysis</w:t>
            </w:r>
          </w:p>
        </w:tc>
        <w:tc>
          <w:tcPr>
            <w:tcW w:w="6520" w:type="dxa"/>
          </w:tcPr>
          <w:p w14:paraId="4A635A03" w14:textId="77777777" w:rsidR="00CA5DD8" w:rsidRDefault="000901CB" w:rsidP="00CA5DD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eine angemessene Quantifizierung der Auswirkungen </w:t>
            </w:r>
            <w:r w:rsidR="00CA5DD8">
              <w:rPr>
                <w:rFonts w:cs="Arial"/>
                <w:i/>
                <w:szCs w:val="20"/>
                <w:highlight w:val="lightGray"/>
              </w:rPr>
              <w:t>durch schwerwiegende Betriebsstörungen</w:t>
            </w:r>
            <w:r>
              <w:rPr>
                <w:rFonts w:cs="Arial"/>
                <w:i/>
                <w:szCs w:val="20"/>
                <w:highlight w:val="lightGray"/>
              </w:rPr>
              <w:t xml:space="preserve"> sicher</w:t>
            </w:r>
          </w:p>
          <w:p w14:paraId="60810BE4" w14:textId="77777777" w:rsidR="00CA5DD8" w:rsidRDefault="00CA5DD8" w:rsidP="00CA5DD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Einbezug von qualitativen Auswirkungen durch schwerwiegende Betriebsstörungen sicher</w:t>
            </w:r>
          </w:p>
          <w:p w14:paraId="51B20BC2" w14:textId="77777777" w:rsidR="00F61357" w:rsidRDefault="00F61357"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angemessene Berücksichtigung von Szenario-Analysen und Prozessabhängigkeiten sicher</w:t>
            </w:r>
          </w:p>
          <w:p w14:paraId="272991A8" w14:textId="1F21BA25" w:rsidR="00953F3E" w:rsidRPr="00730181" w:rsidRDefault="00CA5DD8" w:rsidP="00730181">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1264D7">
              <w:rPr>
                <w:rFonts w:cs="Arial"/>
                <w:i/>
                <w:szCs w:val="20"/>
                <w:highlight w:val="lightGray"/>
              </w:rPr>
              <w:t>die wesentlichen</w:t>
            </w:r>
            <w:r>
              <w:rPr>
                <w:rFonts w:cs="Arial"/>
                <w:i/>
                <w:szCs w:val="20"/>
                <w:highlight w:val="lightGray"/>
              </w:rPr>
              <w:t xml:space="preserve"> Geschäftsbereiche und interne Einheiten</w:t>
            </w:r>
            <w:r w:rsidR="00F81E0F">
              <w:rPr>
                <w:rFonts w:cs="Arial"/>
                <w:i/>
                <w:szCs w:val="20"/>
                <w:highlight w:val="lightGray"/>
              </w:rPr>
              <w:t xml:space="preserve"> bzw. Prozesse</w:t>
            </w:r>
            <w:r>
              <w:rPr>
                <w:rFonts w:cs="Arial"/>
                <w:i/>
                <w:szCs w:val="20"/>
                <w:highlight w:val="lightGray"/>
              </w:rPr>
              <w:t xml:space="preserve"> </w:t>
            </w:r>
            <w:r w:rsidR="00953F3E">
              <w:rPr>
                <w:rFonts w:cs="Arial"/>
                <w:i/>
                <w:szCs w:val="20"/>
                <w:highlight w:val="lightGray"/>
              </w:rPr>
              <w:t xml:space="preserve">inkl. ausgelagerter kritischer oder wesentlicher Funktionen </w:t>
            </w:r>
            <w:r>
              <w:rPr>
                <w:rFonts w:cs="Arial"/>
                <w:i/>
                <w:szCs w:val="20"/>
                <w:highlight w:val="lightGray"/>
              </w:rPr>
              <w:t>in die Szenario-Analyse miteinbezogen w</w:t>
            </w:r>
            <w:r w:rsidR="005034FA">
              <w:rPr>
                <w:rFonts w:cs="Arial"/>
                <w:i/>
                <w:szCs w:val="20"/>
                <w:highlight w:val="lightGray"/>
              </w:rPr>
              <w:t>e</w:t>
            </w:r>
            <w:r>
              <w:rPr>
                <w:rFonts w:cs="Arial"/>
                <w:i/>
                <w:szCs w:val="20"/>
                <w:highlight w:val="lightGray"/>
              </w:rPr>
              <w:t>rden</w:t>
            </w:r>
          </w:p>
          <w:p w14:paraId="00985955" w14:textId="77777777" w:rsidR="00F61357" w:rsidRDefault="00F61357"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und angemessene Durchführung von Business Impact Analysen sicher</w:t>
            </w:r>
          </w:p>
          <w:p w14:paraId="6FA7BBD6" w14:textId="77777777" w:rsidR="00F81E0F" w:rsidRPr="00F61357" w:rsidRDefault="00F81E0F" w:rsidP="00F61357">
            <w:pPr>
              <w:pStyle w:val="Listenabsatz"/>
              <w:numPr>
                <w:ilvl w:val="1"/>
                <w:numId w:val="17"/>
              </w:numPr>
              <w:ind w:left="317" w:hanging="283"/>
              <w:jc w:val="both"/>
              <w:rPr>
                <w:rFonts w:cs="Arial"/>
                <w:i/>
                <w:szCs w:val="20"/>
                <w:highlight w:val="lightGray"/>
              </w:rPr>
            </w:pPr>
            <w:r>
              <w:rPr>
                <w:rFonts w:cs="Arial"/>
                <w:i/>
                <w:szCs w:val="20"/>
                <w:highlight w:val="lightGray"/>
              </w:rPr>
              <w:t>Die internen Verfahren regeln Kriterien aufgrund welcher eine ad-hoc Business Impact Analyse ausserhalb des normalen Aktualisierungszyklus ausgelöst wird (z.B. neue Produkte / Geschäftsfelder, Veränderungen der IT Infrastruktur, etc.)</w:t>
            </w:r>
          </w:p>
        </w:tc>
      </w:tr>
      <w:tr w:rsidR="000901CB" w:rsidRPr="00CE3194" w14:paraId="3AD3FCD0" w14:textId="77777777" w:rsidTr="004F737B">
        <w:tc>
          <w:tcPr>
            <w:tcW w:w="2660" w:type="dxa"/>
          </w:tcPr>
          <w:p w14:paraId="2E3933D3" w14:textId="6BEECE5E" w:rsidR="000901CB" w:rsidRPr="00B037A6" w:rsidRDefault="000901CB" w:rsidP="004F737B">
            <w:pPr>
              <w:jc w:val="both"/>
              <w:rPr>
                <w:rFonts w:ascii="Arial" w:hAnsi="Arial" w:cs="Arial"/>
                <w:i/>
                <w:sz w:val="20"/>
                <w:szCs w:val="20"/>
                <w:highlight w:val="lightGray"/>
                <w:lang w:val="en-US"/>
              </w:rPr>
            </w:pPr>
            <w:r w:rsidRPr="00B037A6">
              <w:rPr>
                <w:rFonts w:ascii="Arial" w:hAnsi="Arial" w:cs="Arial"/>
                <w:i/>
                <w:sz w:val="20"/>
                <w:szCs w:val="20"/>
                <w:highlight w:val="lightGray"/>
                <w:lang w:val="en-US"/>
              </w:rPr>
              <w:t xml:space="preserve">Business Continuity </w:t>
            </w:r>
            <w:r w:rsidR="008F0E6F" w:rsidRPr="00ED2F2F">
              <w:rPr>
                <w:rFonts w:ascii="Arial" w:hAnsi="Arial" w:cs="Arial"/>
                <w:i/>
                <w:sz w:val="20"/>
                <w:szCs w:val="20"/>
                <w:highlight w:val="lightGray"/>
                <w:lang w:val="en-US"/>
              </w:rPr>
              <w:t>Strategie</w:t>
            </w:r>
            <w:r w:rsidRPr="00B037A6">
              <w:rPr>
                <w:rFonts w:ascii="Arial" w:hAnsi="Arial" w:cs="Arial"/>
                <w:i/>
                <w:sz w:val="20"/>
                <w:szCs w:val="20"/>
                <w:highlight w:val="lightGray"/>
                <w:lang w:val="en-US"/>
              </w:rPr>
              <w:t xml:space="preserve"> und Massnahmen</w:t>
            </w:r>
          </w:p>
        </w:tc>
        <w:tc>
          <w:tcPr>
            <w:tcW w:w="6520" w:type="dxa"/>
          </w:tcPr>
          <w:p w14:paraId="6385F094" w14:textId="77777777" w:rsidR="00F81E0F" w:rsidRDefault="00F81E0F"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w:t>
            </w:r>
            <w:r w:rsidR="009043A1">
              <w:rPr>
                <w:rFonts w:cs="Arial"/>
                <w:i/>
                <w:szCs w:val="20"/>
                <w:highlight w:val="lightGray"/>
              </w:rPr>
              <w:t>l</w:t>
            </w:r>
            <w:r>
              <w:rPr>
                <w:rFonts w:cs="Arial"/>
                <w:i/>
                <w:szCs w:val="20"/>
                <w:highlight w:val="lightGray"/>
              </w:rPr>
              <w:t xml:space="preserve">en sicher, dass sich die Business Continuity Strategie auf die Erkenntnisse aus der Business Continuity Analyse stützt. </w:t>
            </w:r>
          </w:p>
          <w:p w14:paraId="246B502F" w14:textId="77777777" w:rsidR="00CA5DD8" w:rsidRDefault="00CA5DD8"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Business Continuity Strategie (Notfallpläne, Pläne zur Aufrechterhaltung des Geschäftsbetriebs und Pläne zur Wiederherstellung) angemessen dokumentiert ist </w:t>
            </w:r>
          </w:p>
          <w:p w14:paraId="43EFDC90" w14:textId="436FDD71" w:rsidR="00CA5DD8" w:rsidRDefault="000901CB" w:rsidP="004F737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Verfügbarkeit einer B</w:t>
            </w:r>
            <w:r w:rsidR="00CA5DD8">
              <w:rPr>
                <w:rFonts w:cs="Arial"/>
                <w:i/>
                <w:szCs w:val="20"/>
                <w:highlight w:val="lightGray"/>
              </w:rPr>
              <w:t xml:space="preserve">usiness Continuity </w:t>
            </w:r>
            <w:r>
              <w:rPr>
                <w:rFonts w:cs="Arial"/>
                <w:i/>
                <w:szCs w:val="20"/>
                <w:highlight w:val="lightGray"/>
              </w:rPr>
              <w:t xml:space="preserve">Strategie </w:t>
            </w:r>
            <w:r w:rsidR="00CA5DD8">
              <w:rPr>
                <w:rFonts w:cs="Arial"/>
                <w:i/>
                <w:szCs w:val="20"/>
                <w:highlight w:val="lightGray"/>
              </w:rPr>
              <w:t>(Notfallpläne, Pläne zur Aufrechterhaltung des Geschäftsbetriebs und Pläne zur Wiederherstellung) sicher</w:t>
            </w:r>
          </w:p>
          <w:p w14:paraId="63ED50B5" w14:textId="358F041B" w:rsidR="009043A1" w:rsidRDefault="009043A1"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Massnahmen </w:t>
            </w:r>
            <w:r w:rsidR="00CD4C50">
              <w:rPr>
                <w:rFonts w:cs="Arial"/>
                <w:i/>
                <w:szCs w:val="20"/>
                <w:highlight w:val="lightGray"/>
              </w:rPr>
              <w:t xml:space="preserve">(Reaktions- und Wiederherstellungspläne) </w:t>
            </w:r>
            <w:r>
              <w:rPr>
                <w:rFonts w:cs="Arial"/>
                <w:i/>
                <w:szCs w:val="20"/>
                <w:highlight w:val="lightGray"/>
              </w:rPr>
              <w:t xml:space="preserve">für die </w:t>
            </w:r>
            <w:r w:rsidR="00CD4C50">
              <w:rPr>
                <w:rFonts w:cs="Arial"/>
                <w:i/>
                <w:szCs w:val="20"/>
                <w:highlight w:val="lightGray"/>
              </w:rPr>
              <w:t xml:space="preserve">Verfügbarkeit, Kontinuität und Wiederherstellung der für die </w:t>
            </w:r>
            <w:r>
              <w:rPr>
                <w:rFonts w:cs="Arial"/>
                <w:i/>
                <w:szCs w:val="20"/>
                <w:highlight w:val="lightGray"/>
              </w:rPr>
              <w:t>gemäss Business Continuity Strategie wichtigen und zeitkritischen Geschäfts</w:t>
            </w:r>
            <w:r w:rsidR="00CD4C50">
              <w:rPr>
                <w:rFonts w:cs="Arial"/>
                <w:i/>
                <w:szCs w:val="20"/>
                <w:highlight w:val="lightGray"/>
              </w:rPr>
              <w:t>funktionen, Unterstützungsprozesse, IKT-Assets und deren gegenseitige Abhängigkeiten</w:t>
            </w:r>
            <w:r>
              <w:rPr>
                <w:rFonts w:cs="Arial"/>
                <w:i/>
                <w:szCs w:val="20"/>
                <w:highlight w:val="lightGray"/>
              </w:rPr>
              <w:t xml:space="preserve"> definiert sind. </w:t>
            </w:r>
          </w:p>
          <w:p w14:paraId="223E2C23" w14:textId="0DDED103" w:rsidR="00F945D0" w:rsidRDefault="00F945D0" w:rsidP="004F737B">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dass die Massnahmen das Vorgehen, die Mittel und die notwendigen Ressourcen zur </w:t>
            </w:r>
            <w:r>
              <w:rPr>
                <w:rFonts w:cs="Arial"/>
                <w:i/>
                <w:szCs w:val="20"/>
                <w:highlight w:val="lightGray"/>
              </w:rPr>
              <w:lastRenderedPageBreak/>
              <w:t>Überbrückung und Wiederherstellung der wichtigen und zeitkritischen Geschäfts</w:t>
            </w:r>
            <w:r w:rsidR="00CD4C50">
              <w:rPr>
                <w:rFonts w:cs="Arial"/>
                <w:i/>
                <w:szCs w:val="20"/>
                <w:highlight w:val="lightGray"/>
              </w:rPr>
              <w:t>funktionen, Unterstützungsprozesse, IKT-Assets und deren gegenseitige Abhängigkeiten</w:t>
            </w:r>
            <w:r w:rsidR="00730181">
              <w:rPr>
                <w:rFonts w:cs="Arial"/>
                <w:i/>
                <w:szCs w:val="20"/>
                <w:highlight w:val="lightGray"/>
              </w:rPr>
              <w:t xml:space="preserve"> </w:t>
            </w:r>
            <w:r>
              <w:rPr>
                <w:rFonts w:cs="Arial"/>
                <w:i/>
                <w:szCs w:val="20"/>
                <w:highlight w:val="lightGray"/>
              </w:rPr>
              <w:t>berücksichtigen.</w:t>
            </w:r>
          </w:p>
          <w:p w14:paraId="46300245" w14:textId="53ADD16C" w:rsidR="00CA5DD8" w:rsidRPr="009043A1" w:rsidRDefault="000464E3" w:rsidP="009043A1">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Schulung von Mitarbeitenden und die Kommunikation innerhalb </w:t>
            </w:r>
            <w:r w:rsidR="009043A1">
              <w:rPr>
                <w:rFonts w:cs="Arial"/>
                <w:i/>
                <w:szCs w:val="20"/>
                <w:highlight w:val="lightGray"/>
              </w:rPr>
              <w:t xml:space="preserve">der Bank oder Wertpapierfirma / Gruppe </w:t>
            </w:r>
            <w:r w:rsidR="00F945D0">
              <w:rPr>
                <w:rFonts w:cs="Arial"/>
                <w:i/>
                <w:szCs w:val="20"/>
                <w:highlight w:val="lightGray"/>
              </w:rPr>
              <w:t xml:space="preserve">über die Massnahmen </w:t>
            </w:r>
            <w:r>
              <w:rPr>
                <w:rFonts w:cs="Arial"/>
                <w:i/>
                <w:szCs w:val="20"/>
                <w:highlight w:val="lightGray"/>
              </w:rPr>
              <w:t>sicher</w:t>
            </w:r>
          </w:p>
        </w:tc>
      </w:tr>
      <w:tr w:rsidR="000901CB" w:rsidRPr="00CE3194" w14:paraId="6C48DDD1" w14:textId="77777777" w:rsidTr="004F737B">
        <w:tc>
          <w:tcPr>
            <w:tcW w:w="2660" w:type="dxa"/>
          </w:tcPr>
          <w:p w14:paraId="7196990B"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lastRenderedPageBreak/>
              <w:t>Testing &amp; Aktualisierung der Business Continuity Strategie und der Massnahmen</w:t>
            </w:r>
          </w:p>
        </w:tc>
        <w:tc>
          <w:tcPr>
            <w:tcW w:w="6520" w:type="dxa"/>
          </w:tcPr>
          <w:p w14:paraId="397A20E6" w14:textId="77777777" w:rsidR="000901CB" w:rsidRDefault="000901CB" w:rsidP="000901C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regelmässige Evaluierung der</w:t>
            </w:r>
            <w:r w:rsidR="00CA5DD8">
              <w:rPr>
                <w:rFonts w:cs="Arial"/>
                <w:i/>
                <w:szCs w:val="20"/>
                <w:highlight w:val="lightGray"/>
              </w:rPr>
              <w:t xml:space="preserve"> Business Continuity</w:t>
            </w:r>
            <w:r>
              <w:rPr>
                <w:rFonts w:cs="Arial"/>
                <w:i/>
                <w:szCs w:val="20"/>
                <w:highlight w:val="lightGray"/>
              </w:rPr>
              <w:t xml:space="preserve"> Strategie und der Massnahmen sicher</w:t>
            </w:r>
          </w:p>
          <w:p w14:paraId="1D4CF298" w14:textId="77777777" w:rsidR="00F945D0" w:rsidRDefault="00F945D0" w:rsidP="000901CB">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Dokumentation der Evaluierung und deren Ergebnisse sicher</w:t>
            </w:r>
          </w:p>
          <w:p w14:paraId="2C037F4C" w14:textId="77777777" w:rsidR="00D73B0D" w:rsidRDefault="00D73B0D" w:rsidP="00CB3EE6">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Überarbeitung der Pläne bei existierenden Problemen oder Störungen sicher</w:t>
            </w:r>
          </w:p>
          <w:p w14:paraId="1D37446D" w14:textId="6FB63E48" w:rsidR="005034FA" w:rsidRPr="000901CB" w:rsidRDefault="005034FA" w:rsidP="003E2995">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überarbeiteten Pläne innerhalb der Bank oder Wertpapierfirma / Gruppe angemessen kommuniziert wurden. </w:t>
            </w:r>
          </w:p>
        </w:tc>
      </w:tr>
      <w:tr w:rsidR="000901CB" w:rsidRPr="00CE3194" w14:paraId="23408D74" w14:textId="77777777" w:rsidTr="004F737B">
        <w:tc>
          <w:tcPr>
            <w:tcW w:w="2660" w:type="dxa"/>
          </w:tcPr>
          <w:p w14:paraId="42727B0F" w14:textId="77777777" w:rsidR="000901CB" w:rsidRDefault="000901CB" w:rsidP="004F737B">
            <w:pPr>
              <w:jc w:val="both"/>
              <w:rPr>
                <w:rFonts w:ascii="Arial" w:hAnsi="Arial" w:cs="Arial"/>
                <w:i/>
                <w:sz w:val="20"/>
                <w:szCs w:val="20"/>
                <w:highlight w:val="lightGray"/>
              </w:rPr>
            </w:pPr>
            <w:r>
              <w:rPr>
                <w:rFonts w:ascii="Arial" w:hAnsi="Arial" w:cs="Arial"/>
                <w:i/>
                <w:sz w:val="20"/>
                <w:szCs w:val="20"/>
                <w:highlight w:val="lightGray"/>
              </w:rPr>
              <w:t>Business Continuity Review</w:t>
            </w:r>
          </w:p>
        </w:tc>
        <w:tc>
          <w:tcPr>
            <w:tcW w:w="6520" w:type="dxa"/>
          </w:tcPr>
          <w:p w14:paraId="3CE7CA16" w14:textId="3539D9F2" w:rsidR="000901CB" w:rsidRDefault="000901CB" w:rsidP="006634A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7D00DF">
              <w:rPr>
                <w:rFonts w:cs="Arial"/>
                <w:i/>
                <w:szCs w:val="20"/>
                <w:highlight w:val="lightGray"/>
              </w:rPr>
              <w:t xml:space="preserve">die </w:t>
            </w:r>
            <w:r w:rsidR="007D4EE8">
              <w:rPr>
                <w:rFonts w:cs="Arial"/>
                <w:i/>
                <w:szCs w:val="20"/>
                <w:highlight w:val="lightGray"/>
              </w:rPr>
              <w:t xml:space="preserve">Prüfung der </w:t>
            </w:r>
            <w:r w:rsidR="007D00DF">
              <w:rPr>
                <w:rFonts w:cs="Arial"/>
                <w:i/>
                <w:szCs w:val="20"/>
                <w:highlight w:val="lightGray"/>
              </w:rPr>
              <w:t>internen Verfahren zum</w:t>
            </w:r>
            <w:r>
              <w:rPr>
                <w:rFonts w:cs="Arial"/>
                <w:i/>
                <w:szCs w:val="20"/>
                <w:highlight w:val="lightGray"/>
              </w:rPr>
              <w:t xml:space="preserve"> B</w:t>
            </w:r>
            <w:r w:rsidR="00CA5DD8">
              <w:rPr>
                <w:rFonts w:cs="Arial"/>
                <w:i/>
                <w:szCs w:val="20"/>
                <w:highlight w:val="lightGray"/>
              </w:rPr>
              <w:t xml:space="preserve">usiness Continuity Management </w:t>
            </w:r>
            <w:r w:rsidR="007D4EE8">
              <w:rPr>
                <w:rFonts w:cs="Arial"/>
                <w:i/>
                <w:szCs w:val="20"/>
                <w:highlight w:val="lightGray"/>
              </w:rPr>
              <w:t>angemessen in der Mehrjahresplanung</w:t>
            </w:r>
            <w:r w:rsidR="007D00DF">
              <w:rPr>
                <w:rFonts w:cs="Arial"/>
                <w:i/>
                <w:szCs w:val="20"/>
                <w:highlight w:val="lightGray"/>
              </w:rPr>
              <w:t xml:space="preserve"> der internen Revision berücksichtigt </w:t>
            </w:r>
            <w:r w:rsidR="007D4EE8">
              <w:rPr>
                <w:rFonts w:cs="Arial"/>
                <w:i/>
                <w:szCs w:val="20"/>
                <w:highlight w:val="lightGray"/>
              </w:rPr>
              <w:t xml:space="preserve">und regelmässig geprüft </w:t>
            </w:r>
            <w:r w:rsidR="007D00DF">
              <w:rPr>
                <w:rFonts w:cs="Arial"/>
                <w:i/>
                <w:szCs w:val="20"/>
                <w:highlight w:val="lightGray"/>
              </w:rPr>
              <w:t xml:space="preserve">werden. </w:t>
            </w:r>
          </w:p>
        </w:tc>
      </w:tr>
    </w:tbl>
    <w:p w14:paraId="7E7F5E59" w14:textId="77777777" w:rsidR="000901CB" w:rsidRDefault="000901CB" w:rsidP="000901CB">
      <w:pPr>
        <w:jc w:val="both"/>
      </w:pPr>
    </w:p>
    <w:p w14:paraId="775379E9" w14:textId="77777777" w:rsidR="004A405F" w:rsidRPr="00276C60" w:rsidRDefault="004A405F" w:rsidP="004A405F">
      <w:pPr>
        <w:jc w:val="both"/>
        <w:rPr>
          <w:rFonts w:ascii="Arial" w:hAnsi="Arial" w:cs="Arial"/>
          <w:i/>
          <w:sz w:val="20"/>
          <w:szCs w:val="20"/>
        </w:rPr>
      </w:pPr>
      <w:r w:rsidRPr="00276C60">
        <w:rPr>
          <w:rFonts w:ascii="Arial" w:hAnsi="Arial" w:cs="Arial"/>
          <w:i/>
          <w:sz w:val="20"/>
          <w:szCs w:val="20"/>
          <w:highlight w:val="yellow"/>
        </w:rPr>
        <w:t>Text</w:t>
      </w:r>
    </w:p>
    <w:p w14:paraId="5878C9F7" w14:textId="77777777" w:rsidR="004A405F" w:rsidRDefault="004A405F" w:rsidP="000901CB">
      <w:pPr>
        <w:jc w:val="both"/>
      </w:pPr>
    </w:p>
    <w:p w14:paraId="2CE8FF58" w14:textId="076ADE4D" w:rsidR="000901CB" w:rsidRDefault="000901CB" w:rsidP="000901CB">
      <w:pPr>
        <w:jc w:val="both"/>
      </w:pPr>
    </w:p>
    <w:p w14:paraId="01989B0E" w14:textId="67EDB741" w:rsidR="00E864F2" w:rsidRDefault="00981CC2" w:rsidP="006F7AB5">
      <w:pPr>
        <w:pStyle w:val="FINMAGliederungEbene3"/>
      </w:pPr>
      <w:bookmarkStart w:id="70" w:name="_Toc147849923"/>
      <w:r>
        <w:t xml:space="preserve">IKT-Sicherheit </w:t>
      </w:r>
      <w:r w:rsidR="0003063F">
        <w:t>(GOV-10)</w:t>
      </w:r>
      <w:bookmarkEnd w:id="70"/>
    </w:p>
    <w:p w14:paraId="56811185" w14:textId="77777777" w:rsidR="00E864F2" w:rsidRDefault="00E864F2" w:rsidP="00E864F2">
      <w:pPr>
        <w:jc w:val="both"/>
      </w:pPr>
    </w:p>
    <w:tbl>
      <w:tblPr>
        <w:tblStyle w:val="Tabellenraster"/>
        <w:tblW w:w="0" w:type="auto"/>
        <w:tblLook w:val="04A0" w:firstRow="1" w:lastRow="0" w:firstColumn="1" w:lastColumn="0" w:noHBand="0" w:noVBand="1"/>
      </w:tblPr>
      <w:tblGrid>
        <w:gridCol w:w="1470"/>
        <w:gridCol w:w="2218"/>
        <w:gridCol w:w="2074"/>
        <w:gridCol w:w="3752"/>
      </w:tblGrid>
      <w:tr w:rsidR="00E33239" w:rsidRPr="009872F3" w14:paraId="5BB74D16" w14:textId="77777777" w:rsidTr="00093B3E">
        <w:trPr>
          <w:trHeight w:val="563"/>
        </w:trPr>
        <w:tc>
          <w:tcPr>
            <w:tcW w:w="1504" w:type="dxa"/>
          </w:tcPr>
          <w:p w14:paraId="308A0651" w14:textId="77777777" w:rsidR="00E33239" w:rsidRPr="009872F3" w:rsidRDefault="00E33239" w:rsidP="00093B3E">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3A211F0D" w14:textId="77777777" w:rsidR="00E33239" w:rsidRPr="009872F3" w:rsidRDefault="00E33239" w:rsidP="00093B3E">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23B11675" w14:textId="09B17DEE" w:rsidR="00E33239" w:rsidRPr="009872F3" w:rsidRDefault="00E33239" w:rsidP="00B016A4">
            <w:pPr>
              <w:jc w:val="both"/>
              <w:rPr>
                <w:rFonts w:ascii="Arial" w:hAnsi="Arial" w:cs="Arial"/>
                <w:sz w:val="18"/>
                <w:szCs w:val="18"/>
              </w:rPr>
            </w:pPr>
            <w:r>
              <w:rPr>
                <w:rFonts w:ascii="Arial" w:hAnsi="Arial" w:cs="Arial"/>
                <w:sz w:val="18"/>
                <w:szCs w:val="18"/>
              </w:rPr>
              <w:t>In de</w:t>
            </w:r>
            <w:r w:rsidR="00B016A4">
              <w:rPr>
                <w:rFonts w:ascii="Arial" w:hAnsi="Arial" w:cs="Arial"/>
                <w:sz w:val="18"/>
                <w:szCs w:val="18"/>
              </w:rPr>
              <w:t xml:space="preserve">n vorangegangenen fünf Jahren </w:t>
            </w:r>
            <w:r>
              <w:rPr>
                <w:rFonts w:ascii="Arial" w:hAnsi="Arial" w:cs="Arial"/>
                <w:sz w:val="18"/>
                <w:szCs w:val="18"/>
              </w:rPr>
              <w:t xml:space="preserve">im Rahmen der graduellen Abdeckung abgedeckte Prüfelemente mit Angabe der jeweiligen Prüftiefe und des Prüfjahrs </w:t>
            </w:r>
          </w:p>
        </w:tc>
      </w:tr>
      <w:tr w:rsidR="00E33239" w:rsidRPr="009872F3" w14:paraId="55FC5977" w14:textId="77777777" w:rsidTr="00093B3E">
        <w:trPr>
          <w:trHeight w:val="698"/>
        </w:trPr>
        <w:tc>
          <w:tcPr>
            <w:tcW w:w="1504" w:type="dxa"/>
          </w:tcPr>
          <w:p w14:paraId="221522E1" w14:textId="0B6BB755" w:rsidR="00E33239" w:rsidRPr="006749F0" w:rsidRDefault="00E33239" w:rsidP="00093B3E">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4409" w:type="dxa"/>
            <w:gridSpan w:val="2"/>
          </w:tcPr>
          <w:p w14:paraId="1FE7DC12" w14:textId="3E64FBB0" w:rsidR="00E33239" w:rsidRPr="00667026" w:rsidRDefault="00E33239" w:rsidP="00093B3E">
            <w:pPr>
              <w:jc w:val="both"/>
              <w:rPr>
                <w:rFonts w:ascii="Arial" w:hAnsi="Arial" w:cs="Arial"/>
                <w:sz w:val="18"/>
                <w:szCs w:val="18"/>
                <w:highlight w:val="yellow"/>
              </w:rPr>
            </w:pPr>
            <w:r>
              <w:rPr>
                <w:rFonts w:ascii="Arial" w:hAnsi="Arial" w:cs="Arial"/>
                <w:sz w:val="18"/>
                <w:szCs w:val="18"/>
                <w:highlight w:val="yellow"/>
              </w:rPr>
              <w:t>Beispiel für Berichtsjahr 201</w:t>
            </w:r>
            <w:r w:rsidR="00981CC2">
              <w:rPr>
                <w:rFonts w:ascii="Arial" w:hAnsi="Arial" w:cs="Arial"/>
                <w:sz w:val="18"/>
                <w:szCs w:val="18"/>
                <w:highlight w:val="yellow"/>
              </w:rPr>
              <w:t>9</w:t>
            </w:r>
            <w:r>
              <w:rPr>
                <w:rFonts w:ascii="Arial" w:hAnsi="Arial" w:cs="Arial"/>
                <w:sz w:val="18"/>
                <w:szCs w:val="18"/>
                <w:highlight w:val="yellow"/>
              </w:rPr>
              <w:t>:</w:t>
            </w:r>
          </w:p>
          <w:p w14:paraId="35EF8113" w14:textId="77777777" w:rsidR="00981CC2" w:rsidRPr="00667026" w:rsidRDefault="00981CC2" w:rsidP="00981CC2">
            <w:pPr>
              <w:pStyle w:val="Listenabsatz"/>
              <w:numPr>
                <w:ilvl w:val="1"/>
                <w:numId w:val="17"/>
              </w:numPr>
              <w:ind w:left="197" w:hanging="197"/>
              <w:jc w:val="both"/>
              <w:rPr>
                <w:rFonts w:cs="Arial"/>
                <w:sz w:val="18"/>
                <w:szCs w:val="18"/>
                <w:highlight w:val="yellow"/>
              </w:rPr>
            </w:pPr>
            <w:r>
              <w:rPr>
                <w:rFonts w:cs="Arial"/>
                <w:sz w:val="18"/>
                <w:szCs w:val="18"/>
                <w:highlight w:val="yellow"/>
              </w:rPr>
              <w:t>IT-Strategie, IKT-Organisation und IKT-Governance (Detailprüfung)</w:t>
            </w:r>
          </w:p>
          <w:p w14:paraId="185528B6" w14:textId="7141776E" w:rsidR="00E33239" w:rsidRPr="00CB3EE6" w:rsidRDefault="00981CC2" w:rsidP="00CB3EE6">
            <w:pPr>
              <w:pStyle w:val="Listenabsatz"/>
              <w:numPr>
                <w:ilvl w:val="1"/>
                <w:numId w:val="17"/>
              </w:numPr>
              <w:ind w:left="197" w:hanging="197"/>
              <w:jc w:val="both"/>
              <w:rPr>
                <w:rFonts w:cs="Arial"/>
                <w:sz w:val="18"/>
                <w:szCs w:val="18"/>
                <w:highlight w:val="yellow"/>
              </w:rPr>
            </w:pPr>
            <w:r w:rsidRPr="00255340">
              <w:rPr>
                <w:rFonts w:cs="Arial"/>
                <w:sz w:val="18"/>
                <w:szCs w:val="18"/>
                <w:highlight w:val="yellow"/>
              </w:rPr>
              <w:t xml:space="preserve">IKT- und Informationssicherheitsrisikomanagement </w:t>
            </w:r>
            <w:r w:rsidRPr="00667026">
              <w:rPr>
                <w:rFonts w:cs="Arial"/>
                <w:sz w:val="18"/>
                <w:szCs w:val="18"/>
                <w:highlight w:val="yellow"/>
              </w:rPr>
              <w:t>(Kritische Beurteilung)</w:t>
            </w:r>
          </w:p>
        </w:tc>
        <w:tc>
          <w:tcPr>
            <w:tcW w:w="3827" w:type="dxa"/>
          </w:tcPr>
          <w:p w14:paraId="16079B85" w14:textId="77777777" w:rsidR="00E33239" w:rsidRDefault="00E33239" w:rsidP="00093B3E">
            <w:pPr>
              <w:jc w:val="both"/>
              <w:rPr>
                <w:rFonts w:ascii="Arial" w:hAnsi="Arial" w:cs="Arial"/>
                <w:i/>
                <w:sz w:val="18"/>
                <w:szCs w:val="18"/>
              </w:rPr>
            </w:pPr>
            <w:r w:rsidRPr="00667026">
              <w:rPr>
                <w:rFonts w:ascii="Arial" w:hAnsi="Arial" w:cs="Arial"/>
                <w:i/>
                <w:sz w:val="18"/>
                <w:szCs w:val="18"/>
                <w:highlight w:val="yellow"/>
              </w:rPr>
              <w:t>Beispiel:</w:t>
            </w:r>
          </w:p>
          <w:p w14:paraId="6C33A67D" w14:textId="6341CE85" w:rsidR="00981CC2" w:rsidRDefault="00981CC2" w:rsidP="00981CC2">
            <w:pPr>
              <w:jc w:val="both"/>
              <w:rPr>
                <w:rFonts w:ascii="Arial" w:hAnsi="Arial" w:cs="Arial"/>
                <w:i/>
                <w:sz w:val="18"/>
                <w:szCs w:val="18"/>
                <w:highlight w:val="yellow"/>
              </w:rPr>
            </w:pPr>
            <w:r>
              <w:rPr>
                <w:rFonts w:ascii="Arial" w:hAnsi="Arial" w:cs="Arial"/>
                <w:i/>
                <w:sz w:val="18"/>
                <w:szCs w:val="18"/>
                <w:highlight w:val="yellow"/>
              </w:rPr>
              <w:t>2014: Cloud (Detailprüfung)</w:t>
            </w:r>
          </w:p>
          <w:p w14:paraId="5E7B0BB4" w14:textId="6707978B" w:rsidR="00981CC2" w:rsidRDefault="00981CC2" w:rsidP="00981CC2">
            <w:pPr>
              <w:jc w:val="both"/>
              <w:rPr>
                <w:rFonts w:ascii="Arial" w:hAnsi="Arial" w:cs="Arial"/>
                <w:i/>
                <w:sz w:val="18"/>
                <w:szCs w:val="18"/>
                <w:highlight w:val="yellow"/>
              </w:rPr>
            </w:pPr>
            <w:r>
              <w:rPr>
                <w:rFonts w:ascii="Arial" w:hAnsi="Arial" w:cs="Arial"/>
                <w:i/>
                <w:sz w:val="18"/>
                <w:szCs w:val="18"/>
                <w:highlight w:val="yellow"/>
              </w:rPr>
              <w:t>2015: IKT-Projekte und Änderungsmanagement (Kritische Beurteilung)</w:t>
            </w:r>
          </w:p>
          <w:p w14:paraId="1622F47B" w14:textId="585C1BEE" w:rsidR="00981CC2" w:rsidRPr="00667026" w:rsidRDefault="00981CC2" w:rsidP="00981CC2">
            <w:pPr>
              <w:jc w:val="both"/>
              <w:rPr>
                <w:rFonts w:ascii="Arial" w:hAnsi="Arial" w:cs="Arial"/>
                <w:i/>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Pr>
                <w:rFonts w:ascii="Arial" w:hAnsi="Arial" w:cs="Arial"/>
                <w:i/>
                <w:sz w:val="18"/>
                <w:szCs w:val="18"/>
                <w:highlight w:val="yellow"/>
              </w:rPr>
              <w:t>I</w:t>
            </w:r>
            <w:r w:rsidRPr="00255340">
              <w:rPr>
                <w:rFonts w:ascii="Arial" w:hAnsi="Arial" w:cs="Arial"/>
                <w:i/>
                <w:sz w:val="18"/>
                <w:szCs w:val="18"/>
                <w:highlight w:val="yellow"/>
              </w:rPr>
              <w:t>nformationssicherheitsmanagement</w:t>
            </w:r>
            <w:r w:rsidDel="008F7A98">
              <w:rPr>
                <w:rFonts w:ascii="Arial" w:hAnsi="Arial" w:cs="Arial"/>
                <w:i/>
                <w:sz w:val="18"/>
                <w:szCs w:val="18"/>
                <w:highlight w:val="yellow"/>
              </w:rPr>
              <w:t xml:space="preserve"> </w:t>
            </w:r>
            <w:r>
              <w:rPr>
                <w:rFonts w:ascii="Arial" w:hAnsi="Arial" w:cs="Arial"/>
                <w:i/>
                <w:sz w:val="18"/>
                <w:szCs w:val="18"/>
                <w:highlight w:val="yellow"/>
              </w:rPr>
              <w:t>(Kritische Beurteilung)</w:t>
            </w:r>
          </w:p>
          <w:p w14:paraId="5609C81B" w14:textId="6E5C5584" w:rsidR="00981CC2" w:rsidRPr="00667026" w:rsidRDefault="00981CC2" w:rsidP="00981CC2">
            <w:pPr>
              <w:jc w:val="both"/>
              <w:rPr>
                <w:rFonts w:ascii="Arial" w:hAnsi="Arial" w:cs="Arial"/>
                <w:i/>
                <w:sz w:val="18"/>
                <w:szCs w:val="18"/>
                <w:highlight w:val="yellow"/>
              </w:rPr>
            </w:pPr>
            <w:r>
              <w:rPr>
                <w:rFonts w:ascii="Arial" w:hAnsi="Arial" w:cs="Arial"/>
                <w:i/>
                <w:sz w:val="18"/>
                <w:szCs w:val="18"/>
                <w:highlight w:val="yellow"/>
              </w:rPr>
              <w:t>2017</w:t>
            </w:r>
            <w:r w:rsidRPr="00667026">
              <w:rPr>
                <w:rFonts w:ascii="Arial" w:hAnsi="Arial" w:cs="Arial"/>
                <w:i/>
                <w:sz w:val="18"/>
                <w:szCs w:val="18"/>
                <w:highlight w:val="yellow"/>
              </w:rPr>
              <w:t xml:space="preserve">: </w:t>
            </w:r>
            <w:r w:rsidRPr="00255340">
              <w:rPr>
                <w:rFonts w:ascii="Arial" w:hAnsi="Arial" w:cs="Arial"/>
                <w:i/>
                <w:sz w:val="18"/>
                <w:szCs w:val="18"/>
                <w:highlight w:val="yellow"/>
              </w:rPr>
              <w:t>Benutzerberechtigungsmanagement</w:t>
            </w:r>
            <w:r>
              <w:rPr>
                <w:rFonts w:ascii="Arial" w:hAnsi="Arial" w:cs="Arial"/>
                <w:i/>
                <w:sz w:val="18"/>
                <w:szCs w:val="18"/>
                <w:highlight w:val="yellow"/>
              </w:rPr>
              <w:t xml:space="preserve"> (Detailprüfung)</w:t>
            </w:r>
          </w:p>
          <w:p w14:paraId="06FDE9BB" w14:textId="64CD3158" w:rsidR="00E33239" w:rsidRPr="006749F0" w:rsidRDefault="00981CC2" w:rsidP="00E33239">
            <w:pPr>
              <w:jc w:val="both"/>
              <w:rPr>
                <w:rFonts w:ascii="Arial" w:hAnsi="Arial" w:cs="Arial"/>
                <w:i/>
                <w:sz w:val="18"/>
                <w:szCs w:val="18"/>
              </w:rPr>
            </w:pPr>
            <w:r>
              <w:rPr>
                <w:rFonts w:ascii="Arial" w:hAnsi="Arial" w:cs="Arial"/>
                <w:i/>
                <w:sz w:val="18"/>
                <w:szCs w:val="18"/>
                <w:highlight w:val="yellow"/>
              </w:rPr>
              <w:t>2018</w:t>
            </w:r>
            <w:r w:rsidRPr="00E33239">
              <w:rPr>
                <w:rFonts w:ascii="Arial" w:hAnsi="Arial" w:cs="Arial"/>
                <w:i/>
                <w:sz w:val="18"/>
                <w:szCs w:val="18"/>
                <w:highlight w:val="yellow"/>
              </w:rPr>
              <w:t xml:space="preserve">: </w:t>
            </w:r>
            <w:r w:rsidRPr="00255340">
              <w:rPr>
                <w:rFonts w:ascii="Arial" w:hAnsi="Arial" w:cs="Arial"/>
                <w:i/>
                <w:sz w:val="18"/>
                <w:szCs w:val="18"/>
                <w:highlight w:val="yellow"/>
              </w:rPr>
              <w:t>IKT-Betriebsmanagement</w:t>
            </w:r>
            <w:r w:rsidRPr="00CB3EE6">
              <w:rPr>
                <w:rFonts w:ascii="Arial" w:hAnsi="Arial" w:cs="Arial"/>
                <w:i/>
                <w:sz w:val="18"/>
                <w:szCs w:val="18"/>
                <w:highlight w:val="yellow"/>
              </w:rPr>
              <w:t xml:space="preserve"> (Detailprüfung)</w:t>
            </w:r>
          </w:p>
        </w:tc>
      </w:tr>
      <w:tr w:rsidR="00E33239" w:rsidRPr="00B17153" w14:paraId="01821B12" w14:textId="77777777" w:rsidTr="00093B3E">
        <w:trPr>
          <w:trHeight w:val="133"/>
        </w:trPr>
        <w:tc>
          <w:tcPr>
            <w:tcW w:w="9740" w:type="dxa"/>
            <w:gridSpan w:val="4"/>
          </w:tcPr>
          <w:p w14:paraId="4D00FC5A" w14:textId="77777777" w:rsidR="00E33239" w:rsidRDefault="00E33239" w:rsidP="00093B3E">
            <w:pPr>
              <w:jc w:val="both"/>
              <w:rPr>
                <w:rFonts w:ascii="Arial" w:hAnsi="Arial" w:cs="Arial"/>
                <w:sz w:val="18"/>
                <w:szCs w:val="18"/>
              </w:rPr>
            </w:pPr>
          </w:p>
          <w:p w14:paraId="39DDE588" w14:textId="77777777" w:rsidR="00E33239" w:rsidRPr="00F60909" w:rsidRDefault="00E33239" w:rsidP="00093B3E">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0BB6E46" w14:textId="7E873ED2" w:rsidR="00E33239" w:rsidRPr="00B17153" w:rsidRDefault="00E33239" w:rsidP="00093B3E">
            <w:pPr>
              <w:jc w:val="both"/>
              <w:rPr>
                <w:rFonts w:ascii="Arial" w:hAnsi="Arial" w:cs="Arial"/>
                <w:sz w:val="18"/>
                <w:szCs w:val="18"/>
              </w:rPr>
            </w:pPr>
            <w:r w:rsidRPr="00B17153">
              <w:rPr>
                <w:rFonts w:ascii="Arial" w:hAnsi="Arial" w:cs="Arial"/>
                <w:sz w:val="18"/>
                <w:szCs w:val="18"/>
                <w:highlight w:val="yellow"/>
              </w:rPr>
              <w:t xml:space="preserve">Art. 7a BankG; Art. 14a BankG; Art. 22 BankG; </w:t>
            </w:r>
            <w:r w:rsidR="00301F5D" w:rsidRPr="00B17153">
              <w:rPr>
                <w:rFonts w:ascii="Arial" w:hAnsi="Arial" w:cs="Arial"/>
                <w:sz w:val="18"/>
                <w:szCs w:val="18"/>
                <w:highlight w:val="yellow"/>
              </w:rPr>
              <w:t xml:space="preserve">Art. 34b und Art. 35 BankV; </w:t>
            </w:r>
            <w:r w:rsidRPr="00B17153">
              <w:rPr>
                <w:rFonts w:ascii="Arial" w:hAnsi="Arial" w:cs="Arial"/>
                <w:sz w:val="18"/>
                <w:szCs w:val="18"/>
                <w:highlight w:val="yellow"/>
              </w:rPr>
              <w:t>EBA/GL/2017/05</w:t>
            </w:r>
            <w:r w:rsidR="00205681" w:rsidRPr="00B17153">
              <w:rPr>
                <w:rFonts w:ascii="Arial" w:hAnsi="Arial" w:cs="Arial"/>
                <w:sz w:val="18"/>
                <w:szCs w:val="18"/>
                <w:highlight w:val="yellow"/>
              </w:rPr>
              <w:t xml:space="preserve">; </w:t>
            </w:r>
            <w:r w:rsidR="00671DBD" w:rsidRPr="00B17153">
              <w:rPr>
                <w:rFonts w:ascii="Arial" w:hAnsi="Arial" w:cs="Arial"/>
                <w:sz w:val="18"/>
                <w:szCs w:val="18"/>
                <w:highlight w:val="yellow"/>
              </w:rPr>
              <w:t>EBA/GL/2019/02; EBA/GL/2019/04</w:t>
            </w:r>
            <w:r w:rsidR="00B17153" w:rsidRPr="00B17153">
              <w:rPr>
                <w:rFonts w:ascii="Arial" w:hAnsi="Arial" w:cs="Arial"/>
                <w:sz w:val="18"/>
                <w:szCs w:val="18"/>
                <w:highlight w:val="yellow"/>
              </w:rPr>
              <w:t>, FMA-Rich</w:t>
            </w:r>
            <w:r w:rsidR="00B17153" w:rsidRPr="00BF6946">
              <w:rPr>
                <w:rFonts w:ascii="Arial" w:hAnsi="Arial" w:cs="Arial"/>
                <w:sz w:val="18"/>
                <w:szCs w:val="18"/>
                <w:highlight w:val="yellow"/>
              </w:rPr>
              <w:t>tlinie</w:t>
            </w:r>
            <w:r w:rsidR="00B17153">
              <w:rPr>
                <w:rFonts w:ascii="Arial" w:hAnsi="Arial" w:cs="Arial"/>
                <w:sz w:val="18"/>
                <w:szCs w:val="18"/>
                <w:highlight w:val="yellow"/>
              </w:rPr>
              <w:t xml:space="preserve"> 2021/3</w:t>
            </w:r>
            <w:r w:rsidR="00CB65CE" w:rsidRPr="00BF6946">
              <w:rPr>
                <w:rFonts w:ascii="Arial" w:hAnsi="Arial" w:cs="Arial"/>
                <w:sz w:val="18"/>
                <w:szCs w:val="18"/>
                <w:highlight w:val="yellow"/>
                <w:vertAlign w:val="superscript"/>
              </w:rPr>
              <w:t>1</w:t>
            </w:r>
            <w:r w:rsidR="00B17153">
              <w:rPr>
                <w:rFonts w:ascii="Arial" w:hAnsi="Arial" w:cs="Arial"/>
                <w:sz w:val="18"/>
                <w:szCs w:val="18"/>
                <w:highlight w:val="yellow"/>
              </w:rPr>
              <w:t xml:space="preserve">, </w:t>
            </w:r>
            <w:r w:rsidR="007D4A8D">
              <w:rPr>
                <w:rFonts w:ascii="Arial" w:hAnsi="Arial" w:cs="Arial"/>
                <w:sz w:val="18"/>
                <w:szCs w:val="18"/>
                <w:highlight w:val="yellow"/>
              </w:rPr>
              <w:t>FMA-Merkblatt 2021/2</w:t>
            </w:r>
          </w:p>
        </w:tc>
      </w:tr>
      <w:tr w:rsidR="00E33239" w:rsidRPr="00B17153" w14:paraId="743BC9B5" w14:textId="77777777" w:rsidTr="00093B3E">
        <w:trPr>
          <w:trHeight w:val="294"/>
        </w:trPr>
        <w:tc>
          <w:tcPr>
            <w:tcW w:w="3775" w:type="dxa"/>
            <w:gridSpan w:val="2"/>
          </w:tcPr>
          <w:p w14:paraId="77553862" w14:textId="77777777" w:rsidR="00E33239" w:rsidRPr="00B17153" w:rsidRDefault="00E33239" w:rsidP="00093B3E">
            <w:pPr>
              <w:jc w:val="both"/>
              <w:rPr>
                <w:rFonts w:ascii="Arial" w:hAnsi="Arial" w:cs="Arial"/>
                <w:sz w:val="18"/>
                <w:szCs w:val="18"/>
              </w:rPr>
            </w:pPr>
          </w:p>
        </w:tc>
        <w:tc>
          <w:tcPr>
            <w:tcW w:w="5965" w:type="dxa"/>
            <w:gridSpan w:val="2"/>
          </w:tcPr>
          <w:p w14:paraId="1B61064F" w14:textId="77777777" w:rsidR="00E33239" w:rsidRPr="00B17153" w:rsidRDefault="00E33239" w:rsidP="00093B3E">
            <w:pPr>
              <w:jc w:val="both"/>
              <w:rPr>
                <w:rFonts w:ascii="Arial" w:hAnsi="Arial" w:cs="Arial"/>
                <w:sz w:val="18"/>
                <w:szCs w:val="18"/>
              </w:rPr>
            </w:pPr>
          </w:p>
        </w:tc>
      </w:tr>
      <w:tr w:rsidR="00E33239" w:rsidRPr="009872F3" w14:paraId="30134BED" w14:textId="77777777" w:rsidTr="00093B3E">
        <w:tc>
          <w:tcPr>
            <w:tcW w:w="5913" w:type="dxa"/>
            <w:gridSpan w:val="3"/>
          </w:tcPr>
          <w:p w14:paraId="34B609C2" w14:textId="77777777" w:rsidR="00E33239" w:rsidRPr="00667026" w:rsidRDefault="00E33239" w:rsidP="00093B3E">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6A12B9F" w14:textId="77777777" w:rsidR="00E33239" w:rsidRPr="00C3479D" w:rsidRDefault="00E33239" w:rsidP="00093B3E">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E33239" w:rsidRPr="009872F3" w14:paraId="17A538C9" w14:textId="77777777" w:rsidTr="00093B3E">
        <w:tc>
          <w:tcPr>
            <w:tcW w:w="5913" w:type="dxa"/>
            <w:gridSpan w:val="3"/>
          </w:tcPr>
          <w:p w14:paraId="6F54A2C7" w14:textId="77777777" w:rsidR="00E33239" w:rsidRPr="009872F3" w:rsidRDefault="00E33239" w:rsidP="00093B3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1CF5AAC6" w14:textId="77777777" w:rsidR="00E33239" w:rsidRPr="00E109DF" w:rsidRDefault="00E33239" w:rsidP="00093B3E">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E33239" w:rsidRPr="009872F3" w14:paraId="3C39E1E5" w14:textId="77777777" w:rsidTr="00093B3E">
        <w:tc>
          <w:tcPr>
            <w:tcW w:w="5913" w:type="dxa"/>
            <w:gridSpan w:val="3"/>
          </w:tcPr>
          <w:p w14:paraId="38803C1B" w14:textId="77777777" w:rsidR="00E33239" w:rsidRDefault="00E33239" w:rsidP="00093B3E">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A8E9D6B" w14:textId="77777777" w:rsidR="00E33239" w:rsidRPr="00E109DF" w:rsidRDefault="00E33239" w:rsidP="00093B3E">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073D5A" w:rsidRPr="009872F3" w14:paraId="6269FB97" w14:textId="77777777" w:rsidTr="00093B3E">
        <w:tc>
          <w:tcPr>
            <w:tcW w:w="5913" w:type="dxa"/>
            <w:gridSpan w:val="3"/>
          </w:tcPr>
          <w:p w14:paraId="139BE7BC" w14:textId="77777777" w:rsidR="00073D5A" w:rsidRPr="00667026" w:rsidRDefault="00073D5A" w:rsidP="00093B3E">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5F15CD18" w14:textId="77777777" w:rsidR="00073D5A" w:rsidRPr="00C3479D" w:rsidRDefault="00073D5A" w:rsidP="00093B3E">
            <w:pPr>
              <w:jc w:val="both"/>
              <w:rPr>
                <w:rFonts w:ascii="Arial" w:hAnsi="Arial" w:cs="Arial"/>
                <w:i/>
                <w:sz w:val="18"/>
                <w:szCs w:val="18"/>
                <w:highlight w:val="yellow"/>
              </w:rPr>
            </w:pPr>
          </w:p>
        </w:tc>
      </w:tr>
    </w:tbl>
    <w:p w14:paraId="16E5C2F3" w14:textId="0D7625B6" w:rsidR="00E33239" w:rsidRDefault="00E33239" w:rsidP="00E33239">
      <w:pPr>
        <w:jc w:val="both"/>
      </w:pPr>
    </w:p>
    <w:p w14:paraId="089172EA" w14:textId="0ABE3D07" w:rsidR="00CB65CE" w:rsidRPr="00BF6946" w:rsidRDefault="00CB65CE" w:rsidP="00E33239">
      <w:pPr>
        <w:jc w:val="both"/>
        <w:rPr>
          <w:sz w:val="16"/>
          <w:szCs w:val="16"/>
        </w:rPr>
      </w:pPr>
      <w:r w:rsidRPr="00BF6946">
        <w:rPr>
          <w:rFonts w:ascii="Arial" w:hAnsi="Arial" w:cs="Arial"/>
          <w:sz w:val="16"/>
          <w:szCs w:val="16"/>
          <w:highlight w:val="lightGray"/>
          <w:vertAlign w:val="superscript"/>
        </w:rPr>
        <w:t>1</w:t>
      </w:r>
      <w:r w:rsidRPr="00BF6946">
        <w:rPr>
          <w:rFonts w:ascii="Arial" w:hAnsi="Arial" w:cs="Arial"/>
          <w:sz w:val="16"/>
          <w:szCs w:val="16"/>
          <w:highlight w:val="lightGray"/>
        </w:rPr>
        <w:t>Die Aspekte BCM und Auslagerungen, die in der IKT-Richtlinie ebenfalls geregelt werden, sind in den entsprechenden Prüffeldern zu prüfen und zu adressieren sind.</w:t>
      </w:r>
    </w:p>
    <w:p w14:paraId="3BA36015" w14:textId="77777777" w:rsidR="00CB65CE" w:rsidRDefault="00CB65CE" w:rsidP="00E33239">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671DBD" w:rsidRPr="00CB3EE6" w14:paraId="6B52BA1A" w14:textId="77777777" w:rsidTr="00671DBD">
        <w:tc>
          <w:tcPr>
            <w:tcW w:w="1668" w:type="dxa"/>
          </w:tcPr>
          <w:p w14:paraId="2F310A3A" w14:textId="77777777" w:rsidR="00671DBD" w:rsidRPr="004E2370" w:rsidRDefault="00671DBD" w:rsidP="00671DBD">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07621CF4" w14:textId="77777777" w:rsidR="00671DBD" w:rsidRPr="004E2370" w:rsidRDefault="00671DBD" w:rsidP="00671DBD">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59FD73DD" w14:textId="77777777" w:rsidR="00671DBD" w:rsidRPr="000C756C" w:rsidRDefault="00671DBD" w:rsidP="00671DBD">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671DBD" w:rsidRPr="00CE3194" w14:paraId="724BBD6A" w14:textId="77777777" w:rsidTr="00671DBD">
        <w:tc>
          <w:tcPr>
            <w:tcW w:w="1668" w:type="dxa"/>
          </w:tcPr>
          <w:p w14:paraId="5FBA68F6" w14:textId="77777777" w:rsidR="00671DBD" w:rsidRPr="004E2370" w:rsidRDefault="00671DBD" w:rsidP="00671DBD">
            <w:pPr>
              <w:jc w:val="both"/>
              <w:rPr>
                <w:rFonts w:ascii="Arial" w:hAnsi="Arial" w:cs="Arial"/>
                <w:i/>
                <w:sz w:val="20"/>
                <w:szCs w:val="20"/>
                <w:highlight w:val="lightGray"/>
              </w:rPr>
            </w:pPr>
            <w:r w:rsidRPr="004E2370">
              <w:rPr>
                <w:rFonts w:ascii="Arial" w:hAnsi="Arial" w:cs="Arial"/>
                <w:i/>
                <w:sz w:val="20"/>
                <w:szCs w:val="20"/>
                <w:highlight w:val="lightGray"/>
              </w:rPr>
              <w:t>I</w:t>
            </w:r>
            <w:r>
              <w:rPr>
                <w:rFonts w:ascii="Arial" w:hAnsi="Arial" w:cs="Arial"/>
                <w:i/>
                <w:sz w:val="20"/>
                <w:szCs w:val="20"/>
                <w:highlight w:val="lightGray"/>
              </w:rPr>
              <w:t>K</w:t>
            </w:r>
            <w:r w:rsidRPr="004E2370">
              <w:rPr>
                <w:rFonts w:ascii="Arial" w:hAnsi="Arial" w:cs="Arial"/>
                <w:i/>
                <w:sz w:val="20"/>
                <w:szCs w:val="20"/>
                <w:highlight w:val="lightGray"/>
              </w:rPr>
              <w:t xml:space="preserve">T-Strategie, </w:t>
            </w:r>
            <w:r>
              <w:rPr>
                <w:rFonts w:ascii="Arial" w:hAnsi="Arial" w:cs="Arial"/>
                <w:i/>
                <w:sz w:val="20"/>
                <w:szCs w:val="20"/>
                <w:highlight w:val="lightGray"/>
              </w:rPr>
              <w:t>IKT-</w:t>
            </w:r>
            <w:r w:rsidRPr="004E2370">
              <w:rPr>
                <w:rFonts w:ascii="Arial" w:hAnsi="Arial" w:cs="Arial"/>
                <w:i/>
                <w:sz w:val="20"/>
                <w:szCs w:val="20"/>
                <w:highlight w:val="lightGray"/>
              </w:rPr>
              <w:t xml:space="preserve">Organisation, </w:t>
            </w:r>
            <w:r>
              <w:rPr>
                <w:rFonts w:ascii="Arial" w:hAnsi="Arial" w:cs="Arial"/>
                <w:i/>
                <w:sz w:val="20"/>
                <w:szCs w:val="20"/>
                <w:highlight w:val="lightGray"/>
              </w:rPr>
              <w:t>IKT-</w:t>
            </w:r>
            <w:r w:rsidRPr="004E2370">
              <w:rPr>
                <w:rFonts w:ascii="Arial" w:hAnsi="Arial" w:cs="Arial"/>
                <w:i/>
                <w:sz w:val="20"/>
                <w:szCs w:val="20"/>
                <w:highlight w:val="lightGray"/>
              </w:rPr>
              <w:t>Governance</w:t>
            </w:r>
          </w:p>
        </w:tc>
        <w:tc>
          <w:tcPr>
            <w:tcW w:w="4677" w:type="dxa"/>
          </w:tcPr>
          <w:p w14:paraId="0D598667" w14:textId="79D4E200"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w:t>
            </w:r>
            <w:r>
              <w:rPr>
                <w:rFonts w:cs="Arial"/>
                <w:i/>
                <w:szCs w:val="20"/>
                <w:highlight w:val="lightGray"/>
              </w:rPr>
              <w:t>K</w:t>
            </w:r>
            <w:r w:rsidRPr="004E2370">
              <w:rPr>
                <w:rFonts w:cs="Arial"/>
                <w:i/>
                <w:szCs w:val="20"/>
                <w:highlight w:val="lightGray"/>
              </w:rPr>
              <w:t xml:space="preserve">T-Strategie ist unter Berücksichtigung der spezifischen Situation </w:t>
            </w:r>
            <w:r>
              <w:rPr>
                <w:rFonts w:cs="Arial"/>
                <w:i/>
                <w:szCs w:val="20"/>
                <w:highlight w:val="lightGray"/>
              </w:rPr>
              <w:t xml:space="preserve">der </w:t>
            </w:r>
            <w:r w:rsidR="004B6F11">
              <w:rPr>
                <w:rFonts w:cs="Arial"/>
                <w:i/>
                <w:szCs w:val="20"/>
                <w:highlight w:val="lightGray"/>
              </w:rPr>
              <w:t xml:space="preserve">Bank/Wertpapierfirma bzw. </w:t>
            </w:r>
            <w:r w:rsidR="004B6F11" w:rsidRPr="00CE3194">
              <w:rPr>
                <w:rFonts w:cs="Arial"/>
                <w:i/>
                <w:szCs w:val="20"/>
                <w:highlight w:val="lightGray"/>
              </w:rPr>
              <w:t>der Gruppe</w:t>
            </w:r>
            <w:r w:rsidR="004B6F11" w:rsidDel="004B6F11">
              <w:rPr>
                <w:rFonts w:cs="Arial"/>
                <w:i/>
                <w:szCs w:val="20"/>
                <w:highlight w:val="lightGray"/>
              </w:rPr>
              <w:t xml:space="preserve"> </w:t>
            </w:r>
            <w:r w:rsidRPr="004E2370">
              <w:rPr>
                <w:rFonts w:cs="Arial"/>
                <w:i/>
                <w:szCs w:val="20"/>
                <w:highlight w:val="lightGray"/>
              </w:rPr>
              <w:t>(Grösse, Geschäftstätigkeit, I</w:t>
            </w:r>
            <w:r>
              <w:rPr>
                <w:rFonts w:cs="Arial"/>
                <w:i/>
                <w:szCs w:val="20"/>
                <w:highlight w:val="lightGray"/>
              </w:rPr>
              <w:t>K</w:t>
            </w:r>
            <w:r w:rsidRPr="004E2370">
              <w:rPr>
                <w:rFonts w:cs="Arial"/>
                <w:i/>
                <w:szCs w:val="20"/>
                <w:highlight w:val="lightGray"/>
              </w:rPr>
              <w:t>T-Komplexität/-Risiken, Auslagerungen usw.) angemessen</w:t>
            </w:r>
          </w:p>
          <w:p w14:paraId="3E85D983" w14:textId="040D3FDF"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w:t>
            </w:r>
            <w:r>
              <w:rPr>
                <w:rFonts w:cs="Arial"/>
                <w:i/>
                <w:szCs w:val="20"/>
                <w:highlight w:val="lightGray"/>
              </w:rPr>
              <w:t>K</w:t>
            </w:r>
            <w:r w:rsidRPr="004E2370">
              <w:rPr>
                <w:rFonts w:cs="Arial"/>
                <w:i/>
                <w:szCs w:val="20"/>
                <w:highlight w:val="lightGray"/>
              </w:rPr>
              <w:t>T-Strategie stimmt mit der Geschäftsstrategie</w:t>
            </w:r>
            <w:r>
              <w:rPr>
                <w:rFonts w:cs="Arial"/>
                <w:i/>
                <w:szCs w:val="20"/>
                <w:highlight w:val="lightGray"/>
              </w:rPr>
              <w:t xml:space="preserve"> und </w:t>
            </w:r>
            <w:r w:rsidRPr="004E2370">
              <w:rPr>
                <w:rFonts w:cs="Arial"/>
                <w:i/>
                <w:szCs w:val="20"/>
                <w:highlight w:val="lightGray"/>
              </w:rPr>
              <w:t>dem I</w:t>
            </w:r>
            <w:r>
              <w:rPr>
                <w:rFonts w:cs="Arial"/>
                <w:i/>
                <w:szCs w:val="20"/>
                <w:highlight w:val="lightGray"/>
              </w:rPr>
              <w:t>K</w:t>
            </w:r>
            <w:r w:rsidRPr="004E2370">
              <w:rPr>
                <w:rFonts w:cs="Arial"/>
                <w:i/>
                <w:szCs w:val="20"/>
                <w:highlight w:val="lightGray"/>
              </w:rPr>
              <w:t>T-Risikomanagementkonzept überein</w:t>
            </w:r>
          </w:p>
          <w:p w14:paraId="2FF643FE" w14:textId="77777777" w:rsidR="00671DBD"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die regelmässige Festlegung, Aktualisierung, Validierung/Abstimmung, Genehmigung und Kommunikation der I</w:t>
            </w:r>
            <w:r>
              <w:rPr>
                <w:rFonts w:cs="Arial"/>
                <w:i/>
                <w:szCs w:val="20"/>
                <w:highlight w:val="lightGray"/>
              </w:rPr>
              <w:t>K</w:t>
            </w:r>
            <w:r w:rsidRPr="004E2370">
              <w:rPr>
                <w:rFonts w:cs="Arial"/>
                <w:i/>
                <w:szCs w:val="20"/>
                <w:highlight w:val="lightGray"/>
              </w:rPr>
              <w:t>T-Strategie sicher</w:t>
            </w:r>
          </w:p>
          <w:p w14:paraId="159B331B" w14:textId="77777777" w:rsidR="00671DBD" w:rsidRPr="004E2370"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Erstellung von Massnahmenplänen zur Erreichung der Ziele der IKT-Strategie sowie deren Kommunikation und regelmässige Überprüfung sicher</w:t>
            </w:r>
          </w:p>
          <w:p w14:paraId="7E043F63" w14:textId="77777777"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klare Rollen und Verantwortlichkeiten innerhalb der I</w:t>
            </w:r>
            <w:r>
              <w:rPr>
                <w:rFonts w:cs="Arial"/>
                <w:i/>
                <w:szCs w:val="20"/>
                <w:highlight w:val="lightGray"/>
              </w:rPr>
              <w:t>K</w:t>
            </w:r>
            <w:r w:rsidRPr="004E2370">
              <w:rPr>
                <w:rFonts w:cs="Arial"/>
                <w:i/>
                <w:szCs w:val="20"/>
                <w:highlight w:val="lightGray"/>
              </w:rPr>
              <w:t>T-Organisation</w:t>
            </w:r>
          </w:p>
          <w:p w14:paraId="0400BC18" w14:textId="77777777"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Unterstellung und Trennung der I</w:t>
            </w:r>
            <w:r>
              <w:rPr>
                <w:rFonts w:cs="Arial"/>
                <w:i/>
                <w:szCs w:val="20"/>
                <w:highlight w:val="lightGray"/>
              </w:rPr>
              <w:t>K</w:t>
            </w:r>
            <w:r w:rsidRPr="004E2370">
              <w:rPr>
                <w:rFonts w:cs="Arial"/>
                <w:i/>
                <w:szCs w:val="20"/>
                <w:highlight w:val="lightGray"/>
              </w:rPr>
              <w:t>T-bezogenen Abteilungen/Funktionen (I</w:t>
            </w:r>
            <w:r>
              <w:rPr>
                <w:rFonts w:cs="Arial"/>
                <w:i/>
                <w:szCs w:val="20"/>
                <w:highlight w:val="lightGray"/>
              </w:rPr>
              <w:t>K</w:t>
            </w:r>
            <w:r w:rsidRPr="004E2370">
              <w:rPr>
                <w:rFonts w:cs="Arial"/>
                <w:i/>
                <w:szCs w:val="20"/>
                <w:highlight w:val="lightGray"/>
              </w:rPr>
              <w:t>T-Entwicklung, I</w:t>
            </w:r>
            <w:r>
              <w:rPr>
                <w:rFonts w:cs="Arial"/>
                <w:i/>
                <w:szCs w:val="20"/>
                <w:highlight w:val="lightGray"/>
              </w:rPr>
              <w:t>K</w:t>
            </w:r>
            <w:r w:rsidRPr="004E2370">
              <w:rPr>
                <w:rFonts w:cs="Arial"/>
                <w:i/>
                <w:szCs w:val="20"/>
                <w:highlight w:val="lightGray"/>
              </w:rPr>
              <w:t>T-Betrieb, I</w:t>
            </w:r>
            <w:r>
              <w:rPr>
                <w:rFonts w:cs="Arial"/>
                <w:i/>
                <w:szCs w:val="20"/>
                <w:highlight w:val="lightGray"/>
              </w:rPr>
              <w:t>K</w:t>
            </w:r>
            <w:r w:rsidRPr="004E2370">
              <w:rPr>
                <w:rFonts w:cs="Arial"/>
                <w:i/>
                <w:szCs w:val="20"/>
                <w:highlight w:val="lightGray"/>
              </w:rPr>
              <w:t>T-Sicherheit etc.) inkl. der verbundenen Kontrollen sicher</w:t>
            </w:r>
          </w:p>
          <w:p w14:paraId="2B3C9340" w14:textId="77777777"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sicher, dass die Ressourcenausstattung und das Fachwissen der I</w:t>
            </w:r>
            <w:r>
              <w:rPr>
                <w:rFonts w:cs="Arial"/>
                <w:i/>
                <w:szCs w:val="20"/>
                <w:highlight w:val="lightGray"/>
              </w:rPr>
              <w:t>K</w:t>
            </w:r>
            <w:r w:rsidRPr="004E2370">
              <w:rPr>
                <w:rFonts w:cs="Arial"/>
                <w:i/>
                <w:szCs w:val="20"/>
                <w:highlight w:val="lightGray"/>
              </w:rPr>
              <w:t>T-Mitarbeiter angemessen ist</w:t>
            </w:r>
          </w:p>
          <w:p w14:paraId="4DE9D05F" w14:textId="797171C9" w:rsidR="00671DBD"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sicher, dass die Mitarbeiter regelmässig </w:t>
            </w:r>
            <w:r w:rsidR="00DF6536">
              <w:rPr>
                <w:rFonts w:cs="Arial"/>
                <w:i/>
                <w:szCs w:val="20"/>
                <w:highlight w:val="lightGray"/>
              </w:rPr>
              <w:t xml:space="preserve">zu IKT- und Sicherheitsrisiken inkl. Informationssicherheit </w:t>
            </w:r>
            <w:r w:rsidRPr="004E2370">
              <w:rPr>
                <w:rFonts w:cs="Arial"/>
                <w:i/>
                <w:szCs w:val="20"/>
                <w:highlight w:val="lightGray"/>
              </w:rPr>
              <w:t xml:space="preserve">geschult werden. </w:t>
            </w:r>
          </w:p>
          <w:p w14:paraId="1DEBA95A" w14:textId="77777777" w:rsidR="00671DBD" w:rsidRPr="004E2370"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Prüfung der IKT- und Sicherheitsrisiken angemessen in der Mehrjahresplanung der Internen Revision berücksichtigt und regelmässig geprüft werden.</w:t>
            </w:r>
          </w:p>
        </w:tc>
        <w:tc>
          <w:tcPr>
            <w:tcW w:w="3395" w:type="dxa"/>
          </w:tcPr>
          <w:p w14:paraId="13979877" w14:textId="77777777" w:rsidR="00671DBD" w:rsidRDefault="00671DBD" w:rsidP="00671DBD">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sicherstellen, dass die I</w:t>
            </w:r>
            <w:r>
              <w:rPr>
                <w:rFonts w:cs="Arial"/>
                <w:i/>
                <w:szCs w:val="20"/>
                <w:highlight w:val="lightGray"/>
              </w:rPr>
              <w:t>K</w:t>
            </w:r>
            <w:r w:rsidRPr="000C756C">
              <w:rPr>
                <w:rFonts w:cs="Arial"/>
                <w:i/>
                <w:szCs w:val="20"/>
                <w:highlight w:val="lightGray"/>
              </w:rPr>
              <w:t xml:space="preserve">T-Strategie </w:t>
            </w:r>
            <w:r>
              <w:rPr>
                <w:rFonts w:cs="Arial"/>
                <w:i/>
                <w:szCs w:val="20"/>
                <w:highlight w:val="lightGray"/>
              </w:rPr>
              <w:t xml:space="preserve">sowie deren Massnahmenpläne </w:t>
            </w:r>
            <w:r w:rsidRPr="000C756C">
              <w:rPr>
                <w:rFonts w:cs="Arial"/>
                <w:i/>
                <w:szCs w:val="20"/>
                <w:highlight w:val="lightGray"/>
              </w:rPr>
              <w:t xml:space="preserve">angemessen </w:t>
            </w:r>
            <w:r>
              <w:rPr>
                <w:rFonts w:cs="Arial"/>
                <w:i/>
                <w:szCs w:val="20"/>
                <w:highlight w:val="lightGray"/>
              </w:rPr>
              <w:t>sind</w:t>
            </w:r>
          </w:p>
          <w:p w14:paraId="74CC9731" w14:textId="39C0C3C7" w:rsidR="00671DBD" w:rsidRPr="000C756C" w:rsidRDefault="00671DBD" w:rsidP="00671DBD">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sicherstellen, dass die I</w:t>
            </w:r>
            <w:r>
              <w:rPr>
                <w:rFonts w:cs="Arial"/>
                <w:i/>
                <w:szCs w:val="20"/>
                <w:highlight w:val="lightGray"/>
              </w:rPr>
              <w:t>K</w:t>
            </w:r>
            <w:r w:rsidRPr="000C756C">
              <w:rPr>
                <w:rFonts w:cs="Arial"/>
                <w:i/>
                <w:szCs w:val="20"/>
                <w:highlight w:val="lightGray"/>
              </w:rPr>
              <w:t xml:space="preserve">T-Organisation und </w:t>
            </w:r>
            <w:r>
              <w:rPr>
                <w:rFonts w:cs="Arial"/>
                <w:i/>
                <w:szCs w:val="20"/>
                <w:highlight w:val="lightGray"/>
              </w:rPr>
              <w:t>IKT-</w:t>
            </w:r>
            <w:r w:rsidRPr="000C756C">
              <w:rPr>
                <w:rFonts w:cs="Arial"/>
                <w:i/>
                <w:szCs w:val="20"/>
                <w:highlight w:val="lightGray"/>
              </w:rPr>
              <w:t>Governance angemessen ist</w:t>
            </w:r>
          </w:p>
          <w:p w14:paraId="67D1272A" w14:textId="77777777" w:rsidR="00671DBD" w:rsidRPr="000C756C" w:rsidRDefault="00671DBD" w:rsidP="00671DBD">
            <w:pPr>
              <w:pStyle w:val="Listenabsatz"/>
              <w:numPr>
                <w:ilvl w:val="1"/>
                <w:numId w:val="17"/>
              </w:numPr>
              <w:ind w:left="317" w:hanging="283"/>
              <w:jc w:val="both"/>
              <w:rPr>
                <w:rFonts w:cs="Arial"/>
                <w:i/>
                <w:szCs w:val="20"/>
                <w:highlight w:val="lightGray"/>
              </w:rPr>
            </w:pPr>
            <w:r w:rsidRPr="000C756C">
              <w:rPr>
                <w:rFonts w:cs="Arial"/>
                <w:i/>
                <w:szCs w:val="20"/>
                <w:highlight w:val="lightGray"/>
              </w:rPr>
              <w:t>Bestätigung, dass die internen Verfahren eine angemessene Ressourcenausstattung und Know-How der I</w:t>
            </w:r>
            <w:r>
              <w:rPr>
                <w:rFonts w:cs="Arial"/>
                <w:i/>
                <w:szCs w:val="20"/>
                <w:highlight w:val="lightGray"/>
              </w:rPr>
              <w:t>K</w:t>
            </w:r>
            <w:r w:rsidRPr="000C756C">
              <w:rPr>
                <w:rFonts w:cs="Arial"/>
                <w:i/>
                <w:szCs w:val="20"/>
                <w:highlight w:val="lightGray"/>
              </w:rPr>
              <w:t>T Mitarbeiter sicherstellen</w:t>
            </w:r>
          </w:p>
          <w:p w14:paraId="5DD8538B" w14:textId="407E1478" w:rsidR="00671DBD" w:rsidRDefault="00671DBD" w:rsidP="00671DBD">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die internen Verfahren die regelmässige Schulung der Mitarbeiter </w:t>
            </w:r>
            <w:r w:rsidR="00DF6536">
              <w:rPr>
                <w:rFonts w:cs="Arial"/>
                <w:i/>
                <w:szCs w:val="20"/>
                <w:highlight w:val="lightGray"/>
              </w:rPr>
              <w:t xml:space="preserve">zu IKT- und Sicherheitsrisiken inkl. Informationssicherheit </w:t>
            </w:r>
            <w:r w:rsidRPr="000C756C">
              <w:rPr>
                <w:rFonts w:cs="Arial"/>
                <w:i/>
                <w:szCs w:val="20"/>
                <w:highlight w:val="lightGray"/>
              </w:rPr>
              <w:t xml:space="preserve">sicherstellen </w:t>
            </w:r>
          </w:p>
          <w:p w14:paraId="4F09DACE" w14:textId="77777777" w:rsidR="00671DBD" w:rsidRPr="000C756C" w:rsidRDefault="00671DBD" w:rsidP="00671DBD">
            <w:pPr>
              <w:pStyle w:val="Listenabsatz"/>
              <w:numPr>
                <w:ilvl w:val="1"/>
                <w:numId w:val="17"/>
              </w:numPr>
              <w:ind w:left="317" w:hanging="283"/>
              <w:jc w:val="both"/>
              <w:rPr>
                <w:rFonts w:cs="Arial"/>
                <w:i/>
                <w:szCs w:val="20"/>
                <w:highlight w:val="lightGray"/>
              </w:rPr>
            </w:pPr>
            <w:r w:rsidRPr="000C756C">
              <w:rPr>
                <w:rFonts w:cs="Arial"/>
                <w:i/>
                <w:szCs w:val="20"/>
                <w:highlight w:val="lightGray"/>
              </w:rPr>
              <w:t xml:space="preserve">Bestätigung, dass die internen Verfahren sicherstellen, dass die </w:t>
            </w:r>
            <w:r>
              <w:rPr>
                <w:rFonts w:cs="Arial"/>
                <w:i/>
                <w:szCs w:val="20"/>
                <w:highlight w:val="lightGray"/>
              </w:rPr>
              <w:t>Prüfung der IKT- und Sicherheitsrisiken in der Mehrjahresplanung der Internen Revision berücksichtigt und regelmässig geprüft werden</w:t>
            </w:r>
          </w:p>
          <w:p w14:paraId="481BEC79" w14:textId="77777777" w:rsidR="00671DBD" w:rsidRPr="000C756C" w:rsidRDefault="00671DBD" w:rsidP="00671DBD">
            <w:pPr>
              <w:pStyle w:val="Listenabsatz"/>
              <w:ind w:left="317"/>
              <w:jc w:val="both"/>
              <w:rPr>
                <w:rFonts w:cs="Arial"/>
                <w:i/>
                <w:szCs w:val="20"/>
                <w:highlight w:val="lightGray"/>
              </w:rPr>
            </w:pPr>
          </w:p>
        </w:tc>
      </w:tr>
      <w:tr w:rsidR="00671DBD" w:rsidRPr="00CE3194" w14:paraId="2FAD90A5" w14:textId="77777777" w:rsidTr="00671DBD">
        <w:tc>
          <w:tcPr>
            <w:tcW w:w="1668" w:type="dxa"/>
          </w:tcPr>
          <w:p w14:paraId="5EAE7515" w14:textId="77777777" w:rsidR="00671DBD" w:rsidRPr="004E2370" w:rsidRDefault="00671DBD" w:rsidP="00671DBD">
            <w:pPr>
              <w:jc w:val="both"/>
              <w:rPr>
                <w:rFonts w:ascii="Arial" w:hAnsi="Arial" w:cs="Arial"/>
                <w:i/>
                <w:sz w:val="20"/>
                <w:szCs w:val="20"/>
                <w:highlight w:val="lightGray"/>
              </w:rPr>
            </w:pPr>
            <w:r w:rsidRPr="004E2370">
              <w:rPr>
                <w:rFonts w:ascii="Arial" w:hAnsi="Arial" w:cs="Arial"/>
                <w:i/>
                <w:sz w:val="20"/>
                <w:szCs w:val="20"/>
                <w:highlight w:val="lightGray"/>
              </w:rPr>
              <w:t>I</w:t>
            </w:r>
            <w:r>
              <w:rPr>
                <w:rFonts w:ascii="Arial" w:hAnsi="Arial" w:cs="Arial"/>
                <w:i/>
                <w:sz w:val="20"/>
                <w:szCs w:val="20"/>
                <w:highlight w:val="lightGray"/>
              </w:rPr>
              <w:t>K</w:t>
            </w:r>
            <w:r w:rsidRPr="004E2370">
              <w:rPr>
                <w:rFonts w:ascii="Arial" w:hAnsi="Arial" w:cs="Arial"/>
                <w:i/>
                <w:sz w:val="20"/>
                <w:szCs w:val="20"/>
                <w:highlight w:val="lightGray"/>
              </w:rPr>
              <w:t>T-</w:t>
            </w:r>
            <w:r>
              <w:rPr>
                <w:rFonts w:ascii="Arial" w:hAnsi="Arial" w:cs="Arial"/>
                <w:i/>
                <w:sz w:val="20"/>
                <w:szCs w:val="20"/>
                <w:highlight w:val="lightGray"/>
              </w:rPr>
              <w:t xml:space="preserve"> und Informationssicherheitsrisikomanagement </w:t>
            </w:r>
          </w:p>
        </w:tc>
        <w:tc>
          <w:tcPr>
            <w:tcW w:w="4677" w:type="dxa"/>
          </w:tcPr>
          <w:p w14:paraId="65CE7DEB" w14:textId="4C2C4177" w:rsidR="00671DBD"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sicher, dass ein angemessenes I</w:t>
            </w:r>
            <w:r>
              <w:rPr>
                <w:rFonts w:cs="Arial"/>
                <w:i/>
                <w:szCs w:val="20"/>
                <w:highlight w:val="lightGray"/>
              </w:rPr>
              <w:t>K</w:t>
            </w:r>
            <w:r w:rsidRPr="004E2370">
              <w:rPr>
                <w:rFonts w:cs="Arial"/>
                <w:i/>
                <w:szCs w:val="20"/>
                <w:highlight w:val="lightGray"/>
              </w:rPr>
              <w:t xml:space="preserve">T-Risikomanagementkonzept besteht und dieses angemessen in das Risikomanagementkonzept </w:t>
            </w:r>
            <w:r>
              <w:rPr>
                <w:rFonts w:cs="Arial"/>
                <w:i/>
                <w:szCs w:val="20"/>
                <w:highlight w:val="lightGray"/>
              </w:rPr>
              <w:t xml:space="preserve">der </w:t>
            </w:r>
            <w:r w:rsidR="004B6F11">
              <w:rPr>
                <w:rFonts w:cs="Arial"/>
                <w:i/>
                <w:szCs w:val="20"/>
                <w:highlight w:val="lightGray"/>
              </w:rPr>
              <w:t xml:space="preserve">Bank/Wertpapierfirma bzw. </w:t>
            </w:r>
            <w:r w:rsidR="004B6F11" w:rsidRPr="00CE3194">
              <w:rPr>
                <w:rFonts w:cs="Arial"/>
                <w:i/>
                <w:szCs w:val="20"/>
                <w:highlight w:val="lightGray"/>
              </w:rPr>
              <w:t>der Gruppe</w:t>
            </w:r>
            <w:r w:rsidR="004B6F11" w:rsidDel="004B6F11">
              <w:rPr>
                <w:rFonts w:cs="Arial"/>
                <w:i/>
                <w:szCs w:val="20"/>
                <w:highlight w:val="lightGray"/>
              </w:rPr>
              <w:t xml:space="preserve"> </w:t>
            </w:r>
            <w:r w:rsidRPr="004E2370">
              <w:rPr>
                <w:rFonts w:cs="Arial"/>
                <w:i/>
                <w:szCs w:val="20"/>
                <w:highlight w:val="lightGray"/>
              </w:rPr>
              <w:t>eingegliedert ist</w:t>
            </w:r>
            <w:r>
              <w:rPr>
                <w:rFonts w:cs="Arial"/>
                <w:i/>
                <w:szCs w:val="20"/>
                <w:highlight w:val="lightGray"/>
              </w:rPr>
              <w:t xml:space="preserve"> </w:t>
            </w:r>
          </w:p>
          <w:p w14:paraId="3DC191AA"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der Rahmen für das IKT- und Informationssicherheitsrisikomanagement eingehalten, dokumentiert und mindestens einmal jährlich überprüft und genehmigt wird.</w:t>
            </w:r>
          </w:p>
          <w:p w14:paraId="45FDF2CF" w14:textId="77777777" w:rsidR="00671DBD" w:rsidRPr="004E2370"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Verfahren zur regelmässigen Ermittlung und Dokumentation von IKT-Assets, Geschäftsfunktionen und Unterstützungsprozesse sowie zur Beurteilung deren Kritikalität und Abhängigkeiten</w:t>
            </w:r>
          </w:p>
          <w:p w14:paraId="3A58D70D" w14:textId="77777777" w:rsidR="00671DBD" w:rsidRPr="00970A8D"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lastRenderedPageBreak/>
              <w:t xml:space="preserve">Es bestehen angemessene Verfahren zur </w:t>
            </w:r>
            <w:r>
              <w:rPr>
                <w:rFonts w:cs="Arial"/>
                <w:i/>
                <w:szCs w:val="20"/>
                <w:highlight w:val="lightGray"/>
              </w:rPr>
              <w:t xml:space="preserve">regelmässigen </w:t>
            </w:r>
            <w:r w:rsidRPr="004E2370">
              <w:rPr>
                <w:rFonts w:cs="Arial"/>
                <w:i/>
                <w:szCs w:val="20"/>
                <w:highlight w:val="lightGray"/>
              </w:rPr>
              <w:t>Identifikation, Beurteilung, Adressierung und Akzeptanz von I</w:t>
            </w:r>
            <w:r>
              <w:rPr>
                <w:rFonts w:cs="Arial"/>
                <w:i/>
                <w:szCs w:val="20"/>
                <w:highlight w:val="lightGray"/>
              </w:rPr>
              <w:t>KT- und Sicherheitsrisiken, die auf die identifizierten IKT-Assets, Geschäftsfunktionen und Unterstützungsprozesse Einfluss haben.</w:t>
            </w:r>
          </w:p>
          <w:p w14:paraId="7D3EDE1E" w14:textId="7B1E7097"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interne Verfahren zur Festlegung und Überwachung der I</w:t>
            </w:r>
            <w:r>
              <w:rPr>
                <w:rFonts w:cs="Arial"/>
                <w:i/>
                <w:szCs w:val="20"/>
                <w:highlight w:val="lightGray"/>
              </w:rPr>
              <w:t>K</w:t>
            </w:r>
            <w:r w:rsidRPr="004E2370">
              <w:rPr>
                <w:rFonts w:cs="Arial"/>
                <w:i/>
                <w:szCs w:val="20"/>
                <w:highlight w:val="lightGray"/>
              </w:rPr>
              <w:t xml:space="preserve">T-bezogenen Kontrollen, welche die </w:t>
            </w:r>
            <w:r>
              <w:rPr>
                <w:rFonts w:cs="Arial"/>
                <w:i/>
                <w:szCs w:val="20"/>
                <w:highlight w:val="lightGray"/>
              </w:rPr>
              <w:t>relevanten IKT- und Sicherheitsrisiken</w:t>
            </w:r>
            <w:r w:rsidRPr="004E2370">
              <w:rPr>
                <w:rFonts w:cs="Arial"/>
                <w:i/>
                <w:szCs w:val="20"/>
                <w:highlight w:val="lightGray"/>
              </w:rPr>
              <w:t xml:space="preserve"> reduzieren. </w:t>
            </w:r>
          </w:p>
          <w:p w14:paraId="6FDC2147" w14:textId="77777777"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interne Verfahren, welche sicherstellen, dass die zugewiesenen Aufgaben und Verantwortlichkeiten zur Steuerung von I</w:t>
            </w:r>
            <w:r>
              <w:rPr>
                <w:rFonts w:cs="Arial"/>
                <w:i/>
                <w:szCs w:val="20"/>
                <w:highlight w:val="lightGray"/>
              </w:rPr>
              <w:t>K</w:t>
            </w:r>
            <w:r w:rsidRPr="004E2370">
              <w:rPr>
                <w:rFonts w:cs="Arial"/>
                <w:i/>
                <w:szCs w:val="20"/>
                <w:highlight w:val="lightGray"/>
              </w:rPr>
              <w:t>T-</w:t>
            </w:r>
            <w:r>
              <w:rPr>
                <w:rFonts w:cs="Arial"/>
                <w:i/>
                <w:szCs w:val="20"/>
                <w:highlight w:val="lightGray"/>
              </w:rPr>
              <w:t xml:space="preserve"> und Sicherheitsr</w:t>
            </w:r>
            <w:r w:rsidRPr="004E2370">
              <w:rPr>
                <w:rFonts w:cs="Arial"/>
                <w:i/>
                <w:szCs w:val="20"/>
                <w:highlight w:val="lightGray"/>
              </w:rPr>
              <w:t>isiken / I</w:t>
            </w:r>
            <w:r>
              <w:rPr>
                <w:rFonts w:cs="Arial"/>
                <w:i/>
                <w:szCs w:val="20"/>
                <w:highlight w:val="lightGray"/>
              </w:rPr>
              <w:t>K</w:t>
            </w:r>
            <w:r w:rsidRPr="004E2370">
              <w:rPr>
                <w:rFonts w:cs="Arial"/>
                <w:i/>
                <w:szCs w:val="20"/>
                <w:highlight w:val="lightGray"/>
              </w:rPr>
              <w:t>T-Kontrollen an die betroffenen Abteilungen und deren Integration in andere interne Risikomanagement- / Risikokontrollfunktionen überwacht werden</w:t>
            </w:r>
          </w:p>
          <w:p w14:paraId="6AF58EB6" w14:textId="77777777" w:rsidR="00671DBD"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bezüglich den I</w:t>
            </w:r>
            <w:r>
              <w:rPr>
                <w:rFonts w:cs="Arial"/>
                <w:i/>
                <w:szCs w:val="20"/>
                <w:highlight w:val="lightGray"/>
              </w:rPr>
              <w:t>K</w:t>
            </w:r>
            <w:r w:rsidRPr="004E2370">
              <w:rPr>
                <w:rFonts w:cs="Arial"/>
                <w:i/>
                <w:szCs w:val="20"/>
                <w:highlight w:val="lightGray"/>
              </w:rPr>
              <w:t>T-</w:t>
            </w:r>
            <w:r>
              <w:rPr>
                <w:rFonts w:cs="Arial"/>
                <w:i/>
                <w:szCs w:val="20"/>
                <w:highlight w:val="lightGray"/>
              </w:rPr>
              <w:t xml:space="preserve"> und Sicherheitsr</w:t>
            </w:r>
            <w:r w:rsidRPr="004E2370">
              <w:rPr>
                <w:rFonts w:cs="Arial"/>
                <w:i/>
                <w:szCs w:val="20"/>
                <w:highlight w:val="lightGray"/>
              </w:rPr>
              <w:t>isiken und Kontrollen sicher</w:t>
            </w:r>
          </w:p>
          <w:p w14:paraId="6970C7F0" w14:textId="77777777" w:rsidR="00671DBD" w:rsidRPr="004E2370" w:rsidRDefault="00671DBD" w:rsidP="00671DBD">
            <w:pPr>
              <w:pStyle w:val="Listenabsatz"/>
              <w:ind w:left="317"/>
              <w:jc w:val="both"/>
              <w:rPr>
                <w:rFonts w:cs="Arial"/>
                <w:i/>
                <w:szCs w:val="20"/>
                <w:highlight w:val="lightGray"/>
              </w:rPr>
            </w:pPr>
          </w:p>
        </w:tc>
        <w:tc>
          <w:tcPr>
            <w:tcW w:w="3395" w:type="dxa"/>
          </w:tcPr>
          <w:p w14:paraId="26B32AB7" w14:textId="7C83A4DD" w:rsidR="00671DBD" w:rsidRDefault="00671DBD" w:rsidP="00671DBD">
            <w:pPr>
              <w:pStyle w:val="Listenabsatz"/>
              <w:numPr>
                <w:ilvl w:val="1"/>
                <w:numId w:val="17"/>
              </w:numPr>
              <w:ind w:left="317" w:hanging="283"/>
              <w:jc w:val="both"/>
              <w:rPr>
                <w:rFonts w:cs="Arial"/>
                <w:i/>
                <w:szCs w:val="20"/>
                <w:highlight w:val="lightGray"/>
              </w:rPr>
            </w:pPr>
            <w:r w:rsidRPr="00494050">
              <w:rPr>
                <w:rFonts w:cs="Arial"/>
                <w:i/>
                <w:szCs w:val="20"/>
                <w:highlight w:val="lightGray"/>
              </w:rPr>
              <w:lastRenderedPageBreak/>
              <w:t>Bestätigung, dass die internen Verfahren sicherstellen, dass ein angemessenes I</w:t>
            </w:r>
            <w:r>
              <w:rPr>
                <w:rFonts w:cs="Arial"/>
                <w:i/>
                <w:szCs w:val="20"/>
                <w:highlight w:val="lightGray"/>
              </w:rPr>
              <w:t>K</w:t>
            </w:r>
            <w:r w:rsidRPr="00494050">
              <w:rPr>
                <w:rFonts w:cs="Arial"/>
                <w:i/>
                <w:szCs w:val="20"/>
                <w:highlight w:val="lightGray"/>
              </w:rPr>
              <w:t>T-Risikomanagement-Konzept besteht</w:t>
            </w:r>
            <w:r w:rsidR="00F91517">
              <w:rPr>
                <w:rFonts w:cs="Arial"/>
                <w:i/>
                <w:szCs w:val="20"/>
                <w:highlight w:val="lightGray"/>
              </w:rPr>
              <w:t xml:space="preserve">, welches </w:t>
            </w:r>
            <w:r w:rsidRPr="00494050">
              <w:rPr>
                <w:rFonts w:cs="Arial"/>
                <w:i/>
                <w:szCs w:val="20"/>
                <w:highlight w:val="lightGray"/>
              </w:rPr>
              <w:t xml:space="preserve">angemessen in das Risikomanagementkonzept </w:t>
            </w:r>
            <w:r>
              <w:rPr>
                <w:rFonts w:cs="Arial"/>
                <w:i/>
                <w:szCs w:val="20"/>
                <w:highlight w:val="lightGray"/>
              </w:rPr>
              <w:t xml:space="preserve">der </w:t>
            </w:r>
            <w:r w:rsidR="00381E36">
              <w:rPr>
                <w:rFonts w:cs="Arial"/>
                <w:i/>
                <w:szCs w:val="20"/>
                <w:highlight w:val="lightGray"/>
              </w:rPr>
              <w:t xml:space="preserve">Bank/Wertpapierfirma bzw. </w:t>
            </w:r>
            <w:r w:rsidR="00381E36" w:rsidRPr="00CE3194">
              <w:rPr>
                <w:rFonts w:cs="Arial"/>
                <w:i/>
                <w:szCs w:val="20"/>
                <w:highlight w:val="lightGray"/>
              </w:rPr>
              <w:t>der Gruppe</w:t>
            </w:r>
            <w:r w:rsidR="00381E36" w:rsidDel="00381E36">
              <w:rPr>
                <w:rFonts w:cs="Arial"/>
                <w:i/>
                <w:szCs w:val="20"/>
                <w:highlight w:val="lightGray"/>
              </w:rPr>
              <w:t xml:space="preserve"> </w:t>
            </w:r>
            <w:r w:rsidRPr="00494050">
              <w:rPr>
                <w:rFonts w:cs="Arial"/>
                <w:i/>
                <w:szCs w:val="20"/>
                <w:highlight w:val="lightGray"/>
              </w:rPr>
              <w:t>eingegliedert ist</w:t>
            </w:r>
            <w:r w:rsidR="00F91517">
              <w:rPr>
                <w:rFonts w:cs="Arial"/>
                <w:i/>
                <w:szCs w:val="20"/>
                <w:highlight w:val="lightGray"/>
              </w:rPr>
              <w:t xml:space="preserve">, </w:t>
            </w:r>
            <w:r w:rsidR="00B607C0">
              <w:rPr>
                <w:rFonts w:cs="Arial"/>
                <w:i/>
                <w:szCs w:val="20"/>
                <w:highlight w:val="lightGray"/>
              </w:rPr>
              <w:t xml:space="preserve">dokumentiert ist und mindestens jährlich überprüft und genehmigt wird. </w:t>
            </w:r>
          </w:p>
          <w:p w14:paraId="6E48CBF0"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sicherstellen, dass die IKT-Assets, Geschäftsprozesse und Unterstützungsprozesse regelmässig ermittelt, auf </w:t>
            </w:r>
            <w:r>
              <w:rPr>
                <w:rFonts w:cs="Arial"/>
                <w:i/>
                <w:szCs w:val="20"/>
                <w:highlight w:val="lightGray"/>
              </w:rPr>
              <w:lastRenderedPageBreak/>
              <w:t>Kritikalität und Abhängigkeiten beurteilt und dokumentiert werden</w:t>
            </w:r>
          </w:p>
          <w:p w14:paraId="79C4A77A" w14:textId="77777777" w:rsidR="00671DBD" w:rsidRPr="00494050" w:rsidRDefault="00671DBD" w:rsidP="00671DBD">
            <w:pPr>
              <w:pStyle w:val="Listenabsatz"/>
              <w:numPr>
                <w:ilvl w:val="1"/>
                <w:numId w:val="17"/>
              </w:numPr>
              <w:ind w:left="317" w:hanging="283"/>
              <w:jc w:val="both"/>
              <w:rPr>
                <w:rFonts w:cs="Arial"/>
                <w:i/>
                <w:szCs w:val="20"/>
                <w:highlight w:val="lightGray"/>
              </w:rPr>
            </w:pPr>
            <w:r w:rsidRPr="00494050">
              <w:rPr>
                <w:rFonts w:cs="Arial"/>
                <w:i/>
                <w:szCs w:val="20"/>
                <w:highlight w:val="lightGray"/>
              </w:rPr>
              <w:t xml:space="preserve">Bestätigung, dass die internen Verfahren sicherstellen, dass die </w:t>
            </w:r>
            <w:r>
              <w:rPr>
                <w:rFonts w:cs="Arial"/>
                <w:i/>
                <w:szCs w:val="20"/>
                <w:highlight w:val="lightGray"/>
              </w:rPr>
              <w:t xml:space="preserve">IKT- und Sicherheitsrisiken, die auf die identifizierten IKT-Assets, Geschäftsfunktionen und Unterstützungsprozesse Einfluss haben, </w:t>
            </w:r>
            <w:r w:rsidRPr="00494050">
              <w:rPr>
                <w:rFonts w:cs="Arial"/>
                <w:i/>
                <w:szCs w:val="20"/>
                <w:highlight w:val="lightGray"/>
              </w:rPr>
              <w:t>angemessen identifiziert, beurteilt und adressiert w</w:t>
            </w:r>
            <w:r>
              <w:rPr>
                <w:rFonts w:cs="Arial"/>
                <w:i/>
                <w:szCs w:val="20"/>
                <w:highlight w:val="lightGray"/>
              </w:rPr>
              <w:t>e</w:t>
            </w:r>
            <w:r w:rsidRPr="00494050">
              <w:rPr>
                <w:rFonts w:cs="Arial"/>
                <w:i/>
                <w:szCs w:val="20"/>
                <w:highlight w:val="lightGray"/>
              </w:rPr>
              <w:t>rden</w:t>
            </w:r>
          </w:p>
          <w:p w14:paraId="0859E5BD" w14:textId="21EF80BB" w:rsidR="00671DBD" w:rsidRPr="00494050" w:rsidRDefault="00671DBD" w:rsidP="00671DBD">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angemessene I</w:t>
            </w:r>
            <w:r>
              <w:rPr>
                <w:rFonts w:cs="Arial"/>
                <w:i/>
                <w:szCs w:val="20"/>
                <w:highlight w:val="lightGray"/>
              </w:rPr>
              <w:t>K</w:t>
            </w:r>
            <w:r w:rsidRPr="00494050">
              <w:rPr>
                <w:rFonts w:cs="Arial"/>
                <w:i/>
                <w:szCs w:val="20"/>
                <w:highlight w:val="lightGray"/>
              </w:rPr>
              <w:t xml:space="preserve">T–Kontrollen auf allen Ebenen der </w:t>
            </w:r>
            <w:r>
              <w:rPr>
                <w:rFonts w:cs="Arial"/>
                <w:i/>
                <w:szCs w:val="20"/>
                <w:highlight w:val="lightGray"/>
              </w:rPr>
              <w:t xml:space="preserve">der </w:t>
            </w:r>
            <w:r w:rsidR="00381E36">
              <w:rPr>
                <w:rFonts w:cs="Arial"/>
                <w:i/>
                <w:szCs w:val="20"/>
                <w:highlight w:val="lightGray"/>
              </w:rPr>
              <w:t xml:space="preserve">Bank/Wertpapierfirma bzw. </w:t>
            </w:r>
            <w:r w:rsidR="00381E36" w:rsidRPr="00CE3194">
              <w:rPr>
                <w:rFonts w:cs="Arial"/>
                <w:i/>
                <w:szCs w:val="20"/>
                <w:highlight w:val="lightGray"/>
              </w:rPr>
              <w:t>der Gruppe</w:t>
            </w:r>
            <w:r w:rsidR="00381E36" w:rsidDel="00381E36">
              <w:rPr>
                <w:rFonts w:cs="Arial"/>
                <w:i/>
                <w:szCs w:val="20"/>
                <w:highlight w:val="lightGray"/>
              </w:rPr>
              <w:t xml:space="preserve"> </w:t>
            </w:r>
            <w:r w:rsidRPr="00494050">
              <w:rPr>
                <w:rFonts w:cs="Arial"/>
                <w:i/>
                <w:szCs w:val="20"/>
                <w:highlight w:val="lightGray"/>
              </w:rPr>
              <w:t xml:space="preserve">zur Reduzierung der relevanten </w:t>
            </w:r>
            <w:r>
              <w:rPr>
                <w:rFonts w:cs="Arial"/>
                <w:i/>
                <w:szCs w:val="20"/>
                <w:highlight w:val="lightGray"/>
              </w:rPr>
              <w:t>IKT- und Sicherheitsrisiken</w:t>
            </w:r>
            <w:r w:rsidRPr="00494050">
              <w:rPr>
                <w:rFonts w:cs="Arial"/>
                <w:i/>
                <w:szCs w:val="20"/>
                <w:highlight w:val="lightGray"/>
              </w:rPr>
              <w:t xml:space="preserve"> sicherstellen</w:t>
            </w:r>
          </w:p>
          <w:p w14:paraId="7BCF4538" w14:textId="77777777" w:rsidR="00671DBD" w:rsidRPr="00494050" w:rsidRDefault="00671DBD" w:rsidP="00671DBD">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die zugewiesenen Aufgaben und Verantwortlichkeiten zur Steuerung von I</w:t>
            </w:r>
            <w:r>
              <w:rPr>
                <w:rFonts w:cs="Arial"/>
                <w:i/>
                <w:szCs w:val="20"/>
                <w:highlight w:val="lightGray"/>
              </w:rPr>
              <w:t>K</w:t>
            </w:r>
            <w:r w:rsidRPr="00494050">
              <w:rPr>
                <w:rFonts w:cs="Arial"/>
                <w:i/>
                <w:szCs w:val="20"/>
                <w:highlight w:val="lightGray"/>
              </w:rPr>
              <w:t>T-</w:t>
            </w:r>
            <w:r>
              <w:rPr>
                <w:rFonts w:cs="Arial"/>
                <w:i/>
                <w:szCs w:val="20"/>
                <w:highlight w:val="lightGray"/>
              </w:rPr>
              <w:t xml:space="preserve"> und Sicherheitsrisiken</w:t>
            </w:r>
            <w:r w:rsidRPr="00494050">
              <w:rPr>
                <w:rFonts w:cs="Arial"/>
                <w:i/>
                <w:szCs w:val="20"/>
                <w:highlight w:val="lightGray"/>
              </w:rPr>
              <w:t xml:space="preserve"> / I</w:t>
            </w:r>
            <w:r>
              <w:rPr>
                <w:rFonts w:cs="Arial"/>
                <w:i/>
                <w:szCs w:val="20"/>
                <w:highlight w:val="lightGray"/>
              </w:rPr>
              <w:t>K</w:t>
            </w:r>
            <w:r w:rsidRPr="00494050">
              <w:rPr>
                <w:rFonts w:cs="Arial"/>
                <w:i/>
                <w:szCs w:val="20"/>
                <w:highlight w:val="lightGray"/>
              </w:rPr>
              <w:t>T-Kontrollen an die betroffenen Abteilungen und deren Integration in andere interne Risikomanagement- / Risikomanagementkontrollfunktionen überwacht werden</w:t>
            </w:r>
          </w:p>
          <w:p w14:paraId="599F7312" w14:textId="77777777" w:rsidR="00671DBD" w:rsidRDefault="00671DBD" w:rsidP="00671DBD">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eine angemessene interne Berichterstattung bezüglich den I</w:t>
            </w:r>
            <w:r>
              <w:rPr>
                <w:rFonts w:cs="Arial"/>
                <w:i/>
                <w:szCs w:val="20"/>
                <w:highlight w:val="lightGray"/>
              </w:rPr>
              <w:t>K</w:t>
            </w:r>
            <w:r w:rsidRPr="00494050">
              <w:rPr>
                <w:rFonts w:cs="Arial"/>
                <w:i/>
                <w:szCs w:val="20"/>
                <w:highlight w:val="lightGray"/>
              </w:rPr>
              <w:t>T-</w:t>
            </w:r>
            <w:r>
              <w:rPr>
                <w:rFonts w:cs="Arial"/>
                <w:i/>
                <w:szCs w:val="20"/>
                <w:highlight w:val="lightGray"/>
              </w:rPr>
              <w:t xml:space="preserve"> und Sicherheitsrisiken</w:t>
            </w:r>
            <w:r w:rsidRPr="00494050">
              <w:rPr>
                <w:rFonts w:cs="Arial"/>
                <w:i/>
                <w:szCs w:val="20"/>
                <w:highlight w:val="lightGray"/>
              </w:rPr>
              <w:t xml:space="preserve"> und Kontrollen bestehen</w:t>
            </w:r>
          </w:p>
          <w:p w14:paraId="550E71CC" w14:textId="77777777" w:rsidR="00671DBD" w:rsidRPr="00494050" w:rsidRDefault="00671DBD" w:rsidP="00671DBD">
            <w:pPr>
              <w:pStyle w:val="Listenabsatz"/>
              <w:ind w:left="317"/>
              <w:jc w:val="both"/>
              <w:rPr>
                <w:rFonts w:cs="Arial"/>
                <w:i/>
                <w:szCs w:val="20"/>
                <w:highlight w:val="lightGray"/>
              </w:rPr>
            </w:pPr>
          </w:p>
          <w:p w14:paraId="26308D68" w14:textId="77777777" w:rsidR="00671DBD" w:rsidRPr="00494050" w:rsidRDefault="00671DBD" w:rsidP="00671DBD">
            <w:pPr>
              <w:pStyle w:val="Listenabsatz"/>
              <w:ind w:left="317"/>
              <w:jc w:val="both"/>
              <w:rPr>
                <w:rFonts w:cs="Arial"/>
                <w:i/>
                <w:szCs w:val="20"/>
                <w:highlight w:val="lightGray"/>
              </w:rPr>
            </w:pPr>
          </w:p>
        </w:tc>
      </w:tr>
      <w:tr w:rsidR="00671DBD" w:rsidRPr="00CE3194" w14:paraId="6CA33447" w14:textId="77777777" w:rsidTr="00671DBD">
        <w:tc>
          <w:tcPr>
            <w:tcW w:w="1668" w:type="dxa"/>
          </w:tcPr>
          <w:p w14:paraId="3092D6D2" w14:textId="77777777" w:rsidR="00671DBD" w:rsidRPr="004E2370" w:rsidRDefault="00671DBD" w:rsidP="00671DBD">
            <w:pPr>
              <w:jc w:val="both"/>
              <w:rPr>
                <w:rFonts w:ascii="Arial" w:hAnsi="Arial" w:cs="Arial"/>
                <w:i/>
                <w:sz w:val="20"/>
                <w:szCs w:val="20"/>
                <w:highlight w:val="lightGray"/>
              </w:rPr>
            </w:pPr>
            <w:r w:rsidRPr="004E2370">
              <w:rPr>
                <w:rFonts w:ascii="Arial" w:hAnsi="Arial" w:cs="Arial"/>
                <w:i/>
                <w:sz w:val="20"/>
                <w:szCs w:val="20"/>
                <w:highlight w:val="lightGray"/>
              </w:rPr>
              <w:lastRenderedPageBreak/>
              <w:t>Informations</w:t>
            </w:r>
            <w:r>
              <w:rPr>
                <w:rFonts w:ascii="Arial" w:hAnsi="Arial" w:cs="Arial"/>
                <w:i/>
                <w:sz w:val="20"/>
                <w:szCs w:val="20"/>
                <w:highlight w:val="lightGray"/>
              </w:rPr>
              <w:t>sicherheitsmanagement</w:t>
            </w:r>
          </w:p>
        </w:tc>
        <w:tc>
          <w:tcPr>
            <w:tcW w:w="4677" w:type="dxa"/>
          </w:tcPr>
          <w:p w14:paraId="0C47F7B4"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Erarbeitung, regelmässige Überprüfung, Genehmigung, Dokumentation und interne Kommunikation einer angemessenen Informationssicherheitsleitlinie (Sicherheitsleitlinie/Sicherheitsstrategie) sicher. </w:t>
            </w:r>
          </w:p>
          <w:p w14:paraId="3FF67DD2"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laufende Überwachung der IKT- und Informationssicherheit um Sicherheitsbedrohungen (z.B. Erkennen/Meldung von physischem oder logischem Eindringen, Datenlecks, schädliche Codes, öffentlich bekannte Sicherheitslücken in Software/Hardware, Verstösse gegen Vertraulichkeit, Integrität und Verfügbarkeit der IKT-Assets) zu erkennen, zu melden und diese zu beheben </w:t>
            </w:r>
          </w:p>
          <w:p w14:paraId="6E45BB6D" w14:textId="2EEAF1B5" w:rsidR="00671DBD" w:rsidRPr="005F443B"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die Erarbeitung, regelmässige Überprüfung, Genehmigung, Dokumentation eines angemessenen Rahmenwerks für Informationssicherheitstests sicher, welches die Robustheit und Wirksamkeit der Informationssicherheitsmassnahmen und </w:t>
            </w:r>
            <w:r w:rsidR="004C0F59">
              <w:rPr>
                <w:rFonts w:cs="Arial"/>
                <w:i/>
                <w:szCs w:val="20"/>
                <w:highlight w:val="lightGray"/>
              </w:rPr>
              <w:t xml:space="preserve">- </w:t>
            </w:r>
            <w:r>
              <w:rPr>
                <w:rFonts w:cs="Arial"/>
                <w:i/>
                <w:szCs w:val="20"/>
                <w:highlight w:val="lightGray"/>
              </w:rPr>
              <w:t xml:space="preserve">tests bewertet und sicherstellt. </w:t>
            </w:r>
          </w:p>
          <w:p w14:paraId="04343226" w14:textId="025B300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regelmässige Durchführung von Überprüfungen, Bewertungen und Tests anhand eines risikobasierten Ansatzes sicher (für kritische IKT-Systeme mind. jährliche Durchführung; unkritische Systeme mind. alle </w:t>
            </w:r>
            <w:r w:rsidR="003B4E60">
              <w:rPr>
                <w:rFonts w:cs="Arial"/>
                <w:i/>
                <w:szCs w:val="20"/>
                <w:highlight w:val="lightGray"/>
              </w:rPr>
              <w:t>fünf</w:t>
            </w:r>
            <w:r>
              <w:rPr>
                <w:rFonts w:cs="Arial"/>
                <w:i/>
                <w:szCs w:val="20"/>
                <w:highlight w:val="lightGray"/>
              </w:rPr>
              <w:t xml:space="preserve"> Jahre), um Schwachstellen in den IKT-Systemen und IKT-Diensten sicherzustellen (z.B. Gap-Analysen anhand von Informationssicherheitsstandards, Konformitätsprüfungen, physische Sicherheitsüberprüfungen, Quellcode-Überprüfungen, Schwachstellenmanagement, Penetrationtests, Verwundbarkeitsanalysen, Red-Team-Übungen) </w:t>
            </w:r>
          </w:p>
          <w:p w14:paraId="61747E58" w14:textId="43C72E4A" w:rsidR="00671DBD" w:rsidRPr="005F443B"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w:t>
            </w:r>
            <w:r w:rsidR="00BD64E2">
              <w:rPr>
                <w:rFonts w:cs="Arial"/>
                <w:i/>
                <w:szCs w:val="20"/>
                <w:highlight w:val="lightGray"/>
              </w:rPr>
              <w:t xml:space="preserve">für kritische IKT-Systeme basierend auf der Risikoeinschätzung </w:t>
            </w:r>
            <w:r>
              <w:rPr>
                <w:rFonts w:cs="Arial"/>
                <w:i/>
                <w:szCs w:val="20"/>
                <w:highlight w:val="lightGray"/>
              </w:rPr>
              <w:t>die unverzügliche Behebung der festgestellten Schwachstellen</w:t>
            </w:r>
            <w:r w:rsidR="00781320">
              <w:rPr>
                <w:rFonts w:cs="Arial"/>
                <w:i/>
                <w:szCs w:val="20"/>
                <w:highlight w:val="lightGray"/>
              </w:rPr>
              <w:t xml:space="preserve"> durch gezielte M</w:t>
            </w:r>
            <w:r w:rsidR="00B607C0">
              <w:rPr>
                <w:rFonts w:cs="Arial"/>
                <w:i/>
                <w:szCs w:val="20"/>
                <w:highlight w:val="lightGray"/>
              </w:rPr>
              <w:t>a</w:t>
            </w:r>
            <w:r w:rsidR="00781320">
              <w:rPr>
                <w:rFonts w:cs="Arial"/>
                <w:i/>
                <w:szCs w:val="20"/>
                <w:highlight w:val="lightGray"/>
              </w:rPr>
              <w:t>ssnahmen</w:t>
            </w:r>
            <w:r>
              <w:rPr>
                <w:rFonts w:cs="Arial"/>
                <w:i/>
                <w:szCs w:val="20"/>
                <w:highlight w:val="lightGray"/>
              </w:rPr>
              <w:t xml:space="preserve"> sicher</w:t>
            </w:r>
          </w:p>
          <w:p w14:paraId="0CB5E35F" w14:textId="7BCE3112" w:rsidR="00671DBD" w:rsidRPr="00BD64E2" w:rsidRDefault="00671DBD" w:rsidP="00BD64E2">
            <w:pPr>
              <w:pStyle w:val="Listenabsatz"/>
              <w:numPr>
                <w:ilvl w:val="1"/>
                <w:numId w:val="17"/>
              </w:numPr>
              <w:ind w:left="317" w:hanging="283"/>
              <w:jc w:val="both"/>
              <w:rPr>
                <w:rFonts w:cs="Arial"/>
                <w:i/>
                <w:szCs w:val="20"/>
                <w:highlight w:val="lightGray"/>
              </w:rPr>
            </w:pPr>
            <w:r>
              <w:rPr>
                <w:rFonts w:cs="Arial"/>
                <w:i/>
                <w:szCs w:val="20"/>
                <w:highlight w:val="lightGray"/>
              </w:rPr>
              <w:t>Die internen Verfahren legen Kriterien fest, nach welchen Tests der Sicherheitsmassnahmen ausserhalb des normalen Durchführungszyklus (z.B. Veränderungen der IT Infrastruktur, Prozesse; Änderungen aufgrund von Betriebs- und Sicherheitsvorfällen etc.) durchgeführt werden und stellen die zeitnahe Durchführung sicher</w:t>
            </w:r>
          </w:p>
        </w:tc>
        <w:tc>
          <w:tcPr>
            <w:tcW w:w="3395" w:type="dxa"/>
          </w:tcPr>
          <w:p w14:paraId="38E07DC4"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Bestätigung, dass die internen Verfahren die Erarbeitung, regelmässige Überprüfung, Genehmigung, Dokumentation und interne Kommunikation einer angemessenen Informationssicherheitsleitlinie (Sicherheitsleitlinie/Sicherheitsstrategie) sicherstellen</w:t>
            </w:r>
          </w:p>
          <w:p w14:paraId="1745A245"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laufende Überwachung der IKT- und Informationssicherheit zur Erkennung, Meldung und Behebung von Sicherheitsbedrohungen sicherstellen</w:t>
            </w:r>
          </w:p>
          <w:p w14:paraId="656EF147"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Bestätigung, dass die internen Verfahren die Erarbeitung, regelmässige Überprüfung, Genehmigung, Dokumentation eines angemessenen Rahmens für Informationssicherheitstests (Rahmenwerk) sicherstellen</w:t>
            </w:r>
          </w:p>
          <w:p w14:paraId="6C2B242E"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die regelmässige Durchführung von Überprüfungen, Bewertungen und Tests zur Identifikation von Schwachstellen in den IKT-Systemen und IKT-Diensten sicherstellen </w:t>
            </w:r>
          </w:p>
          <w:p w14:paraId="4E17EE6C" w14:textId="602E677A"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die unverzügliche Behebung der festgestellten Schwachstellen </w:t>
            </w:r>
            <w:r w:rsidR="00BD64E2">
              <w:rPr>
                <w:rFonts w:cs="Arial"/>
                <w:i/>
                <w:szCs w:val="20"/>
                <w:highlight w:val="lightGray"/>
              </w:rPr>
              <w:t xml:space="preserve">für kritische IKT-Systeme </w:t>
            </w:r>
            <w:r>
              <w:rPr>
                <w:rFonts w:cs="Arial"/>
                <w:i/>
                <w:szCs w:val="20"/>
                <w:highlight w:val="lightGray"/>
              </w:rPr>
              <w:t>sicherstellen</w:t>
            </w:r>
          </w:p>
          <w:p w14:paraId="07228CDD" w14:textId="4B47ACF1"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w:t>
            </w:r>
            <w:r w:rsidR="004C0F59">
              <w:rPr>
                <w:rFonts w:cs="Arial"/>
                <w:i/>
                <w:szCs w:val="20"/>
                <w:highlight w:val="lightGray"/>
              </w:rPr>
              <w:t>Kriterien</w:t>
            </w:r>
            <w:r>
              <w:rPr>
                <w:rFonts w:cs="Arial"/>
                <w:i/>
                <w:szCs w:val="20"/>
                <w:highlight w:val="lightGray"/>
              </w:rPr>
              <w:t xml:space="preserve"> für ad-hoc-Tests der Sicherheitsmassnahmen ausserhalb des normalen Durchführungszyklus und deren zeitnahe Durchführung sicherstellen</w:t>
            </w:r>
          </w:p>
          <w:p w14:paraId="588475AC" w14:textId="77777777" w:rsidR="00671DBD" w:rsidRPr="00494050" w:rsidRDefault="00671DBD" w:rsidP="00B037A6">
            <w:pPr>
              <w:pStyle w:val="Listenabsatz"/>
              <w:ind w:left="317"/>
              <w:jc w:val="both"/>
              <w:rPr>
                <w:rFonts w:cs="Arial"/>
                <w:i/>
                <w:szCs w:val="20"/>
                <w:highlight w:val="lightGray"/>
              </w:rPr>
            </w:pPr>
          </w:p>
        </w:tc>
      </w:tr>
      <w:tr w:rsidR="00671DBD" w:rsidRPr="00CE3194" w14:paraId="1D594527" w14:textId="77777777" w:rsidTr="00671DBD">
        <w:tc>
          <w:tcPr>
            <w:tcW w:w="1668" w:type="dxa"/>
          </w:tcPr>
          <w:p w14:paraId="4C197E1B" w14:textId="77777777" w:rsidR="00671DBD" w:rsidRPr="004E2370" w:rsidRDefault="00671DBD" w:rsidP="00671DBD">
            <w:pPr>
              <w:jc w:val="both"/>
              <w:rPr>
                <w:rFonts w:ascii="Arial" w:hAnsi="Arial" w:cs="Arial"/>
                <w:i/>
                <w:sz w:val="20"/>
                <w:szCs w:val="20"/>
                <w:highlight w:val="lightGray"/>
              </w:rPr>
            </w:pPr>
            <w:r>
              <w:rPr>
                <w:rFonts w:ascii="Arial" w:hAnsi="Arial" w:cs="Arial"/>
                <w:i/>
                <w:sz w:val="20"/>
                <w:szCs w:val="20"/>
                <w:highlight w:val="lightGray"/>
              </w:rPr>
              <w:lastRenderedPageBreak/>
              <w:t>Benutzerberechtigungsmanagement</w:t>
            </w:r>
          </w:p>
        </w:tc>
        <w:tc>
          <w:tcPr>
            <w:tcW w:w="4677" w:type="dxa"/>
          </w:tcPr>
          <w:p w14:paraId="0907A475" w14:textId="19085E0E" w:rsidR="00671DBD"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interne Prozesse und Kontrollen zur Gewährung</w:t>
            </w:r>
            <w:r>
              <w:rPr>
                <w:rFonts w:cs="Arial"/>
                <w:i/>
                <w:szCs w:val="20"/>
                <w:highlight w:val="lightGray"/>
              </w:rPr>
              <w:t>, Änderung</w:t>
            </w:r>
            <w:r w:rsidRPr="004E2370">
              <w:rPr>
                <w:rFonts w:cs="Arial"/>
                <w:i/>
                <w:szCs w:val="20"/>
                <w:highlight w:val="lightGray"/>
              </w:rPr>
              <w:t xml:space="preserve"> </w:t>
            </w:r>
            <w:r>
              <w:rPr>
                <w:rFonts w:cs="Arial"/>
                <w:i/>
                <w:szCs w:val="20"/>
                <w:highlight w:val="lightGray"/>
              </w:rPr>
              <w:t xml:space="preserve">und Entzugs </w:t>
            </w:r>
            <w:r w:rsidRPr="004E2370">
              <w:rPr>
                <w:rFonts w:cs="Arial"/>
                <w:i/>
                <w:szCs w:val="20"/>
                <w:highlight w:val="lightGray"/>
              </w:rPr>
              <w:t>des logischen/physischen Zugangs zu IT-Systemen/Applikationen/Räumlichkeiten für Mitarbeitende und Dritte</w:t>
            </w:r>
            <w:r>
              <w:rPr>
                <w:rFonts w:cs="Arial"/>
                <w:i/>
                <w:szCs w:val="20"/>
                <w:highlight w:val="lightGray"/>
              </w:rPr>
              <w:t xml:space="preserve"> auf einer Need-to-Know-Basis</w:t>
            </w:r>
            <w:r w:rsidRPr="004E2370">
              <w:rPr>
                <w:rFonts w:cs="Arial"/>
                <w:i/>
                <w:szCs w:val="20"/>
                <w:highlight w:val="lightGray"/>
              </w:rPr>
              <w:t xml:space="preserve"> (Definition von Rollen, Genehmigungsprozesse</w:t>
            </w:r>
            <w:r>
              <w:rPr>
                <w:rFonts w:cs="Arial"/>
                <w:i/>
                <w:szCs w:val="20"/>
                <w:highlight w:val="lightGray"/>
              </w:rPr>
              <w:t>, Funktionentrennung</w:t>
            </w:r>
            <w:r w:rsidRPr="004E2370">
              <w:rPr>
                <w:rFonts w:cs="Arial"/>
                <w:i/>
                <w:szCs w:val="20"/>
                <w:highlight w:val="lightGray"/>
              </w:rPr>
              <w:t xml:space="preserve"> etc.)</w:t>
            </w:r>
            <w:r>
              <w:rPr>
                <w:rFonts w:cs="Arial"/>
                <w:i/>
                <w:szCs w:val="20"/>
                <w:highlight w:val="lightGray"/>
              </w:rPr>
              <w:t xml:space="preserve">, welcher die Eigentümer der Informationen </w:t>
            </w:r>
            <w:r w:rsidR="004C0F59">
              <w:rPr>
                <w:rFonts w:cs="Arial"/>
                <w:i/>
                <w:szCs w:val="20"/>
                <w:highlight w:val="lightGray"/>
              </w:rPr>
              <w:t>involviert</w:t>
            </w:r>
            <w:r>
              <w:rPr>
                <w:rFonts w:cs="Arial"/>
                <w:i/>
                <w:szCs w:val="20"/>
                <w:highlight w:val="lightGray"/>
              </w:rPr>
              <w:t>.</w:t>
            </w:r>
          </w:p>
          <w:p w14:paraId="0B062AB6" w14:textId="6611D8A6" w:rsidR="00671DBD"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inte</w:t>
            </w:r>
            <w:r>
              <w:rPr>
                <w:rFonts w:cs="Arial"/>
                <w:i/>
                <w:szCs w:val="20"/>
                <w:highlight w:val="lightGray"/>
              </w:rPr>
              <w:t xml:space="preserve">rne Verfahren, die sicherstellen, dass </w:t>
            </w:r>
            <w:r w:rsidR="001E314C">
              <w:rPr>
                <w:rFonts w:cs="Arial"/>
                <w:i/>
                <w:szCs w:val="20"/>
                <w:highlight w:val="lightGray"/>
              </w:rPr>
              <w:t xml:space="preserve">zumindest </w:t>
            </w:r>
            <w:r>
              <w:rPr>
                <w:rFonts w:cs="Arial"/>
                <w:i/>
                <w:szCs w:val="20"/>
                <w:highlight w:val="lightGray"/>
              </w:rPr>
              <w:t>alle Aktivitäten</w:t>
            </w:r>
            <w:r w:rsidR="001E314C">
              <w:rPr>
                <w:rFonts w:cs="Arial"/>
                <w:i/>
                <w:szCs w:val="20"/>
                <w:highlight w:val="lightGray"/>
              </w:rPr>
              <w:t xml:space="preserve"> </w:t>
            </w:r>
            <w:r w:rsidR="00B607C0">
              <w:rPr>
                <w:rFonts w:cs="Arial"/>
                <w:i/>
                <w:szCs w:val="20"/>
                <w:highlight w:val="lightGray"/>
              </w:rPr>
              <w:t xml:space="preserve">(u.a. Zugänge zu </w:t>
            </w:r>
            <w:r w:rsidR="00F929F4">
              <w:rPr>
                <w:rFonts w:cs="Arial"/>
                <w:i/>
                <w:szCs w:val="20"/>
                <w:highlight w:val="lightGray"/>
              </w:rPr>
              <w:t xml:space="preserve">IT-Systemen/Applikationen/Räumlichkeiten) </w:t>
            </w:r>
            <w:r w:rsidR="001E314C">
              <w:rPr>
                <w:rFonts w:cs="Arial"/>
                <w:i/>
                <w:szCs w:val="20"/>
                <w:highlight w:val="lightGray"/>
              </w:rPr>
              <w:t xml:space="preserve">von privilegierten </w:t>
            </w:r>
            <w:r>
              <w:rPr>
                <w:rFonts w:cs="Arial"/>
                <w:i/>
                <w:szCs w:val="20"/>
                <w:highlight w:val="lightGray"/>
              </w:rPr>
              <w:t>Benutzer</w:t>
            </w:r>
            <w:r w:rsidR="001E314C">
              <w:rPr>
                <w:rFonts w:cs="Arial"/>
                <w:i/>
                <w:szCs w:val="20"/>
                <w:highlight w:val="lightGray"/>
              </w:rPr>
              <w:t>n</w:t>
            </w:r>
            <w:r>
              <w:rPr>
                <w:rFonts w:cs="Arial"/>
                <w:i/>
                <w:szCs w:val="20"/>
                <w:highlight w:val="lightGray"/>
              </w:rPr>
              <w:t xml:space="preserve"> protokolliert und überwacht werden. </w:t>
            </w:r>
          </w:p>
          <w:p w14:paraId="06A13261" w14:textId="77777777" w:rsidR="00671DBD" w:rsidRPr="00255340"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interne Verfahren, die sicherstellen, dass die Zugriffsprotokolle gegen unbefugte Änderung oder Löschung gesichert und für einen angemessenen Zeitraum gemäss Aufbewahrungspflichten sicher aufbewahrt werden. </w:t>
            </w:r>
          </w:p>
          <w:p w14:paraId="05FEAEAB" w14:textId="77777777" w:rsidR="00671DBD"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lastRenderedPageBreak/>
              <w:t xml:space="preserve">Es bestehen interne Verfahren, welche sicherstellen, dass die logische und physische </w:t>
            </w:r>
            <w:r>
              <w:rPr>
                <w:rFonts w:cs="Arial"/>
                <w:i/>
                <w:szCs w:val="20"/>
                <w:highlight w:val="lightGray"/>
              </w:rPr>
              <w:t xml:space="preserve">Zugangsrechte </w:t>
            </w:r>
            <w:r w:rsidRPr="004E2370">
              <w:rPr>
                <w:rFonts w:cs="Arial"/>
                <w:i/>
                <w:szCs w:val="20"/>
                <w:highlight w:val="lightGray"/>
              </w:rPr>
              <w:t>regelmässig überprüft wird</w:t>
            </w:r>
          </w:p>
          <w:p w14:paraId="167F9CA2"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Es werden angemessene Authentifizierungsmethoden bzgl. der Kritikalität von IKT-Systemen, IKT-Informationen und des jeweiligen Zugriffsprozesses eingesetzt. </w:t>
            </w:r>
          </w:p>
          <w:p w14:paraId="38A8A368" w14:textId="77777777" w:rsidR="00671DBD" w:rsidRPr="00A03A03"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stellen eine angemessene interne Berichterstattung im Zusammenhang mit der logischen und physischen Sicherheit / dem Informationsschutz sicher</w:t>
            </w:r>
          </w:p>
        </w:tc>
        <w:tc>
          <w:tcPr>
            <w:tcW w:w="3395" w:type="dxa"/>
          </w:tcPr>
          <w:p w14:paraId="38919B3B"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Bestätigung, dass die internen Verfahren die Gewährung, Änderung und der Entzug der logischen und physischen Zugangsrechte auf einer Need-to-Know-Basis angemessen sicherstellen</w:t>
            </w:r>
          </w:p>
          <w:p w14:paraId="3A05E355" w14:textId="7ACAFDAD"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w:t>
            </w:r>
            <w:r w:rsidR="001E314C">
              <w:rPr>
                <w:rFonts w:cs="Arial"/>
                <w:i/>
                <w:szCs w:val="20"/>
                <w:highlight w:val="lightGray"/>
              </w:rPr>
              <w:t xml:space="preserve"> zumindest</w:t>
            </w:r>
            <w:r>
              <w:rPr>
                <w:rFonts w:cs="Arial"/>
                <w:i/>
                <w:szCs w:val="20"/>
                <w:highlight w:val="lightGray"/>
              </w:rPr>
              <w:t xml:space="preserve"> alle Aktivitäten der </w:t>
            </w:r>
            <w:r w:rsidR="001E314C">
              <w:rPr>
                <w:rFonts w:cs="Arial"/>
                <w:i/>
                <w:szCs w:val="20"/>
                <w:highlight w:val="lightGray"/>
              </w:rPr>
              <w:t xml:space="preserve">privilegierten </w:t>
            </w:r>
            <w:r>
              <w:rPr>
                <w:rFonts w:cs="Arial"/>
                <w:i/>
                <w:szCs w:val="20"/>
                <w:highlight w:val="lightGray"/>
              </w:rPr>
              <w:t xml:space="preserve">Benutzer </w:t>
            </w:r>
            <w:r w:rsidR="00F929F4">
              <w:rPr>
                <w:rFonts w:cs="Arial"/>
                <w:i/>
                <w:szCs w:val="20"/>
                <w:highlight w:val="lightGray"/>
              </w:rPr>
              <w:t xml:space="preserve">(u.a. Zugänge zu IT-Systemen/Applikationen/Räumlichkeiten) </w:t>
            </w:r>
            <w:r>
              <w:rPr>
                <w:rFonts w:cs="Arial"/>
                <w:i/>
                <w:szCs w:val="20"/>
                <w:highlight w:val="lightGray"/>
              </w:rPr>
              <w:t>protokolliert und überwacht werden</w:t>
            </w:r>
          </w:p>
          <w:p w14:paraId="0EEF15E3"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Zugriffsprotokolle sicher und gemäss den Aufbewahrungspflichten angemessen aufbewahrt werden</w:t>
            </w:r>
          </w:p>
          <w:p w14:paraId="54EA406D"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Bestätigung, dass die internen Verfahren die regelmässige Überprüfung der logischen und physischen Zugriffsrechte sicherstellen</w:t>
            </w:r>
          </w:p>
          <w:p w14:paraId="39B6664C" w14:textId="77777777" w:rsidR="00671DBD" w:rsidRPr="00A96CB1"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Bestätigung, dass angemessene Authentifizierungsmethoden angewandt werden</w:t>
            </w:r>
          </w:p>
          <w:p w14:paraId="257F3D24" w14:textId="77777777" w:rsidR="00671DBD" w:rsidRPr="00A54402" w:rsidRDefault="00671DBD" w:rsidP="00671DBD">
            <w:pPr>
              <w:pStyle w:val="Listenabsatz"/>
              <w:numPr>
                <w:ilvl w:val="1"/>
                <w:numId w:val="17"/>
              </w:numPr>
              <w:ind w:left="317" w:hanging="283"/>
              <w:jc w:val="both"/>
              <w:rPr>
                <w:rFonts w:cs="Arial"/>
                <w:i/>
                <w:szCs w:val="20"/>
                <w:highlight w:val="lightGray"/>
              </w:rPr>
            </w:pPr>
            <w:r w:rsidRPr="00494050">
              <w:rPr>
                <w:rFonts w:cs="Arial"/>
                <w:i/>
                <w:szCs w:val="20"/>
                <w:highlight w:val="lightGray"/>
              </w:rPr>
              <w:t>Bestätigung, dass die internen Verfahren sicherstellen, dass eine angemessene interne Berichterstattung bezüglich der physischen und logischen Sicherheit und dem Informationsschutz bestehen</w:t>
            </w:r>
          </w:p>
        </w:tc>
      </w:tr>
      <w:tr w:rsidR="00671DBD" w:rsidRPr="00CE3194" w14:paraId="47B0D0CE" w14:textId="77777777" w:rsidTr="00671DBD">
        <w:tc>
          <w:tcPr>
            <w:tcW w:w="1668" w:type="dxa"/>
          </w:tcPr>
          <w:p w14:paraId="04BEB00E" w14:textId="17C26E26" w:rsidR="00671DBD" w:rsidRPr="004E2370" w:rsidRDefault="00671DBD" w:rsidP="00671DBD">
            <w:pPr>
              <w:jc w:val="both"/>
              <w:rPr>
                <w:rFonts w:ascii="Arial" w:hAnsi="Arial" w:cs="Arial"/>
                <w:i/>
                <w:sz w:val="20"/>
                <w:szCs w:val="20"/>
                <w:highlight w:val="lightGray"/>
              </w:rPr>
            </w:pPr>
            <w:r w:rsidRPr="004E2370">
              <w:rPr>
                <w:rFonts w:ascii="Arial" w:hAnsi="Arial" w:cs="Arial"/>
                <w:i/>
                <w:sz w:val="20"/>
                <w:szCs w:val="20"/>
                <w:highlight w:val="lightGray"/>
              </w:rPr>
              <w:lastRenderedPageBreak/>
              <w:t>I</w:t>
            </w:r>
            <w:r>
              <w:rPr>
                <w:rFonts w:ascii="Arial" w:hAnsi="Arial" w:cs="Arial"/>
                <w:i/>
                <w:sz w:val="20"/>
                <w:szCs w:val="20"/>
                <w:highlight w:val="lightGray"/>
              </w:rPr>
              <w:t>KT-Betriebsmanagement</w:t>
            </w:r>
          </w:p>
        </w:tc>
        <w:tc>
          <w:tcPr>
            <w:tcW w:w="4677" w:type="dxa"/>
          </w:tcPr>
          <w:p w14:paraId="2274B61F" w14:textId="77777777" w:rsidR="00671DBD" w:rsidRPr="00FD2DC2" w:rsidRDefault="00671DBD" w:rsidP="00671DBD">
            <w:pPr>
              <w:pStyle w:val="Listenabsatz"/>
              <w:numPr>
                <w:ilvl w:val="1"/>
                <w:numId w:val="17"/>
              </w:numPr>
              <w:ind w:left="317" w:hanging="283"/>
              <w:jc w:val="both"/>
              <w:rPr>
                <w:rFonts w:cs="Arial"/>
                <w:i/>
                <w:szCs w:val="20"/>
                <w:highlight w:val="lightGray"/>
              </w:rPr>
            </w:pPr>
            <w:r w:rsidRPr="00621978">
              <w:rPr>
                <w:rFonts w:cs="Arial"/>
                <w:i/>
                <w:szCs w:val="20"/>
                <w:highlight w:val="lightGray"/>
              </w:rPr>
              <w:t xml:space="preserve">Die interne Verfahren stellen sicher, dass </w:t>
            </w:r>
            <w:r w:rsidRPr="00FD2DC2">
              <w:rPr>
                <w:rFonts w:cs="Arial"/>
                <w:i/>
                <w:szCs w:val="20"/>
                <w:highlight w:val="lightGray"/>
              </w:rPr>
              <w:t>die I</w:t>
            </w:r>
            <w:r>
              <w:rPr>
                <w:rFonts w:cs="Arial"/>
                <w:i/>
                <w:szCs w:val="20"/>
                <w:highlight w:val="lightGray"/>
              </w:rPr>
              <w:t>K</w:t>
            </w:r>
            <w:r w:rsidRPr="00FD2DC2">
              <w:rPr>
                <w:rFonts w:cs="Arial"/>
                <w:i/>
                <w:szCs w:val="20"/>
                <w:highlight w:val="lightGray"/>
              </w:rPr>
              <w:t>T-Infrastruktur und die I</w:t>
            </w:r>
            <w:r>
              <w:rPr>
                <w:rFonts w:cs="Arial"/>
                <w:i/>
                <w:szCs w:val="20"/>
                <w:highlight w:val="lightGray"/>
              </w:rPr>
              <w:t>K</w:t>
            </w:r>
            <w:r w:rsidRPr="00FD2DC2">
              <w:rPr>
                <w:rFonts w:cs="Arial"/>
                <w:i/>
                <w:szCs w:val="20"/>
                <w:highlight w:val="lightGray"/>
              </w:rPr>
              <w:t>T-Leistungserbringung angemessen (Grösse, Geschäftstätigkeit, I</w:t>
            </w:r>
            <w:r>
              <w:rPr>
                <w:rFonts w:cs="Arial"/>
                <w:i/>
                <w:szCs w:val="20"/>
                <w:highlight w:val="lightGray"/>
              </w:rPr>
              <w:t>K</w:t>
            </w:r>
            <w:r w:rsidRPr="00FD2DC2">
              <w:rPr>
                <w:rFonts w:cs="Arial"/>
                <w:i/>
                <w:szCs w:val="20"/>
                <w:highlight w:val="lightGray"/>
              </w:rPr>
              <w:t>T-Komplexi</w:t>
            </w:r>
            <w:r>
              <w:rPr>
                <w:rFonts w:cs="Arial"/>
                <w:i/>
                <w:szCs w:val="20"/>
                <w:highlight w:val="lightGray"/>
              </w:rPr>
              <w:t>tät/-Risiken, Auslagerungen) sind</w:t>
            </w:r>
          </w:p>
          <w:p w14:paraId="727B7D1B"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aktuelles Inventar der IKT-Assets (inkl. IKT-Systeme, Netzwerkgeräte, Datenbanken etc.) ausreichend detailliert (IKT-System, Standort, Sicherheitsklassifizierung, Eigentümerschaft etc.) geführt wird, welches u.a. Interdependenzen zwischen Systemen dokumentiert</w:t>
            </w:r>
          </w:p>
          <w:p w14:paraId="067B5758" w14:textId="7FD2C67D"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Die internen Verfahren gewährleisten eine angemessene Zuweisung von Aufgaben und Verantwortlichkeiten zur Steuerung</w:t>
            </w:r>
            <w:r w:rsidR="00E50A08">
              <w:rPr>
                <w:rFonts w:cs="Arial"/>
                <w:i/>
                <w:szCs w:val="20"/>
                <w:highlight w:val="lightGray"/>
              </w:rPr>
              <w:t xml:space="preserve"> und </w:t>
            </w:r>
            <w:r w:rsidRPr="004E2370">
              <w:rPr>
                <w:rFonts w:cs="Arial"/>
                <w:i/>
                <w:szCs w:val="20"/>
                <w:highlight w:val="lightGray"/>
              </w:rPr>
              <w:t>Überwachung der I</w:t>
            </w:r>
            <w:r>
              <w:rPr>
                <w:rFonts w:cs="Arial"/>
                <w:i/>
                <w:szCs w:val="20"/>
                <w:highlight w:val="lightGray"/>
              </w:rPr>
              <w:t>KT-Systeme</w:t>
            </w:r>
            <w:r w:rsidRPr="004E2370">
              <w:rPr>
                <w:rFonts w:cs="Arial"/>
                <w:i/>
                <w:szCs w:val="20"/>
                <w:highlight w:val="lightGray"/>
              </w:rPr>
              <w:t xml:space="preserve"> und der Aufgaben betreffend der I</w:t>
            </w:r>
            <w:r>
              <w:rPr>
                <w:rFonts w:cs="Arial"/>
                <w:i/>
                <w:szCs w:val="20"/>
                <w:highlight w:val="lightGray"/>
              </w:rPr>
              <w:t>K</w:t>
            </w:r>
            <w:r w:rsidRPr="004E2370">
              <w:rPr>
                <w:rFonts w:cs="Arial"/>
                <w:i/>
                <w:szCs w:val="20"/>
                <w:highlight w:val="lightGray"/>
              </w:rPr>
              <w:t>T-Leistungserbringung (Lebenszyklusmanagement der I</w:t>
            </w:r>
            <w:r>
              <w:rPr>
                <w:rFonts w:cs="Arial"/>
                <w:i/>
                <w:szCs w:val="20"/>
                <w:highlight w:val="lightGray"/>
              </w:rPr>
              <w:t>K</w:t>
            </w:r>
            <w:r w:rsidRPr="004E2370">
              <w:rPr>
                <w:rFonts w:cs="Arial"/>
                <w:i/>
                <w:szCs w:val="20"/>
                <w:highlight w:val="lightGray"/>
              </w:rPr>
              <w:t>T-</w:t>
            </w:r>
            <w:r>
              <w:rPr>
                <w:rFonts w:cs="Arial"/>
                <w:i/>
                <w:szCs w:val="20"/>
                <w:highlight w:val="lightGray"/>
              </w:rPr>
              <w:t>Systeme</w:t>
            </w:r>
            <w:r w:rsidRPr="004E2370">
              <w:rPr>
                <w:rFonts w:cs="Arial"/>
                <w:i/>
                <w:szCs w:val="20"/>
                <w:highlight w:val="lightGray"/>
              </w:rPr>
              <w:t>, Überwachung, Service Level Management, Änderungsmanagement der Programme usw.)</w:t>
            </w:r>
            <w:r w:rsidR="00E50A08">
              <w:rPr>
                <w:rFonts w:cs="Arial"/>
                <w:i/>
                <w:szCs w:val="20"/>
                <w:highlight w:val="lightGray"/>
              </w:rPr>
              <w:t xml:space="preserve"> sowie der Behandlung und Nachverfolgung von Betriebs- und Sicherheitsvorfällen</w:t>
            </w:r>
            <w:r w:rsidR="00354E9D">
              <w:rPr>
                <w:rFonts w:cs="Arial"/>
                <w:i/>
                <w:szCs w:val="20"/>
                <w:highlight w:val="lightGray"/>
              </w:rPr>
              <w:t xml:space="preserve"> (u.a. Identifikation der Hauptursachen und Bereinigung)</w:t>
            </w:r>
          </w:p>
          <w:p w14:paraId="597AB665" w14:textId="332C5847" w:rsidR="00671DBD" w:rsidRPr="004E2370"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Es bestehen angemessene Back-up und Wiederherstellungsprozesse</w:t>
            </w:r>
            <w:r>
              <w:rPr>
                <w:rFonts w:cs="Arial"/>
                <w:i/>
                <w:szCs w:val="20"/>
                <w:highlight w:val="lightGray"/>
              </w:rPr>
              <w:t>, die regelmässig getestet werden</w:t>
            </w:r>
          </w:p>
          <w:p w14:paraId="53B43641" w14:textId="41FBC25E"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Daten</w:t>
            </w:r>
            <w:r w:rsidR="00DC2EE6">
              <w:rPr>
                <w:rFonts w:cs="Arial"/>
                <w:i/>
                <w:szCs w:val="20"/>
                <w:highlight w:val="lightGray"/>
              </w:rPr>
              <w:t>-</w:t>
            </w:r>
            <w:r>
              <w:rPr>
                <w:rFonts w:cs="Arial"/>
                <w:i/>
                <w:szCs w:val="20"/>
                <w:highlight w:val="lightGray"/>
              </w:rPr>
              <w:t xml:space="preserve"> und IKT-Systemsicherungen werden sicher gespeichert. </w:t>
            </w:r>
          </w:p>
          <w:p w14:paraId="4392353A" w14:textId="767CA97F"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bestehen angemessene interne Verfahren, die das Auftreten von Sicherheitsproblemen bei IKT-Systemen/IKT-Diensten </w:t>
            </w:r>
            <w:r w:rsidR="00652496">
              <w:rPr>
                <w:rFonts w:cs="Arial"/>
                <w:i/>
                <w:szCs w:val="20"/>
                <w:highlight w:val="lightGray"/>
              </w:rPr>
              <w:t xml:space="preserve">helfen zu vermeiden </w:t>
            </w:r>
            <w:r w:rsidR="00D75B54">
              <w:rPr>
                <w:rFonts w:cs="Arial"/>
                <w:i/>
                <w:szCs w:val="20"/>
                <w:highlight w:val="lightGray"/>
              </w:rPr>
              <w:t>sowie ihre</w:t>
            </w:r>
            <w:r>
              <w:rPr>
                <w:rFonts w:cs="Arial"/>
                <w:i/>
                <w:szCs w:val="20"/>
                <w:highlight w:val="lightGray"/>
              </w:rPr>
              <w:t xml:space="preserve"> Auswirkungen auf die Erbringung von IKT-Diensten minimieren (u.a. durch. Sicherheits-Patches, Implementierung sicherer Basiskonfiguration </w:t>
            </w:r>
            <w:r w:rsidR="00D75B54">
              <w:rPr>
                <w:rFonts w:cs="Arial"/>
                <w:i/>
                <w:szCs w:val="20"/>
                <w:highlight w:val="lightGray"/>
              </w:rPr>
              <w:t>wesentlicher</w:t>
            </w:r>
            <w:r>
              <w:rPr>
                <w:rFonts w:cs="Arial"/>
                <w:i/>
                <w:szCs w:val="20"/>
                <w:highlight w:val="lightGray"/>
              </w:rPr>
              <w:t xml:space="preserve"> Netzwerkkomponenten</w:t>
            </w:r>
            <w:r w:rsidR="000C6993">
              <w:rPr>
                <w:rFonts w:cs="Arial"/>
                <w:i/>
                <w:szCs w:val="20"/>
                <w:highlight w:val="lightGray"/>
              </w:rPr>
              <w:t>/Server</w:t>
            </w:r>
            <w:r>
              <w:rPr>
                <w:rFonts w:cs="Arial"/>
                <w:i/>
                <w:szCs w:val="20"/>
                <w:highlight w:val="lightGray"/>
              </w:rPr>
              <w:t xml:space="preserve">, Netzwerksegmentierung, Verschlüsselung Netzwerkverkehrs, Schutz von Endpunkten, Mechanismen zur Überprüfung der Integrität von Software, Firmware, </w:t>
            </w:r>
            <w:r>
              <w:rPr>
                <w:rFonts w:cs="Arial"/>
                <w:i/>
                <w:szCs w:val="20"/>
                <w:highlight w:val="lightGray"/>
              </w:rPr>
              <w:lastRenderedPageBreak/>
              <w:t xml:space="preserve">Daten; Verschlüsselung gespeicherter Daten und Daten während der Übertragung, Virenschutz, Firewalls). </w:t>
            </w:r>
          </w:p>
          <w:p w14:paraId="5B10D533"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betriebliche und sicherheitsrelevante IKT-Vorfälle überwacht, protokolliert und zeitnah behoben werden. </w:t>
            </w:r>
          </w:p>
          <w:p w14:paraId="2FCFEB48"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Kriterien und Schwellenwerte für die Klassifizierung von Ereignissen als Betriebs- und Sicherheitsvorfälle sowie Frühwarnindikatoren definiert und implementiert werden</w:t>
            </w:r>
          </w:p>
          <w:p w14:paraId="52D1184B" w14:textId="77777777" w:rsidR="00671DBD" w:rsidRPr="00DC6C2F" w:rsidRDefault="00671DBD" w:rsidP="00671DBD">
            <w:pPr>
              <w:pStyle w:val="Listenabsatz"/>
              <w:numPr>
                <w:ilvl w:val="1"/>
                <w:numId w:val="17"/>
              </w:numPr>
              <w:ind w:left="317" w:hanging="283"/>
              <w:jc w:val="both"/>
              <w:rPr>
                <w:rFonts w:cs="Arial"/>
                <w:i/>
                <w:szCs w:val="20"/>
                <w:highlight w:val="lightGray"/>
              </w:rPr>
            </w:pPr>
            <w:r w:rsidRPr="004E2370">
              <w:rPr>
                <w:rFonts w:cs="Arial"/>
                <w:i/>
                <w:szCs w:val="20"/>
                <w:highlight w:val="lightGray"/>
              </w:rPr>
              <w:t xml:space="preserve">Die internen Verfahren stellen eine angemessene interne </w:t>
            </w:r>
            <w:r>
              <w:rPr>
                <w:rFonts w:cs="Arial"/>
                <w:i/>
                <w:szCs w:val="20"/>
                <w:highlight w:val="lightGray"/>
              </w:rPr>
              <w:t xml:space="preserve">und externe </w:t>
            </w:r>
            <w:r w:rsidRPr="004E2370">
              <w:rPr>
                <w:rFonts w:cs="Arial"/>
                <w:i/>
                <w:szCs w:val="20"/>
                <w:highlight w:val="lightGray"/>
              </w:rPr>
              <w:t xml:space="preserve">Berichterstattung im Zusammenhang mit </w:t>
            </w:r>
            <w:r>
              <w:rPr>
                <w:rFonts w:cs="Arial"/>
                <w:i/>
                <w:szCs w:val="20"/>
                <w:highlight w:val="lightGray"/>
              </w:rPr>
              <w:t xml:space="preserve">Meldung von Vorfällen und Eskalationsverfahren </w:t>
            </w:r>
            <w:r w:rsidRPr="004E2370">
              <w:rPr>
                <w:rFonts w:cs="Arial"/>
                <w:i/>
                <w:szCs w:val="20"/>
                <w:highlight w:val="lightGray"/>
              </w:rPr>
              <w:t>sicher</w:t>
            </w:r>
          </w:p>
          <w:p w14:paraId="3A9DD8AD" w14:textId="77777777" w:rsidR="00671DBD" w:rsidRPr="004E2370" w:rsidRDefault="00671DBD" w:rsidP="00B037A6">
            <w:pPr>
              <w:pStyle w:val="Listenabsatz"/>
              <w:ind w:left="317"/>
              <w:jc w:val="both"/>
              <w:rPr>
                <w:rFonts w:cs="Arial"/>
                <w:i/>
                <w:szCs w:val="20"/>
                <w:highlight w:val="lightGray"/>
              </w:rPr>
            </w:pPr>
          </w:p>
        </w:tc>
        <w:tc>
          <w:tcPr>
            <w:tcW w:w="3395" w:type="dxa"/>
          </w:tcPr>
          <w:p w14:paraId="548E401C" w14:textId="77777777" w:rsidR="00671DBD"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lastRenderedPageBreak/>
              <w:t>Bestätigung, dass die internen Verfahren sicherstellen, dass die IKT-Infrastruktur und die IKT-Leistungserbringung angemessen sind</w:t>
            </w:r>
          </w:p>
          <w:p w14:paraId="703E5526" w14:textId="77777777" w:rsidR="00671DBD"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ein aktuelles Inventar der IKT-Assets geführt wird, welches ausreichend granulare Inhalte der IKT-Assets beinhaltet</w:t>
            </w:r>
          </w:p>
          <w:p w14:paraId="225590FC" w14:textId="7EC320FD" w:rsidR="00671DBD"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eine angemessene Zuweisung von Aufgaben und Verantwortlichkeiten zur Steuerung und Überwachung der IKT-Systeme und der Aufgaben betreffend der IKT-Leistungserbringung</w:t>
            </w:r>
            <w:r w:rsidR="00354E9D">
              <w:rPr>
                <w:rFonts w:cs="Arial"/>
                <w:i/>
                <w:szCs w:val="20"/>
                <w:highlight w:val="lightGray"/>
              </w:rPr>
              <w:t xml:space="preserve"> sowie der Behandlung und Nachverfolgung von Betriebs- und Sicherheitsvorfällen</w:t>
            </w:r>
            <w:r>
              <w:rPr>
                <w:rFonts w:cs="Arial"/>
                <w:i/>
                <w:szCs w:val="20"/>
                <w:highlight w:val="lightGray"/>
              </w:rPr>
              <w:t xml:space="preserve"> besteht</w:t>
            </w:r>
          </w:p>
          <w:p w14:paraId="0F9E4866" w14:textId="24A933E4" w:rsidR="00671DBD"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t>Bestätigung, dass angemessene Back-up und Wiederherstellungsprozesse, die regelmässig getestet werden</w:t>
            </w:r>
            <w:r w:rsidR="00401A5A">
              <w:rPr>
                <w:rFonts w:cs="Arial"/>
                <w:i/>
                <w:szCs w:val="20"/>
                <w:highlight w:val="lightGray"/>
              </w:rPr>
              <w:t>, bestehen</w:t>
            </w:r>
            <w:r w:rsidR="00475319">
              <w:rPr>
                <w:rFonts w:cs="Arial"/>
                <w:i/>
                <w:szCs w:val="20"/>
                <w:highlight w:val="lightGray"/>
              </w:rPr>
              <w:t xml:space="preserve"> sowie die Daten- und IKT-Systemsicherungen sicher gespeichert werden</w:t>
            </w:r>
          </w:p>
          <w:p w14:paraId="74A06A5D" w14:textId="6AFB67FB" w:rsidR="00671DBD"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t xml:space="preserve">Bestätigung, dass angemessene interne Verfahren bestehen, die </w:t>
            </w:r>
            <w:r w:rsidR="00D75B54">
              <w:rPr>
                <w:rFonts w:cs="Arial"/>
                <w:i/>
                <w:szCs w:val="20"/>
                <w:highlight w:val="lightGray"/>
              </w:rPr>
              <w:t xml:space="preserve">Helfen </w:t>
            </w:r>
            <w:r>
              <w:rPr>
                <w:rFonts w:cs="Arial"/>
                <w:i/>
                <w:szCs w:val="20"/>
                <w:highlight w:val="lightGray"/>
              </w:rPr>
              <w:t>das Auftreten von Sicherheitsproblemen bei IKT-Systemen/IKT-Diensten</w:t>
            </w:r>
            <w:r w:rsidR="00D75B54">
              <w:rPr>
                <w:rFonts w:cs="Arial"/>
                <w:i/>
                <w:szCs w:val="20"/>
                <w:highlight w:val="lightGray"/>
              </w:rPr>
              <w:t xml:space="preserve"> zu</w:t>
            </w:r>
            <w:r>
              <w:rPr>
                <w:rFonts w:cs="Arial"/>
                <w:i/>
                <w:szCs w:val="20"/>
                <w:highlight w:val="lightGray"/>
              </w:rPr>
              <w:t xml:space="preserve"> verhindern</w:t>
            </w:r>
            <w:r w:rsidR="00D75B54">
              <w:rPr>
                <w:rFonts w:cs="Arial"/>
                <w:i/>
                <w:szCs w:val="20"/>
                <w:highlight w:val="lightGray"/>
              </w:rPr>
              <w:t xml:space="preserve"> sowie </w:t>
            </w:r>
            <w:r>
              <w:rPr>
                <w:rFonts w:cs="Arial"/>
                <w:i/>
                <w:szCs w:val="20"/>
                <w:highlight w:val="lightGray"/>
              </w:rPr>
              <w:t xml:space="preserve">deren Auswirkungen auf die Erbringung von IKT-Diensten </w:t>
            </w:r>
            <w:r w:rsidR="00D75B54">
              <w:rPr>
                <w:rFonts w:cs="Arial"/>
                <w:i/>
                <w:szCs w:val="20"/>
                <w:highlight w:val="lightGray"/>
              </w:rPr>
              <w:t xml:space="preserve">zu </w:t>
            </w:r>
            <w:r>
              <w:rPr>
                <w:rFonts w:cs="Arial"/>
                <w:i/>
                <w:szCs w:val="20"/>
                <w:highlight w:val="lightGray"/>
              </w:rPr>
              <w:t xml:space="preserve">minimieren </w:t>
            </w:r>
          </w:p>
          <w:p w14:paraId="491D7762" w14:textId="57A294E1" w:rsidR="00671DBD"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lastRenderedPageBreak/>
              <w:t>Bestätigung, dass die internen Verfahren sicherstellen, dass betriebliche und sicherheitsrelevante IKT-Vorfälle</w:t>
            </w:r>
            <w:r w:rsidR="00354E9D">
              <w:rPr>
                <w:rFonts w:cs="Arial"/>
                <w:i/>
                <w:szCs w:val="20"/>
                <w:highlight w:val="lightGray"/>
              </w:rPr>
              <w:t xml:space="preserve"> angemessen klassifiziert,</w:t>
            </w:r>
            <w:r>
              <w:rPr>
                <w:rFonts w:cs="Arial"/>
                <w:i/>
                <w:szCs w:val="20"/>
                <w:highlight w:val="lightGray"/>
              </w:rPr>
              <w:t xml:space="preserve"> überwacht, protokolliert</w:t>
            </w:r>
            <w:r w:rsidR="00354E9D">
              <w:rPr>
                <w:rFonts w:cs="Arial"/>
                <w:i/>
                <w:szCs w:val="20"/>
                <w:highlight w:val="lightGray"/>
              </w:rPr>
              <w:t xml:space="preserve">, gemeldet und </w:t>
            </w:r>
            <w:r>
              <w:rPr>
                <w:rFonts w:cs="Arial"/>
                <w:i/>
                <w:szCs w:val="20"/>
                <w:highlight w:val="lightGray"/>
              </w:rPr>
              <w:t>zeitnah behoben</w:t>
            </w:r>
            <w:r w:rsidR="00354E9D">
              <w:rPr>
                <w:rFonts w:cs="Arial"/>
                <w:i/>
                <w:szCs w:val="20"/>
                <w:highlight w:val="lightGray"/>
              </w:rPr>
              <w:t xml:space="preserve"> </w:t>
            </w:r>
            <w:r>
              <w:rPr>
                <w:rFonts w:cs="Arial"/>
                <w:i/>
                <w:szCs w:val="20"/>
                <w:highlight w:val="lightGray"/>
              </w:rPr>
              <w:t>werden</w:t>
            </w:r>
          </w:p>
          <w:p w14:paraId="00E40C19" w14:textId="77777777" w:rsidR="00671DBD" w:rsidRPr="000C756C" w:rsidRDefault="00671DBD" w:rsidP="00B037A6">
            <w:pPr>
              <w:pStyle w:val="Listenabsatz"/>
              <w:ind w:left="390"/>
              <w:jc w:val="both"/>
              <w:rPr>
                <w:rFonts w:cs="Arial"/>
                <w:i/>
                <w:szCs w:val="20"/>
                <w:highlight w:val="lightGray"/>
              </w:rPr>
            </w:pPr>
          </w:p>
        </w:tc>
      </w:tr>
      <w:tr w:rsidR="00671DBD" w:rsidRPr="00CE3194" w14:paraId="633C7816" w14:textId="77777777" w:rsidTr="00671DBD">
        <w:tc>
          <w:tcPr>
            <w:tcW w:w="1668" w:type="dxa"/>
          </w:tcPr>
          <w:p w14:paraId="654751BE" w14:textId="77777777" w:rsidR="00671DBD" w:rsidRPr="004E2370" w:rsidRDefault="00671DBD" w:rsidP="00671DBD">
            <w:pPr>
              <w:jc w:val="both"/>
              <w:rPr>
                <w:rFonts w:ascii="Arial" w:hAnsi="Arial" w:cs="Arial"/>
                <w:i/>
                <w:sz w:val="20"/>
                <w:szCs w:val="20"/>
                <w:highlight w:val="lightGray"/>
              </w:rPr>
            </w:pPr>
            <w:r>
              <w:rPr>
                <w:rFonts w:ascii="Arial" w:hAnsi="Arial" w:cs="Arial"/>
                <w:i/>
                <w:sz w:val="20"/>
                <w:szCs w:val="20"/>
                <w:highlight w:val="lightGray"/>
              </w:rPr>
              <w:lastRenderedPageBreak/>
              <w:t>IKT-Projekte und Änderungsmanagement</w:t>
            </w:r>
          </w:p>
        </w:tc>
        <w:tc>
          <w:tcPr>
            <w:tcW w:w="4677" w:type="dxa"/>
          </w:tcPr>
          <w:p w14:paraId="7C17C255" w14:textId="3F93A345"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IKT-Projekte ein angemessenes IKT-Projektmanagement gemäss IKT-Projektmanagementrichtlinie (Projektziele, Rollen und Verantwortlichkeiten</w:t>
            </w:r>
            <w:r w:rsidR="004E120F">
              <w:rPr>
                <w:rFonts w:cs="Arial"/>
                <w:i/>
                <w:szCs w:val="20"/>
                <w:highlight w:val="lightGray"/>
              </w:rPr>
              <w:t xml:space="preserve"> / IKT-Projektteam</w:t>
            </w:r>
            <w:r>
              <w:rPr>
                <w:rFonts w:cs="Arial"/>
                <w:i/>
                <w:szCs w:val="20"/>
                <w:highlight w:val="lightGray"/>
              </w:rPr>
              <w:t>, Projektrisikobewertung, Projektplan/Zeitrahmen und Projektschritte, Meilensteine, Anforderungen an das Änderungsmanagement) implementiert ist</w:t>
            </w:r>
          </w:p>
          <w:p w14:paraId="36872EB1" w14:textId="3AC3B392"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w:t>
            </w:r>
            <w:r w:rsidR="00E46ABA">
              <w:rPr>
                <w:rFonts w:cs="Arial"/>
                <w:i/>
                <w:szCs w:val="20"/>
                <w:highlight w:val="lightGray"/>
              </w:rPr>
              <w:t xml:space="preserve">im IKT-Projektteam </w:t>
            </w:r>
            <w:r w:rsidR="00C512BC">
              <w:rPr>
                <w:rFonts w:cs="Arial"/>
                <w:i/>
                <w:szCs w:val="20"/>
                <w:highlight w:val="lightGray"/>
              </w:rPr>
              <w:t xml:space="preserve">alle von einem IKT-Projekt betroffenen Bereiche vertreten sind und diese über die erforderlichen Kenntnisse (inkl. die entsprechenden Funktionen für Veränderungen an IKT-Systemen und Diensten) verfügt, um eine sichere und erfolgreiche Projektumsetzung sicherzustellen.  </w:t>
            </w:r>
          </w:p>
          <w:p w14:paraId="7B1700DB"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regelmässige oder anlassbezogene Berichterstattung über die IKT-Projekte (Fortschritt, Risiken etc.) an die Geschäftsleitung sicher</w:t>
            </w:r>
          </w:p>
          <w:p w14:paraId="3C88D97B"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Erwerb und Entwicklung von IKT-Systemen die funktionalen/nichtfunktionalen Anforderungen (inkl. Anforderungen an die Informationssicherheit) klar definiert und genehmigt werden</w:t>
            </w:r>
            <w:r w:rsidRPr="00401D57">
              <w:rPr>
                <w:rFonts w:cs="Arial"/>
                <w:i/>
                <w:szCs w:val="20"/>
                <w:highlight w:val="lightGray"/>
              </w:rPr>
              <w:t xml:space="preserve"> </w:t>
            </w:r>
          </w:p>
          <w:p w14:paraId="690C0A30" w14:textId="77777777" w:rsidR="00671DBD" w:rsidRPr="00DE4F68" w:rsidRDefault="00671DBD" w:rsidP="00671DBD">
            <w:pPr>
              <w:pStyle w:val="Listenabsatz"/>
              <w:numPr>
                <w:ilvl w:val="1"/>
                <w:numId w:val="17"/>
              </w:numPr>
              <w:ind w:left="317" w:hanging="283"/>
              <w:jc w:val="both"/>
              <w:rPr>
                <w:rFonts w:cs="Arial"/>
                <w:i/>
                <w:szCs w:val="20"/>
                <w:highlight w:val="lightGray"/>
              </w:rPr>
            </w:pPr>
            <w:r w:rsidRPr="00401D57">
              <w:rPr>
                <w:rFonts w:cs="Arial"/>
                <w:i/>
                <w:szCs w:val="20"/>
                <w:highlight w:val="lightGray"/>
              </w:rPr>
              <w:t>Die internen Verfahren stellen sicher, dass die Anforderungen an die Informationssicherheit von einer von der Entwicklungsfunktion unab</w:t>
            </w:r>
            <w:r w:rsidRPr="00DE4F68">
              <w:rPr>
                <w:rFonts w:cs="Arial"/>
                <w:i/>
                <w:szCs w:val="20"/>
                <w:highlight w:val="lightGray"/>
              </w:rPr>
              <w:t>hängigen Funktion analysiert und frei</w:t>
            </w:r>
            <w:r>
              <w:rPr>
                <w:rFonts w:cs="Arial"/>
                <w:i/>
                <w:szCs w:val="20"/>
                <w:highlight w:val="lightGray"/>
              </w:rPr>
              <w:t>gegeben werden</w:t>
            </w:r>
          </w:p>
          <w:p w14:paraId="0DEFD0B9"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Implementierung von Risikominderungsmassnahmen vor unbeabsichtigter/beabsichtigter Änderung/Manipulation der IKT-Systeme während der Entwicklung und Implementierung in die Produktionsumgebung sicher</w:t>
            </w:r>
          </w:p>
          <w:p w14:paraId="4426F14B"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sicher, dass Testings der IKT-Systeme/IKT-Dienste vor ihrer ersten Anwendung auf Testumgebungen, die die Produktionsumgebung angemessen widerspiegeln, angemessen - gemäss ihrer Kritikalität - durchgeführt und genehmigt werden</w:t>
            </w:r>
          </w:p>
          <w:p w14:paraId="2503AAE8"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Trennung der Produktionsumgebungen von Entwicklungs-, Test- und anderen Nicht-Produktivumgebungen sicher</w:t>
            </w:r>
          </w:p>
          <w:p w14:paraId="18C045E6"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die umfangreiche Dokumentation der Entwicklung, Implementierung, den Betrieb u/o die Konfiguration der IKT-Systeme (v.a. Benutzerdokumentation, technische Systemdokumentation, Beschreibung der Betriebsabläufe)</w:t>
            </w:r>
          </w:p>
          <w:p w14:paraId="23464433" w14:textId="77777777" w:rsidR="00671DBD" w:rsidRPr="00C14D5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alle Änderungen an IKT-Systemen aufgezeichnet, getestet, bewertet, genehmigt, umgesetzt und überprüft werden. </w:t>
            </w:r>
          </w:p>
        </w:tc>
        <w:tc>
          <w:tcPr>
            <w:tcW w:w="3395" w:type="dxa"/>
          </w:tcPr>
          <w:p w14:paraId="59B3227B" w14:textId="7F11A819" w:rsidR="00671DBD"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lastRenderedPageBreak/>
              <w:t>Bestätigung, dass die internen Verfahren ein angemessenes IKT-Projektmanagement gemäss IKT-Projektmanagementrichtlinie sicherstellen</w:t>
            </w:r>
          </w:p>
          <w:p w14:paraId="2788CDDC" w14:textId="77777777" w:rsidR="00671DBD"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die regelmässige oder anlassbezogene Berichterstattung über die IKT-Projekte an die Geschäftsleitung sicherstellen</w:t>
            </w:r>
          </w:p>
          <w:p w14:paraId="464E3C73" w14:textId="28AEEA92"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vor Erwerb und Entwicklung von IKT-Systemen die funktionalen/nichtfunktionalen Anforderungen (inkl. Anforderungen an die Informationssicherheit) klar definiert</w:t>
            </w:r>
            <w:r w:rsidR="004E120F">
              <w:rPr>
                <w:rFonts w:cs="Arial"/>
                <w:i/>
                <w:szCs w:val="20"/>
                <w:highlight w:val="lightGray"/>
              </w:rPr>
              <w:t>, durch eine von der Entwicklungsfunktion unabhängigen Funktion analysiert</w:t>
            </w:r>
            <w:r>
              <w:rPr>
                <w:rFonts w:cs="Arial"/>
                <w:i/>
                <w:szCs w:val="20"/>
                <w:highlight w:val="lightGray"/>
              </w:rPr>
              <w:t xml:space="preserve"> und genehmigt werden</w:t>
            </w:r>
            <w:r w:rsidRPr="00401D57">
              <w:rPr>
                <w:rFonts w:cs="Arial"/>
                <w:i/>
                <w:szCs w:val="20"/>
                <w:highlight w:val="lightGray"/>
              </w:rPr>
              <w:t xml:space="preserve"> </w:t>
            </w:r>
          </w:p>
          <w:p w14:paraId="267335DD"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die Implementierung von Risikominderungsmassnahmen vor unbeabsichtigter/beabsichtigter Änderung/Manipulation der IKT-Systeme während der Entwicklung und Implementierung in die Produktionsumgebung sicherstellen</w:t>
            </w:r>
          </w:p>
          <w:p w14:paraId="2CE632AF" w14:textId="6D09DD61"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 xml:space="preserve">Bestätigung, dass die internen Verfahren sicherstellen, dass Testings der IKT-Systeme/IKT-Dienste vor ihrer ersten Anwendung auf Testumgebungen, die </w:t>
            </w:r>
            <w:r>
              <w:rPr>
                <w:rFonts w:cs="Arial"/>
                <w:i/>
                <w:szCs w:val="20"/>
                <w:highlight w:val="lightGray"/>
              </w:rPr>
              <w:lastRenderedPageBreak/>
              <w:t>die Produktionsumgebung angemessen widerspiegeln</w:t>
            </w:r>
            <w:r w:rsidR="009D3D92">
              <w:rPr>
                <w:rFonts w:cs="Arial"/>
                <w:i/>
                <w:szCs w:val="20"/>
                <w:highlight w:val="lightGray"/>
              </w:rPr>
              <w:t xml:space="preserve"> und von diesen getrennt sind</w:t>
            </w:r>
            <w:r>
              <w:rPr>
                <w:rFonts w:cs="Arial"/>
                <w:i/>
                <w:szCs w:val="20"/>
                <w:highlight w:val="lightGray"/>
              </w:rPr>
              <w:t>, angemessen - gemäss ihrer Kritikalität - durchgeführt und genehmigt werden</w:t>
            </w:r>
          </w:p>
          <w:p w14:paraId="41FC7467" w14:textId="77777777" w:rsidR="00671DBD" w:rsidRDefault="00671DBD" w:rsidP="00671DBD">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eine umfangreiche Dokumentation der Entwicklung, Implementierung, den Betrieb u/o die Konfiguration der IKT-Systeme gewährleisten</w:t>
            </w:r>
          </w:p>
          <w:p w14:paraId="0D0A67CA" w14:textId="77777777" w:rsidR="00671DBD" w:rsidRPr="00494050" w:rsidRDefault="00671DBD" w:rsidP="00671DBD">
            <w:pPr>
              <w:pStyle w:val="Listenabsatz"/>
              <w:numPr>
                <w:ilvl w:val="1"/>
                <w:numId w:val="17"/>
              </w:numPr>
              <w:ind w:left="390" w:hanging="390"/>
              <w:jc w:val="both"/>
              <w:rPr>
                <w:rFonts w:cs="Arial"/>
                <w:i/>
                <w:szCs w:val="20"/>
                <w:highlight w:val="lightGray"/>
              </w:rPr>
            </w:pPr>
            <w:r>
              <w:rPr>
                <w:rFonts w:cs="Arial"/>
                <w:i/>
                <w:szCs w:val="20"/>
                <w:highlight w:val="lightGray"/>
              </w:rPr>
              <w:t>Bestätigung, dass die internen Verfahren sicherstellen, dass alle Änderungen an IKT-Systemen aufgezeichnet, getestet, bewertet, genehmigt, umgesetzt und überprüft werden</w:t>
            </w:r>
          </w:p>
        </w:tc>
      </w:tr>
      <w:tr w:rsidR="00671DBD" w:rsidRPr="00CE3194" w14:paraId="46867168" w14:textId="77777777" w:rsidTr="00671DBD">
        <w:tc>
          <w:tcPr>
            <w:tcW w:w="1668" w:type="dxa"/>
          </w:tcPr>
          <w:p w14:paraId="21D7DDAE" w14:textId="329D554A" w:rsidR="00671DBD" w:rsidRPr="00B02EC3" w:rsidRDefault="00671DBD" w:rsidP="00671DBD">
            <w:pPr>
              <w:jc w:val="both"/>
              <w:rPr>
                <w:rFonts w:ascii="Arial" w:hAnsi="Arial" w:cs="Arial"/>
                <w:i/>
                <w:sz w:val="20"/>
                <w:szCs w:val="20"/>
                <w:highlight w:val="lightGray"/>
              </w:rPr>
            </w:pPr>
            <w:bookmarkStart w:id="71" w:name="_Hlk55894372"/>
            <w:r w:rsidRPr="00B02EC3">
              <w:rPr>
                <w:rFonts w:ascii="Arial" w:hAnsi="Arial" w:cs="Arial"/>
                <w:i/>
                <w:sz w:val="20"/>
                <w:szCs w:val="20"/>
                <w:highlight w:val="lightGray"/>
              </w:rPr>
              <w:lastRenderedPageBreak/>
              <w:t>Cloud</w:t>
            </w:r>
          </w:p>
          <w:p w14:paraId="71600F16" w14:textId="77777777" w:rsidR="00671DBD" w:rsidRPr="00B02EC3" w:rsidRDefault="00671DBD" w:rsidP="00671DBD">
            <w:pPr>
              <w:jc w:val="both"/>
              <w:rPr>
                <w:rFonts w:ascii="Arial" w:hAnsi="Arial" w:cs="Arial"/>
                <w:i/>
                <w:sz w:val="16"/>
                <w:szCs w:val="16"/>
                <w:highlight w:val="lightGray"/>
              </w:rPr>
            </w:pPr>
            <w:r w:rsidRPr="00B02EC3">
              <w:rPr>
                <w:rFonts w:ascii="Arial" w:hAnsi="Arial" w:cs="Arial"/>
                <w:i/>
                <w:sz w:val="16"/>
                <w:szCs w:val="16"/>
                <w:highlight w:val="lightGray"/>
              </w:rPr>
              <w:t xml:space="preserve"> </w:t>
            </w:r>
          </w:p>
        </w:tc>
        <w:tc>
          <w:tcPr>
            <w:tcW w:w="4677" w:type="dxa"/>
          </w:tcPr>
          <w:p w14:paraId="00C68136" w14:textId="77777777" w:rsidR="00671DBD" w:rsidRPr="00B02EC3" w:rsidRDefault="00671DBD" w:rsidP="00671DBD">
            <w:pPr>
              <w:pStyle w:val="Listenabsatz"/>
              <w:numPr>
                <w:ilvl w:val="1"/>
                <w:numId w:val="17"/>
              </w:numPr>
              <w:ind w:left="317" w:hanging="283"/>
              <w:jc w:val="both"/>
              <w:rPr>
                <w:rFonts w:cs="Arial"/>
                <w:i/>
                <w:szCs w:val="20"/>
                <w:highlight w:val="lightGray"/>
              </w:rPr>
            </w:pPr>
            <w:r w:rsidRPr="00B02EC3">
              <w:rPr>
                <w:rFonts w:cs="Arial"/>
                <w:i/>
                <w:szCs w:val="20"/>
                <w:highlight w:val="lightGray"/>
              </w:rPr>
              <w:t>Die internen Verfahren stellen sicher, dass eine angemessene Risikoanalyse bei der Verwendung von Cloud Anbietern durchgeführt wird, welche u.a. Folgendes beinhaltet; Ausgestaltung des Cloud-Dienstes, Kritikalität, Einfluss auf BCM, Bewertung der Risiken durch Cloud-Auslagerung, Standort der Datenspeicherung/Datenverarbeitung, Eignung Cloud-Anbieter</w:t>
            </w:r>
          </w:p>
          <w:p w14:paraId="5A57A5D8" w14:textId="77777777" w:rsidR="00671DBD" w:rsidRPr="00B02EC3" w:rsidRDefault="00671DBD" w:rsidP="00671DBD">
            <w:pPr>
              <w:pStyle w:val="Listenabsatz"/>
              <w:numPr>
                <w:ilvl w:val="1"/>
                <w:numId w:val="17"/>
              </w:numPr>
              <w:ind w:left="317" w:hanging="283"/>
              <w:jc w:val="both"/>
              <w:rPr>
                <w:rFonts w:cs="Arial"/>
                <w:i/>
                <w:szCs w:val="20"/>
                <w:highlight w:val="lightGray"/>
              </w:rPr>
            </w:pPr>
            <w:r w:rsidRPr="00B02EC3">
              <w:rPr>
                <w:rFonts w:cs="Arial"/>
                <w:i/>
                <w:szCs w:val="20"/>
                <w:highlight w:val="lightGray"/>
              </w:rPr>
              <w:t xml:space="preserve">Die internen Verfahren stellen sicher, dass die Risikoanalyse bei der Verwendung von Cloud Anbietern regelmässig überprüft und neu durchgeführt wird. </w:t>
            </w:r>
          </w:p>
          <w:p w14:paraId="6F823645" w14:textId="77777777" w:rsidR="00671DBD" w:rsidRPr="00B02EC3" w:rsidRDefault="00671DBD" w:rsidP="00671DBD">
            <w:pPr>
              <w:pStyle w:val="Listenabsatz"/>
              <w:numPr>
                <w:ilvl w:val="1"/>
                <w:numId w:val="17"/>
              </w:numPr>
              <w:ind w:left="317" w:hanging="283"/>
              <w:jc w:val="both"/>
              <w:rPr>
                <w:rFonts w:cs="Arial"/>
                <w:i/>
                <w:szCs w:val="20"/>
                <w:highlight w:val="lightGray"/>
              </w:rPr>
            </w:pPr>
            <w:r w:rsidRPr="00B02EC3">
              <w:rPr>
                <w:rFonts w:cs="Arial"/>
                <w:i/>
                <w:szCs w:val="20"/>
                <w:highlight w:val="lightGray"/>
              </w:rPr>
              <w:t xml:space="preserve">Die internen Verfahren stellen sicher, dass ein angemessenes Schutzniveau und Massnahmen für die Vertraulichkeit von Daten, die Kontinuität ausgelagerter Tätigkeiten sowie die Integrität und Rückverfolgbarkeit von Daten und Systeme bei Cloud-Auslagerungen festgelegt werden. </w:t>
            </w:r>
          </w:p>
          <w:p w14:paraId="7168E276" w14:textId="1AB860C6" w:rsidR="00671DBD" w:rsidRPr="00B02EC3" w:rsidRDefault="00671DBD" w:rsidP="00671DBD">
            <w:pPr>
              <w:pStyle w:val="Listenabsatz"/>
              <w:numPr>
                <w:ilvl w:val="1"/>
                <w:numId w:val="17"/>
              </w:numPr>
              <w:ind w:left="317" w:hanging="283"/>
              <w:jc w:val="both"/>
              <w:rPr>
                <w:rFonts w:cs="Arial"/>
                <w:i/>
                <w:szCs w:val="20"/>
                <w:highlight w:val="lightGray"/>
              </w:rPr>
            </w:pPr>
            <w:r w:rsidRPr="00B02EC3">
              <w:rPr>
                <w:rFonts w:cs="Arial"/>
                <w:i/>
                <w:szCs w:val="20"/>
                <w:highlight w:val="lightGray"/>
              </w:rPr>
              <w:t>Die internen Verfahren stellen sicher, dass die Rückführung und Verwendung der beim Cloud-Anbieter gespeicherten Daten uneingeschränkt gewährleistet werden kann</w:t>
            </w:r>
          </w:p>
          <w:p w14:paraId="5FC4AA33" w14:textId="77777777" w:rsidR="00671DBD" w:rsidRPr="00B02EC3" w:rsidRDefault="00671DBD" w:rsidP="00671DBD">
            <w:pPr>
              <w:pStyle w:val="Listenabsatz"/>
              <w:ind w:left="317"/>
              <w:jc w:val="both"/>
              <w:rPr>
                <w:rFonts w:cs="Arial"/>
                <w:i/>
                <w:szCs w:val="20"/>
                <w:highlight w:val="lightGray"/>
              </w:rPr>
            </w:pPr>
          </w:p>
        </w:tc>
        <w:tc>
          <w:tcPr>
            <w:tcW w:w="3395" w:type="dxa"/>
          </w:tcPr>
          <w:p w14:paraId="351D9805" w14:textId="7DED9033" w:rsidR="00671DBD" w:rsidRPr="00B02EC3" w:rsidRDefault="00671DBD" w:rsidP="00671DBD">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die Durchführung einer angemessenen Risikoanalyse bei der Verwendung von Cloud Anbietern sicherstellen</w:t>
            </w:r>
          </w:p>
          <w:p w14:paraId="4B5DBDA6" w14:textId="77777777" w:rsidR="00671DBD" w:rsidRPr="00B02EC3" w:rsidRDefault="00671DBD" w:rsidP="00671DBD">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sicherstellen, dass die Risikoanalyse bei der Verwendung von Cloud Anbietern regelmässig überprüft und neu durchgeführt wird</w:t>
            </w:r>
          </w:p>
          <w:p w14:paraId="66416E3B" w14:textId="77777777" w:rsidR="00671DBD" w:rsidRPr="00B02EC3" w:rsidRDefault="00671DBD" w:rsidP="00671DBD">
            <w:pPr>
              <w:pStyle w:val="Listenabsatz"/>
              <w:numPr>
                <w:ilvl w:val="1"/>
                <w:numId w:val="17"/>
              </w:numPr>
              <w:ind w:left="317" w:hanging="283"/>
              <w:jc w:val="both"/>
              <w:rPr>
                <w:rFonts w:cs="Arial"/>
                <w:i/>
                <w:szCs w:val="20"/>
                <w:highlight w:val="lightGray"/>
              </w:rPr>
            </w:pPr>
            <w:r w:rsidRPr="00B02EC3">
              <w:rPr>
                <w:rFonts w:cs="Arial"/>
                <w:i/>
                <w:szCs w:val="20"/>
                <w:highlight w:val="lightGray"/>
              </w:rPr>
              <w:t xml:space="preserve">Bestätigung, dass die internen Verfahren sicherstellen, dass ein angemessenes Schutzniveau und Massnahmen für die Vertraulichkeit von Daten, die Kontinuität ausgelagerter Tätigkeiten sowie die Integrität und Rückverfolgbarkeit von Daten und Systeme bei Cloud-Auslagerungen festgelegt werden. </w:t>
            </w:r>
          </w:p>
          <w:p w14:paraId="772EC0F8" w14:textId="6974A5DE" w:rsidR="00671DBD" w:rsidRPr="00B02EC3" w:rsidRDefault="00671DBD" w:rsidP="00671DBD">
            <w:pPr>
              <w:pStyle w:val="Listenabsatz"/>
              <w:numPr>
                <w:ilvl w:val="1"/>
                <w:numId w:val="17"/>
              </w:numPr>
              <w:ind w:left="317" w:hanging="283"/>
              <w:jc w:val="both"/>
              <w:rPr>
                <w:rFonts w:cs="Arial"/>
                <w:i/>
                <w:szCs w:val="20"/>
                <w:highlight w:val="lightGray"/>
              </w:rPr>
            </w:pPr>
            <w:r w:rsidRPr="00B02EC3">
              <w:rPr>
                <w:rFonts w:cs="Arial"/>
                <w:i/>
                <w:szCs w:val="20"/>
                <w:highlight w:val="lightGray"/>
              </w:rPr>
              <w:t>Bestätigung, dass die internen Verfahren die Rückführung und Verwendung der beim Cloud-Anbieter gespeicherten Daten uneingeschränkt gewährleisten</w:t>
            </w:r>
          </w:p>
          <w:p w14:paraId="57ADEDBE" w14:textId="77777777" w:rsidR="00671DBD" w:rsidRPr="00B02EC3" w:rsidRDefault="00671DBD" w:rsidP="00671DBD">
            <w:pPr>
              <w:pStyle w:val="Listenabsatz"/>
              <w:ind w:left="390"/>
              <w:jc w:val="both"/>
              <w:rPr>
                <w:rFonts w:cs="Arial"/>
                <w:i/>
                <w:szCs w:val="20"/>
                <w:highlight w:val="lightGray"/>
              </w:rPr>
            </w:pPr>
          </w:p>
        </w:tc>
      </w:tr>
      <w:bookmarkEnd w:id="71"/>
    </w:tbl>
    <w:p w14:paraId="45C75B37" w14:textId="77777777" w:rsidR="00671DBD" w:rsidRDefault="00671DBD" w:rsidP="00E33239">
      <w:pPr>
        <w:jc w:val="both"/>
      </w:pPr>
    </w:p>
    <w:p w14:paraId="02A282A7" w14:textId="77777777" w:rsidR="000C756C" w:rsidRPr="00276C60" w:rsidRDefault="000C756C" w:rsidP="000C756C">
      <w:pPr>
        <w:jc w:val="both"/>
        <w:rPr>
          <w:rFonts w:ascii="Arial" w:hAnsi="Arial" w:cs="Arial"/>
          <w:i/>
          <w:sz w:val="20"/>
          <w:szCs w:val="20"/>
        </w:rPr>
      </w:pPr>
      <w:r w:rsidRPr="00276C60">
        <w:rPr>
          <w:rFonts w:ascii="Arial" w:hAnsi="Arial" w:cs="Arial"/>
          <w:i/>
          <w:sz w:val="20"/>
          <w:szCs w:val="20"/>
          <w:highlight w:val="yellow"/>
        </w:rPr>
        <w:t>Text</w:t>
      </w:r>
    </w:p>
    <w:p w14:paraId="2F7B01EF" w14:textId="77777777" w:rsidR="000C756C" w:rsidRDefault="000C756C" w:rsidP="00E864F2">
      <w:pPr>
        <w:jc w:val="both"/>
      </w:pPr>
    </w:p>
    <w:p w14:paraId="1D05E952" w14:textId="77777777" w:rsidR="000C756C" w:rsidRDefault="000C756C" w:rsidP="00E864F2">
      <w:pPr>
        <w:jc w:val="both"/>
      </w:pPr>
    </w:p>
    <w:p w14:paraId="06D4C1D0" w14:textId="77777777" w:rsidR="008C30D1" w:rsidRDefault="008C30D1" w:rsidP="006F7AB5">
      <w:pPr>
        <w:pStyle w:val="FINMAGliederungEbene3"/>
      </w:pPr>
      <w:bookmarkStart w:id="72" w:name="_Toc147849924"/>
      <w:r>
        <w:t>Vergütungspolitik- und praxis</w:t>
      </w:r>
      <w:r w:rsidR="0003063F">
        <w:t xml:space="preserve"> (GOV-11)</w:t>
      </w:r>
      <w:bookmarkEnd w:id="72"/>
    </w:p>
    <w:p w14:paraId="2B1C05EE" w14:textId="77777777" w:rsidR="004A405F" w:rsidRDefault="004A405F"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4A405F" w:rsidRPr="009872F3" w14:paraId="75C70583" w14:textId="77777777" w:rsidTr="00776C82">
        <w:trPr>
          <w:trHeight w:val="563"/>
        </w:trPr>
        <w:tc>
          <w:tcPr>
            <w:tcW w:w="1932" w:type="dxa"/>
          </w:tcPr>
          <w:p w14:paraId="6D1C4C3B" w14:textId="77777777" w:rsidR="004A405F" w:rsidRPr="009872F3" w:rsidRDefault="004A405F" w:rsidP="00776C82">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71A56C4A" w14:textId="77777777" w:rsidR="004A405F" w:rsidRPr="009872F3" w:rsidRDefault="004A405F" w:rsidP="00776C82">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23852A2" w14:textId="77777777" w:rsidR="004A405F" w:rsidRPr="009872F3" w:rsidRDefault="004A405F" w:rsidP="00776C82">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A405F" w:rsidRPr="009872F3" w14:paraId="24834F32" w14:textId="77777777" w:rsidTr="00776C82">
        <w:trPr>
          <w:trHeight w:val="698"/>
        </w:trPr>
        <w:tc>
          <w:tcPr>
            <w:tcW w:w="1932" w:type="dxa"/>
          </w:tcPr>
          <w:p w14:paraId="6F2B6BBF" w14:textId="599EB58E" w:rsidR="004A405F" w:rsidRPr="006749F0" w:rsidRDefault="004A405F" w:rsidP="00776C82">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6FD173A6" w14:textId="77777777" w:rsidR="004A405F" w:rsidRPr="006749F0" w:rsidRDefault="004A405F" w:rsidP="00776C82">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14E8B7C" w14:textId="77777777" w:rsidR="004A405F" w:rsidRPr="009872F3" w:rsidRDefault="004A405F" w:rsidP="00776C82">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D49E857" w14:textId="77777777" w:rsidR="004A405F" w:rsidRDefault="004A405F" w:rsidP="00776C82">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276338B5" w14:textId="77777777" w:rsidR="004A405F" w:rsidRPr="006749F0" w:rsidRDefault="004A405F" w:rsidP="00776C82">
            <w:pPr>
              <w:jc w:val="both"/>
              <w:rPr>
                <w:rFonts w:ascii="Arial" w:hAnsi="Arial" w:cs="Arial"/>
                <w:i/>
                <w:sz w:val="18"/>
                <w:szCs w:val="18"/>
              </w:rPr>
            </w:pPr>
            <w:r w:rsidRPr="006749F0">
              <w:rPr>
                <w:rFonts w:ascii="Arial" w:hAnsi="Arial" w:cs="Arial"/>
                <w:i/>
                <w:sz w:val="18"/>
                <w:szCs w:val="18"/>
                <w:highlight w:val="yellow"/>
              </w:rPr>
              <w:t>Jahr</w:t>
            </w:r>
          </w:p>
        </w:tc>
      </w:tr>
      <w:tr w:rsidR="004A405F" w:rsidRPr="009872F3" w14:paraId="304327FC" w14:textId="77777777" w:rsidTr="00776C82">
        <w:trPr>
          <w:trHeight w:val="636"/>
        </w:trPr>
        <w:tc>
          <w:tcPr>
            <w:tcW w:w="9180" w:type="dxa"/>
            <w:gridSpan w:val="4"/>
          </w:tcPr>
          <w:p w14:paraId="5C820A07" w14:textId="77777777" w:rsidR="004A405F" w:rsidRDefault="004A405F" w:rsidP="00776C82">
            <w:pPr>
              <w:jc w:val="both"/>
              <w:rPr>
                <w:rFonts w:ascii="Arial" w:hAnsi="Arial" w:cs="Arial"/>
                <w:sz w:val="18"/>
                <w:szCs w:val="18"/>
              </w:rPr>
            </w:pPr>
          </w:p>
          <w:p w14:paraId="03C798B8" w14:textId="77777777" w:rsidR="004A405F" w:rsidRPr="00F60909" w:rsidRDefault="004A405F" w:rsidP="00776C82">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B3A8D15" w14:textId="36FFD3EA" w:rsidR="004A405F" w:rsidRPr="009872F3" w:rsidRDefault="004A405F" w:rsidP="00776C82">
            <w:pPr>
              <w:jc w:val="both"/>
              <w:rPr>
                <w:rFonts w:ascii="Arial" w:hAnsi="Arial" w:cs="Arial"/>
                <w:sz w:val="18"/>
                <w:szCs w:val="18"/>
              </w:rPr>
            </w:pPr>
            <w:r w:rsidRPr="00CB3EE6">
              <w:rPr>
                <w:rFonts w:ascii="Arial" w:hAnsi="Arial" w:cs="Arial"/>
                <w:sz w:val="18"/>
                <w:szCs w:val="18"/>
                <w:highlight w:val="yellow"/>
              </w:rPr>
              <w:t xml:space="preserve">Art. 7a Abs. 6 BankG; Art. 21c Abs. 3 BankV; Art. 21r BankV; Anhang 4.4 BankV; </w:t>
            </w:r>
            <w:r w:rsidR="00132670">
              <w:rPr>
                <w:rFonts w:ascii="Arial" w:hAnsi="Arial" w:cs="Arial"/>
                <w:sz w:val="18"/>
                <w:szCs w:val="18"/>
                <w:highlight w:val="yellow"/>
              </w:rPr>
              <w:t xml:space="preserve">EBA/GL/2021/04; </w:t>
            </w:r>
            <w:r w:rsidR="004F7B49">
              <w:rPr>
                <w:rFonts w:ascii="Arial" w:hAnsi="Arial" w:cs="Arial"/>
                <w:sz w:val="18"/>
                <w:szCs w:val="18"/>
                <w:highlight w:val="yellow"/>
              </w:rPr>
              <w:t xml:space="preserve">EBA/GL/2022/06; </w:t>
            </w:r>
            <w:r w:rsidR="00CC7808">
              <w:rPr>
                <w:rFonts w:ascii="Arial" w:hAnsi="Arial" w:cs="Arial"/>
                <w:sz w:val="18"/>
                <w:szCs w:val="18"/>
                <w:highlight w:val="yellow"/>
              </w:rPr>
              <w:t>EBA/GL/2022/08;</w:t>
            </w:r>
            <w:r w:rsidRPr="00CB3EE6">
              <w:rPr>
                <w:rFonts w:ascii="Arial" w:hAnsi="Arial" w:cs="Arial"/>
                <w:sz w:val="18"/>
                <w:szCs w:val="18"/>
                <w:highlight w:val="yellow"/>
              </w:rPr>
              <w:t xml:space="preserve"> </w:t>
            </w:r>
            <w:r w:rsidR="00D809D1" w:rsidRPr="00B037A6">
              <w:rPr>
                <w:rFonts w:ascii="Arial" w:hAnsi="Arial" w:cs="Arial"/>
                <w:sz w:val="18"/>
                <w:szCs w:val="18"/>
                <w:highlight w:val="yellow"/>
              </w:rPr>
              <w:t>EBA/GL/</w:t>
            </w:r>
            <w:r w:rsidR="00132670">
              <w:rPr>
                <w:rFonts w:ascii="Arial" w:hAnsi="Arial" w:cs="Arial"/>
                <w:sz w:val="18"/>
                <w:szCs w:val="18"/>
                <w:highlight w:val="yellow"/>
              </w:rPr>
              <w:t>2018/03</w:t>
            </w:r>
          </w:p>
        </w:tc>
      </w:tr>
      <w:tr w:rsidR="004A405F" w:rsidRPr="009872F3" w14:paraId="10517B26" w14:textId="77777777" w:rsidTr="00776C82">
        <w:trPr>
          <w:trHeight w:val="294"/>
        </w:trPr>
        <w:tc>
          <w:tcPr>
            <w:tcW w:w="9180" w:type="dxa"/>
            <w:gridSpan w:val="4"/>
          </w:tcPr>
          <w:p w14:paraId="1B61C1B8" w14:textId="77777777" w:rsidR="004A405F" w:rsidRPr="009872F3" w:rsidRDefault="004A405F" w:rsidP="00776C82">
            <w:pPr>
              <w:jc w:val="both"/>
              <w:rPr>
                <w:rFonts w:ascii="Arial" w:hAnsi="Arial" w:cs="Arial"/>
                <w:sz w:val="18"/>
                <w:szCs w:val="18"/>
              </w:rPr>
            </w:pPr>
          </w:p>
        </w:tc>
      </w:tr>
      <w:tr w:rsidR="004A405F" w:rsidRPr="009872F3" w14:paraId="0ABDDCAF" w14:textId="77777777" w:rsidTr="00776C82">
        <w:tc>
          <w:tcPr>
            <w:tcW w:w="5798" w:type="dxa"/>
            <w:gridSpan w:val="3"/>
          </w:tcPr>
          <w:p w14:paraId="20EE2956" w14:textId="77777777" w:rsidR="004A405F" w:rsidRPr="009872F3" w:rsidRDefault="004A405F" w:rsidP="008C6EEA">
            <w:pPr>
              <w:jc w:val="both"/>
              <w:rPr>
                <w:rFonts w:ascii="Arial" w:hAnsi="Arial" w:cs="Arial"/>
                <w:sz w:val="18"/>
                <w:szCs w:val="18"/>
              </w:rPr>
            </w:pPr>
            <w:r>
              <w:rPr>
                <w:rFonts w:ascii="Arial" w:hAnsi="Arial" w:cs="Arial"/>
                <w:sz w:val="18"/>
                <w:szCs w:val="18"/>
              </w:rPr>
              <w:t>Bestätigung, dass die internen Verfahren sicherstellen, dass die Vergütungspolitik sowie die Vergütungspraxis gesetzeskonform ausge</w:t>
            </w:r>
            <w:r w:rsidR="008C6EEA">
              <w:rPr>
                <w:rFonts w:ascii="Arial" w:hAnsi="Arial" w:cs="Arial"/>
                <w:sz w:val="18"/>
                <w:szCs w:val="18"/>
              </w:rPr>
              <w:t>staltet sind</w:t>
            </w:r>
            <w:r>
              <w:rPr>
                <w:rFonts w:ascii="Arial" w:hAnsi="Arial" w:cs="Arial"/>
                <w:sz w:val="18"/>
                <w:szCs w:val="18"/>
              </w:rPr>
              <w:t xml:space="preserve">. </w:t>
            </w:r>
          </w:p>
        </w:tc>
        <w:tc>
          <w:tcPr>
            <w:tcW w:w="3382" w:type="dxa"/>
          </w:tcPr>
          <w:p w14:paraId="6BB49B7C" w14:textId="77777777" w:rsidR="004A405F" w:rsidRPr="00E109DF" w:rsidRDefault="004A405F" w:rsidP="00776C82">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A405F" w:rsidRPr="009872F3" w14:paraId="1665E028" w14:textId="77777777" w:rsidTr="00776C82">
        <w:tc>
          <w:tcPr>
            <w:tcW w:w="5798" w:type="dxa"/>
            <w:gridSpan w:val="3"/>
          </w:tcPr>
          <w:p w14:paraId="30C7EA23" w14:textId="77777777" w:rsidR="004A405F" w:rsidRDefault="004A405F" w:rsidP="00776C82">
            <w:pPr>
              <w:jc w:val="both"/>
              <w:rPr>
                <w:rFonts w:ascii="Arial" w:hAnsi="Arial" w:cs="Arial"/>
                <w:sz w:val="18"/>
                <w:szCs w:val="18"/>
              </w:rPr>
            </w:pPr>
            <w:r>
              <w:rPr>
                <w:rFonts w:ascii="Arial" w:hAnsi="Arial" w:cs="Arial"/>
                <w:sz w:val="18"/>
                <w:szCs w:val="18"/>
              </w:rPr>
              <w:t>Bestätigung, dass die internen Verfahren gewährleisten, dass das Vergütungssystem keine Anreize zum Eingehen überhöhter Risiken beinhaltet</w:t>
            </w:r>
          </w:p>
        </w:tc>
        <w:tc>
          <w:tcPr>
            <w:tcW w:w="3382" w:type="dxa"/>
          </w:tcPr>
          <w:p w14:paraId="006DFBEA" w14:textId="77777777" w:rsidR="004A405F" w:rsidRPr="00E109DF" w:rsidRDefault="004A405F"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1E3453" w:rsidRPr="009872F3" w14:paraId="1A6844E6" w14:textId="77777777" w:rsidTr="003F2BF8">
        <w:tc>
          <w:tcPr>
            <w:tcW w:w="5798" w:type="dxa"/>
            <w:gridSpan w:val="3"/>
          </w:tcPr>
          <w:p w14:paraId="5D550F16" w14:textId="77777777" w:rsidR="001E3453" w:rsidRDefault="001E3453" w:rsidP="003F2BF8">
            <w:pPr>
              <w:jc w:val="both"/>
              <w:rPr>
                <w:rFonts w:ascii="Arial" w:hAnsi="Arial" w:cs="Arial"/>
                <w:sz w:val="18"/>
                <w:szCs w:val="18"/>
              </w:rPr>
            </w:pPr>
            <w:r>
              <w:rPr>
                <w:rFonts w:ascii="Arial" w:hAnsi="Arial" w:cs="Arial"/>
                <w:sz w:val="18"/>
                <w:szCs w:val="18"/>
              </w:rPr>
              <w:t xml:space="preserve">Bestätigung, dass die internen Verfahren Massnahmen zur Vermeidung von Interessenskonflikten (insb. hinsichtlich der Entschädigung von Kontrollfunktionen wie Compliance, Interne Revision und Risikomanagement) sicherstellen. </w:t>
            </w:r>
          </w:p>
        </w:tc>
        <w:tc>
          <w:tcPr>
            <w:tcW w:w="3382" w:type="dxa"/>
          </w:tcPr>
          <w:p w14:paraId="233098F2" w14:textId="77777777" w:rsidR="001E3453" w:rsidRPr="00E109DF" w:rsidRDefault="001E3453" w:rsidP="003F2BF8">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 </w:t>
            </w:r>
          </w:p>
        </w:tc>
      </w:tr>
      <w:tr w:rsidR="004A405F" w:rsidRPr="009872F3" w14:paraId="313632C0" w14:textId="77777777" w:rsidTr="00776C82">
        <w:tc>
          <w:tcPr>
            <w:tcW w:w="5798" w:type="dxa"/>
            <w:gridSpan w:val="3"/>
          </w:tcPr>
          <w:p w14:paraId="2D27DBE3" w14:textId="77777777" w:rsidR="004A405F" w:rsidRDefault="004A405F" w:rsidP="00776C82">
            <w:pPr>
              <w:jc w:val="both"/>
              <w:rPr>
                <w:rFonts w:ascii="Arial" w:hAnsi="Arial" w:cs="Arial"/>
                <w:sz w:val="18"/>
                <w:szCs w:val="18"/>
              </w:rPr>
            </w:pPr>
            <w:r>
              <w:rPr>
                <w:rFonts w:ascii="Arial" w:hAnsi="Arial" w:cs="Arial"/>
                <w:sz w:val="18"/>
                <w:szCs w:val="18"/>
              </w:rPr>
              <w:t>Bestätigung, dass die internen Verfahren die korrekte Identifizierung der „Risk Takers“ sicherstellen</w:t>
            </w:r>
          </w:p>
        </w:tc>
        <w:tc>
          <w:tcPr>
            <w:tcW w:w="3382" w:type="dxa"/>
          </w:tcPr>
          <w:p w14:paraId="6D2B4D02" w14:textId="77777777" w:rsidR="004A405F" w:rsidRPr="00E109DF" w:rsidRDefault="004A405F"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A405F" w:rsidRPr="009872F3" w14:paraId="1FFEBF3C" w14:textId="77777777" w:rsidTr="00776C82">
        <w:tc>
          <w:tcPr>
            <w:tcW w:w="5798" w:type="dxa"/>
            <w:gridSpan w:val="3"/>
          </w:tcPr>
          <w:p w14:paraId="0745AE52" w14:textId="77777777" w:rsidR="004A405F" w:rsidRDefault="004A405F" w:rsidP="00776C82">
            <w:pPr>
              <w:jc w:val="both"/>
              <w:rPr>
                <w:rFonts w:ascii="Arial" w:hAnsi="Arial" w:cs="Arial"/>
                <w:sz w:val="18"/>
                <w:szCs w:val="18"/>
              </w:rPr>
            </w:pPr>
            <w:r>
              <w:rPr>
                <w:rFonts w:ascii="Arial" w:hAnsi="Arial" w:cs="Arial"/>
                <w:sz w:val="18"/>
                <w:szCs w:val="18"/>
              </w:rPr>
              <w:t xml:space="preserve">Bestätigung, dass die internen Verfahren ein angemessenes Verhältnis zwischen fixer und variabler Vergütung </w:t>
            </w:r>
            <w:r w:rsidR="00B90132">
              <w:rPr>
                <w:rFonts w:ascii="Arial" w:hAnsi="Arial" w:cs="Arial"/>
                <w:sz w:val="18"/>
                <w:szCs w:val="18"/>
              </w:rPr>
              <w:t xml:space="preserve">bei Mitgliedern des Verwaltungsrats, der Geschäftsleitung und sonstigen Mitarbeitern insb. Inhabern von Schlüsselfunktionen </w:t>
            </w:r>
            <w:r>
              <w:rPr>
                <w:rFonts w:ascii="Arial" w:hAnsi="Arial" w:cs="Arial"/>
                <w:sz w:val="18"/>
                <w:szCs w:val="18"/>
              </w:rPr>
              <w:t xml:space="preserve">sicherstellen. </w:t>
            </w:r>
          </w:p>
        </w:tc>
        <w:tc>
          <w:tcPr>
            <w:tcW w:w="3382" w:type="dxa"/>
          </w:tcPr>
          <w:p w14:paraId="173D269B" w14:textId="77777777" w:rsidR="004A405F" w:rsidRPr="00E109DF" w:rsidRDefault="004A405F"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3639B0" w:rsidRPr="009872F3" w14:paraId="433D57DA" w14:textId="77777777" w:rsidTr="00776C82">
        <w:tc>
          <w:tcPr>
            <w:tcW w:w="5798" w:type="dxa"/>
            <w:gridSpan w:val="3"/>
          </w:tcPr>
          <w:p w14:paraId="0AFB19BF" w14:textId="395F5340" w:rsidR="003639B0" w:rsidRDefault="003639B0" w:rsidP="00776C82">
            <w:pPr>
              <w:jc w:val="both"/>
              <w:rPr>
                <w:rFonts w:ascii="Arial" w:hAnsi="Arial" w:cs="Arial"/>
                <w:sz w:val="18"/>
                <w:szCs w:val="18"/>
              </w:rPr>
            </w:pPr>
            <w:r>
              <w:rPr>
                <w:rFonts w:ascii="Arial" w:hAnsi="Arial" w:cs="Arial"/>
                <w:sz w:val="18"/>
                <w:szCs w:val="18"/>
              </w:rPr>
              <w:t>Bestätigung, dass die internen Verfahren die angemessene Einhaltung der Zurückbehaltungsregeln von Teilen der variablen Vergütung sicherstellen.</w:t>
            </w:r>
          </w:p>
        </w:tc>
        <w:tc>
          <w:tcPr>
            <w:tcW w:w="3382" w:type="dxa"/>
          </w:tcPr>
          <w:p w14:paraId="5E1769A9" w14:textId="77777777" w:rsidR="003639B0" w:rsidRPr="00E109DF" w:rsidRDefault="003639B0"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4A405F" w:rsidRPr="009872F3" w14:paraId="1D6E35FB" w14:textId="77777777" w:rsidTr="00776C82">
        <w:tc>
          <w:tcPr>
            <w:tcW w:w="5798" w:type="dxa"/>
            <w:gridSpan w:val="3"/>
          </w:tcPr>
          <w:p w14:paraId="23602FC5" w14:textId="77777777" w:rsidR="004A405F" w:rsidRDefault="001E3453" w:rsidP="00776C82">
            <w:pPr>
              <w:jc w:val="both"/>
              <w:rPr>
                <w:rFonts w:ascii="Arial" w:hAnsi="Arial" w:cs="Arial"/>
                <w:sz w:val="18"/>
                <w:szCs w:val="18"/>
              </w:rPr>
            </w:pPr>
            <w:r>
              <w:rPr>
                <w:rFonts w:ascii="Arial" w:hAnsi="Arial" w:cs="Arial"/>
                <w:sz w:val="18"/>
                <w:szCs w:val="18"/>
              </w:rPr>
              <w:t xml:space="preserve">Bestätigung, dass die internen Verfahren sicherstellen, dass die Erfolgsmessung für die variable Vergütung alle Arten von </w:t>
            </w:r>
            <w:r w:rsidR="00243B63">
              <w:rPr>
                <w:rFonts w:ascii="Arial" w:hAnsi="Arial" w:cs="Arial"/>
                <w:sz w:val="18"/>
                <w:szCs w:val="18"/>
              </w:rPr>
              <w:t xml:space="preserve">wesentlichen </w:t>
            </w:r>
            <w:r>
              <w:rPr>
                <w:rFonts w:ascii="Arial" w:hAnsi="Arial" w:cs="Arial"/>
                <w:sz w:val="18"/>
                <w:szCs w:val="18"/>
              </w:rPr>
              <w:t xml:space="preserve">laufenden und künftigen Risiken, die Kapitalkosten und die erforderlichen Liquidität mitberücksichtigt. </w:t>
            </w:r>
          </w:p>
        </w:tc>
        <w:tc>
          <w:tcPr>
            <w:tcW w:w="3382" w:type="dxa"/>
          </w:tcPr>
          <w:p w14:paraId="3C156FC9" w14:textId="77777777" w:rsidR="004A405F" w:rsidRPr="00E109DF" w:rsidRDefault="001E3453"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819AE5C" w14:textId="77777777" w:rsidR="004A405F" w:rsidRDefault="004A405F" w:rsidP="004A405F">
      <w:pPr>
        <w:jc w:val="both"/>
      </w:pPr>
    </w:p>
    <w:tbl>
      <w:tblPr>
        <w:tblStyle w:val="Tabellenraster"/>
        <w:tblW w:w="0" w:type="auto"/>
        <w:tblLook w:val="04A0" w:firstRow="1" w:lastRow="0" w:firstColumn="1" w:lastColumn="0" w:noHBand="0" w:noVBand="1"/>
      </w:tblPr>
      <w:tblGrid>
        <w:gridCol w:w="2660"/>
        <w:gridCol w:w="6520"/>
      </w:tblGrid>
      <w:tr w:rsidR="004A405F" w:rsidRPr="00CE3194" w14:paraId="01F01991" w14:textId="77777777" w:rsidTr="00776C82">
        <w:tc>
          <w:tcPr>
            <w:tcW w:w="2660" w:type="dxa"/>
          </w:tcPr>
          <w:p w14:paraId="7C42C088" w14:textId="77777777" w:rsidR="004A405F" w:rsidRPr="00CE3194" w:rsidRDefault="004A405F" w:rsidP="00776C82">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27E11BB1" w14:textId="77777777" w:rsidR="004A405F" w:rsidRPr="00CE3194" w:rsidRDefault="004A405F" w:rsidP="00776C82">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4A405F" w:rsidRPr="00CE3194" w14:paraId="2CF162BD" w14:textId="77777777" w:rsidTr="00776C82">
        <w:tc>
          <w:tcPr>
            <w:tcW w:w="2660" w:type="dxa"/>
          </w:tcPr>
          <w:p w14:paraId="73116EFE" w14:textId="77777777" w:rsidR="004A405F" w:rsidRDefault="004A405F" w:rsidP="00776C82">
            <w:pPr>
              <w:jc w:val="both"/>
              <w:rPr>
                <w:rFonts w:ascii="Arial" w:hAnsi="Arial" w:cs="Arial"/>
                <w:i/>
                <w:sz w:val="20"/>
                <w:szCs w:val="20"/>
                <w:highlight w:val="lightGray"/>
              </w:rPr>
            </w:pPr>
            <w:r>
              <w:rPr>
                <w:rFonts w:ascii="Arial" w:hAnsi="Arial" w:cs="Arial"/>
                <w:i/>
                <w:sz w:val="20"/>
                <w:szCs w:val="20"/>
                <w:highlight w:val="lightGray"/>
              </w:rPr>
              <w:t>Ausgestaltung der Vergütungspolitik</w:t>
            </w:r>
          </w:p>
        </w:tc>
        <w:tc>
          <w:tcPr>
            <w:tcW w:w="6520" w:type="dxa"/>
          </w:tcPr>
          <w:p w14:paraId="7EDC03A1" w14:textId="77777777" w:rsidR="00F151AE" w:rsidRPr="00F151AE" w:rsidRDefault="00F151AE" w:rsidP="00F151AE">
            <w:pPr>
              <w:pStyle w:val="Listenabsatz"/>
              <w:numPr>
                <w:ilvl w:val="1"/>
                <w:numId w:val="17"/>
              </w:numPr>
              <w:ind w:left="317" w:hanging="283"/>
              <w:jc w:val="both"/>
              <w:rPr>
                <w:rFonts w:cs="Arial"/>
                <w:i/>
                <w:szCs w:val="20"/>
                <w:highlight w:val="lightGray"/>
              </w:rPr>
            </w:pPr>
            <w:r>
              <w:rPr>
                <w:rFonts w:cs="Arial"/>
                <w:i/>
                <w:szCs w:val="20"/>
                <w:highlight w:val="lightGray"/>
              </w:rPr>
              <w:t xml:space="preserve">Die Vergütungspolitik wurde angemessen genehmigt und dokumentiert. </w:t>
            </w:r>
          </w:p>
          <w:p w14:paraId="3D627531" w14:textId="43310A28" w:rsidR="00B90132" w:rsidRDefault="00F151AE" w:rsidP="00F151AE">
            <w:pPr>
              <w:pStyle w:val="Listenabsatz"/>
              <w:numPr>
                <w:ilvl w:val="1"/>
                <w:numId w:val="17"/>
              </w:numPr>
              <w:ind w:left="317" w:hanging="283"/>
              <w:jc w:val="both"/>
              <w:rPr>
                <w:rFonts w:cs="Arial"/>
                <w:i/>
                <w:szCs w:val="20"/>
                <w:highlight w:val="lightGray"/>
              </w:rPr>
            </w:pPr>
            <w:r>
              <w:rPr>
                <w:rFonts w:cs="Arial"/>
                <w:i/>
                <w:szCs w:val="20"/>
                <w:highlight w:val="lightGray"/>
              </w:rPr>
              <w:t xml:space="preserve">Die Vergütungspolitik ist gesetzeskonform und verhältnismässig ausgestaltet, insb. im Einklang mit dem Risikoappetit, der Geschäftsstrategie und den langfristigen Interessen der </w:t>
            </w:r>
            <w:r w:rsidR="00381E36">
              <w:rPr>
                <w:rFonts w:cs="Arial"/>
                <w:i/>
                <w:szCs w:val="20"/>
                <w:highlight w:val="lightGray"/>
              </w:rPr>
              <w:t xml:space="preserve">Bank/Wertpapierfirma bzw. </w:t>
            </w:r>
            <w:r w:rsidR="00381E36" w:rsidRPr="00CE3194">
              <w:rPr>
                <w:rFonts w:cs="Arial"/>
                <w:i/>
                <w:szCs w:val="20"/>
                <w:highlight w:val="lightGray"/>
              </w:rPr>
              <w:t>der Gruppe</w:t>
            </w:r>
            <w:r w:rsidR="00381E36" w:rsidDel="00381E36">
              <w:rPr>
                <w:rFonts w:cs="Arial"/>
                <w:i/>
                <w:szCs w:val="20"/>
                <w:highlight w:val="lightGray"/>
              </w:rPr>
              <w:t xml:space="preserve"> </w:t>
            </w:r>
            <w:r w:rsidR="00B90132">
              <w:rPr>
                <w:rFonts w:cs="Arial"/>
                <w:i/>
                <w:szCs w:val="20"/>
                <w:highlight w:val="lightGray"/>
              </w:rPr>
              <w:t xml:space="preserve">Die Vergütungspolitik umfasst die Vergütung zu sämtlichen Mitarbeitern der </w:t>
            </w:r>
            <w:r w:rsidR="00381E36">
              <w:rPr>
                <w:rFonts w:cs="Arial"/>
                <w:i/>
                <w:szCs w:val="20"/>
                <w:highlight w:val="lightGray"/>
              </w:rPr>
              <w:t xml:space="preserve">Bank/Wertpapierfirma bzw. </w:t>
            </w:r>
            <w:r w:rsidR="00381E36" w:rsidRPr="00CE3194">
              <w:rPr>
                <w:rFonts w:cs="Arial"/>
                <w:i/>
                <w:szCs w:val="20"/>
                <w:highlight w:val="lightGray"/>
              </w:rPr>
              <w:t>der Gruppe</w:t>
            </w:r>
          </w:p>
          <w:p w14:paraId="0536A096" w14:textId="77777777" w:rsidR="00B90132" w:rsidRPr="00F151AE" w:rsidRDefault="00B90132" w:rsidP="00F151AE">
            <w:pPr>
              <w:pStyle w:val="Listenabsatz"/>
              <w:numPr>
                <w:ilvl w:val="1"/>
                <w:numId w:val="17"/>
              </w:numPr>
              <w:ind w:left="317" w:hanging="283"/>
              <w:jc w:val="both"/>
              <w:rPr>
                <w:rFonts w:cs="Arial"/>
                <w:i/>
                <w:szCs w:val="20"/>
                <w:highlight w:val="lightGray"/>
              </w:rPr>
            </w:pPr>
            <w:r>
              <w:rPr>
                <w:rFonts w:cs="Arial"/>
                <w:i/>
                <w:szCs w:val="20"/>
                <w:highlight w:val="lightGray"/>
              </w:rPr>
              <w:t>Die Vergütungspolitik umfasst sämtliche Arten und Verfahren von Vergütungsmethoden und Auszahlungen</w:t>
            </w:r>
          </w:p>
          <w:p w14:paraId="1BBB4E6C" w14:textId="77777777" w:rsidR="004A405F" w:rsidRDefault="00F151AE" w:rsidP="00776C82">
            <w:pPr>
              <w:pStyle w:val="Listenabsatz"/>
              <w:numPr>
                <w:ilvl w:val="1"/>
                <w:numId w:val="17"/>
              </w:numPr>
              <w:ind w:left="317" w:hanging="283"/>
              <w:jc w:val="both"/>
              <w:rPr>
                <w:rFonts w:cs="Arial"/>
                <w:i/>
                <w:szCs w:val="20"/>
                <w:highlight w:val="lightGray"/>
              </w:rPr>
            </w:pPr>
            <w:r>
              <w:rPr>
                <w:rFonts w:cs="Arial"/>
                <w:i/>
                <w:szCs w:val="20"/>
                <w:highlight w:val="lightGray"/>
              </w:rPr>
              <w:t>Das Vergütungssystem beinhaltet keine Anreize zum Eingehen überhöhter Risiken</w:t>
            </w:r>
          </w:p>
          <w:p w14:paraId="7BBC33FC" w14:textId="77777777" w:rsidR="00B90132" w:rsidRDefault="00F151AE" w:rsidP="00CB3EE6">
            <w:pPr>
              <w:pStyle w:val="Listenabsatz"/>
              <w:numPr>
                <w:ilvl w:val="1"/>
                <w:numId w:val="17"/>
              </w:numPr>
              <w:ind w:left="317" w:hanging="283"/>
              <w:jc w:val="both"/>
              <w:rPr>
                <w:rFonts w:cs="Arial"/>
                <w:i/>
                <w:szCs w:val="20"/>
                <w:highlight w:val="lightGray"/>
              </w:rPr>
            </w:pPr>
            <w:r>
              <w:rPr>
                <w:rFonts w:cs="Arial"/>
                <w:i/>
                <w:szCs w:val="20"/>
                <w:highlight w:val="lightGray"/>
              </w:rPr>
              <w:t>Die Vergütungspolitik beinhaltet Massnahmen zur Vermeidung von Interessenskonflikten (</w:t>
            </w:r>
            <w:r w:rsidRPr="00F151AE">
              <w:rPr>
                <w:rFonts w:cs="Arial"/>
                <w:i/>
                <w:szCs w:val="20"/>
                <w:highlight w:val="lightGray"/>
              </w:rPr>
              <w:t>insb. hinsichtlich der Entschädigung von Kontrollfunktionen wie Compliance, Interne Revision und Risik</w:t>
            </w:r>
            <w:r w:rsidRPr="003639B0">
              <w:rPr>
                <w:rFonts w:cs="Arial"/>
                <w:i/>
                <w:szCs w:val="20"/>
                <w:highlight w:val="lightGray"/>
              </w:rPr>
              <w:t>o</w:t>
            </w:r>
            <w:r w:rsidRPr="00F151AE">
              <w:rPr>
                <w:rFonts w:cs="Arial"/>
                <w:i/>
                <w:szCs w:val="20"/>
                <w:highlight w:val="lightGray"/>
              </w:rPr>
              <w:t>management)</w:t>
            </w:r>
          </w:p>
          <w:p w14:paraId="7E2357EF" w14:textId="1E6C1443" w:rsidR="00B90132" w:rsidRPr="00B90132" w:rsidRDefault="00B90132" w:rsidP="00CB3EE6">
            <w:pPr>
              <w:pStyle w:val="Listenabsatz"/>
              <w:numPr>
                <w:ilvl w:val="1"/>
                <w:numId w:val="17"/>
              </w:numPr>
              <w:ind w:left="317" w:hanging="283"/>
              <w:jc w:val="both"/>
              <w:rPr>
                <w:rFonts w:cs="Arial"/>
                <w:i/>
                <w:szCs w:val="20"/>
                <w:highlight w:val="lightGray"/>
              </w:rPr>
            </w:pPr>
            <w:r>
              <w:rPr>
                <w:rFonts w:cs="Arial"/>
                <w:i/>
                <w:szCs w:val="20"/>
                <w:highlight w:val="lightGray"/>
              </w:rPr>
              <w:t xml:space="preserve">Die Vergütung der Mitglieder der Geschäftsleitung und der Leiter des Risikomanagements und Compliance wird vom Verwaltungsrat </w:t>
            </w:r>
            <w:r w:rsidR="00CC7808">
              <w:rPr>
                <w:rFonts w:cs="Arial"/>
                <w:i/>
                <w:szCs w:val="20"/>
                <w:highlight w:val="lightGray"/>
              </w:rPr>
              <w:t xml:space="preserve">resp. Vergütungsausschuss </w:t>
            </w:r>
            <w:r>
              <w:rPr>
                <w:rFonts w:cs="Arial"/>
                <w:i/>
                <w:szCs w:val="20"/>
                <w:highlight w:val="lightGray"/>
              </w:rPr>
              <w:t xml:space="preserve">unmittelbar überprüft. </w:t>
            </w:r>
          </w:p>
        </w:tc>
      </w:tr>
      <w:tr w:rsidR="00AB193D" w:rsidRPr="00CE3194" w14:paraId="4C14109D" w14:textId="77777777" w:rsidTr="00776C82">
        <w:tc>
          <w:tcPr>
            <w:tcW w:w="2660" w:type="dxa"/>
          </w:tcPr>
          <w:p w14:paraId="4365AA54" w14:textId="77777777" w:rsidR="00AB193D" w:rsidRDefault="00AB193D" w:rsidP="00776C82">
            <w:pPr>
              <w:jc w:val="both"/>
              <w:rPr>
                <w:rFonts w:ascii="Arial" w:hAnsi="Arial" w:cs="Arial"/>
                <w:i/>
                <w:sz w:val="20"/>
                <w:szCs w:val="20"/>
                <w:highlight w:val="lightGray"/>
              </w:rPr>
            </w:pPr>
            <w:r>
              <w:rPr>
                <w:rFonts w:ascii="Arial" w:hAnsi="Arial" w:cs="Arial"/>
                <w:i/>
                <w:sz w:val="20"/>
                <w:szCs w:val="20"/>
                <w:highlight w:val="lightGray"/>
              </w:rPr>
              <w:lastRenderedPageBreak/>
              <w:t>Ausgestaltung der Vergütungspraxis insb. hinsichtlich variabler Vergütung</w:t>
            </w:r>
          </w:p>
        </w:tc>
        <w:tc>
          <w:tcPr>
            <w:tcW w:w="6520" w:type="dxa"/>
          </w:tcPr>
          <w:p w14:paraId="2E441ECD" w14:textId="77777777" w:rsidR="00AB193D" w:rsidRDefault="00AB193D" w:rsidP="00B90132">
            <w:pPr>
              <w:pStyle w:val="Listenabsatz"/>
              <w:numPr>
                <w:ilvl w:val="1"/>
                <w:numId w:val="17"/>
              </w:numPr>
              <w:ind w:left="317" w:hanging="283"/>
              <w:jc w:val="both"/>
              <w:rPr>
                <w:rFonts w:cs="Arial"/>
                <w:i/>
                <w:szCs w:val="20"/>
                <w:highlight w:val="lightGray"/>
              </w:rPr>
            </w:pPr>
            <w:r>
              <w:rPr>
                <w:rFonts w:cs="Arial"/>
                <w:i/>
                <w:szCs w:val="20"/>
                <w:highlight w:val="lightGray"/>
              </w:rPr>
              <w:t>Die Vergütungspraxis ist gesetzeskonform und verhältnismässig ausgestaltet, insb. im Einklang mit dem Risikoappetit, der Geschäftsstrategie und den langfristigen Interessen der Bank oder Wertpapierfirma / Gruppe</w:t>
            </w:r>
          </w:p>
          <w:p w14:paraId="065E607D" w14:textId="77777777" w:rsidR="00AB193D" w:rsidRDefault="00AB193D" w:rsidP="00AB193D">
            <w:pPr>
              <w:pStyle w:val="Listenabsatz"/>
              <w:numPr>
                <w:ilvl w:val="1"/>
                <w:numId w:val="17"/>
              </w:numPr>
              <w:ind w:left="317" w:hanging="283"/>
              <w:jc w:val="both"/>
              <w:rPr>
                <w:rFonts w:cs="Arial"/>
                <w:i/>
                <w:szCs w:val="20"/>
                <w:highlight w:val="lightGray"/>
              </w:rPr>
            </w:pPr>
            <w:r>
              <w:rPr>
                <w:rFonts w:cs="Arial"/>
                <w:i/>
                <w:szCs w:val="20"/>
                <w:highlight w:val="lightGray"/>
              </w:rPr>
              <w:t>Das Verhältnis zwischen variabler und fixer Vergütung bei Mitgliedern des Verwaltungsrats, der Geschäftsleitung und sonstigen Mitarbeitern insb. Inhabern von Schlüsselfunktionen ist angemessen.</w:t>
            </w:r>
          </w:p>
          <w:p w14:paraId="6DA84FDC" w14:textId="5B234280" w:rsidR="00AB193D" w:rsidRDefault="00AB193D" w:rsidP="00AB193D">
            <w:pPr>
              <w:pStyle w:val="Listenabsatz"/>
              <w:numPr>
                <w:ilvl w:val="1"/>
                <w:numId w:val="17"/>
              </w:numPr>
              <w:ind w:left="317" w:hanging="283"/>
              <w:jc w:val="both"/>
              <w:rPr>
                <w:rFonts w:cs="Arial"/>
                <w:i/>
                <w:szCs w:val="20"/>
                <w:highlight w:val="lightGray"/>
              </w:rPr>
            </w:pPr>
            <w:r>
              <w:rPr>
                <w:rFonts w:cs="Arial"/>
                <w:i/>
                <w:szCs w:val="20"/>
                <w:highlight w:val="lightGray"/>
              </w:rPr>
              <w:t>Die variable Vergütung wird in Instrumenten oder anhand von Verfahren ausgezahlt, welche die grundsätzliche Vergütungspolitik nicht unterlaufen</w:t>
            </w:r>
            <w:r w:rsidR="00CC7808">
              <w:rPr>
                <w:rFonts w:cs="Arial"/>
                <w:i/>
                <w:szCs w:val="20"/>
                <w:highlight w:val="lightGray"/>
              </w:rPr>
              <w:t xml:space="preserve"> und den regulatorischen Bestimmungen entspricht</w:t>
            </w:r>
            <w:r>
              <w:rPr>
                <w:rFonts w:cs="Arial"/>
                <w:i/>
                <w:szCs w:val="20"/>
                <w:highlight w:val="lightGray"/>
              </w:rPr>
              <w:t xml:space="preserve">. </w:t>
            </w:r>
          </w:p>
          <w:p w14:paraId="6D0C8A74" w14:textId="77777777" w:rsidR="00AB193D" w:rsidRDefault="00AB193D" w:rsidP="00AB193D">
            <w:pPr>
              <w:pStyle w:val="Listenabsatz"/>
              <w:numPr>
                <w:ilvl w:val="1"/>
                <w:numId w:val="17"/>
              </w:numPr>
              <w:ind w:left="317" w:hanging="283"/>
              <w:jc w:val="both"/>
              <w:rPr>
                <w:rFonts w:cs="Arial"/>
                <w:i/>
                <w:szCs w:val="20"/>
                <w:highlight w:val="lightGray"/>
              </w:rPr>
            </w:pPr>
            <w:r w:rsidRPr="0001624A">
              <w:rPr>
                <w:rFonts w:cs="Arial"/>
                <w:i/>
                <w:szCs w:val="20"/>
                <w:highlight w:val="lightGray"/>
              </w:rPr>
              <w:t>Die Erfolgsmessung, anhand derer variable Vergütungskomponenten oder Pools von variablen Vergütungskomponenten berechnet werden, schliesst die Berichtigung für alle Arten von laufenden und künftigen Risiken ein und trägt den Kapitalkosten und der erforderlichen Liquidität Rechnung</w:t>
            </w:r>
          </w:p>
          <w:p w14:paraId="152874C3" w14:textId="190982E3" w:rsidR="00AB193D" w:rsidRDefault="00AB193D" w:rsidP="00AB193D">
            <w:pPr>
              <w:pStyle w:val="Listenabsatz"/>
              <w:numPr>
                <w:ilvl w:val="1"/>
                <w:numId w:val="17"/>
              </w:numPr>
              <w:ind w:left="317" w:hanging="283"/>
              <w:jc w:val="both"/>
              <w:rPr>
                <w:rFonts w:cs="Arial"/>
                <w:i/>
                <w:szCs w:val="20"/>
                <w:highlight w:val="lightGray"/>
              </w:rPr>
            </w:pPr>
            <w:r>
              <w:rPr>
                <w:rFonts w:cs="Arial"/>
                <w:i/>
                <w:szCs w:val="20"/>
                <w:highlight w:val="lightGray"/>
              </w:rPr>
              <w:t>Die Zurückbehaltungsregeln von Teilen der variablen Vergütung</w:t>
            </w:r>
            <w:r w:rsidR="00CC7808">
              <w:rPr>
                <w:rFonts w:cs="Arial"/>
                <w:i/>
                <w:szCs w:val="20"/>
                <w:highlight w:val="lightGray"/>
              </w:rPr>
              <w:t xml:space="preserve"> gemäss regulatorischer Grundlagen</w:t>
            </w:r>
            <w:r>
              <w:rPr>
                <w:rFonts w:cs="Arial"/>
                <w:i/>
                <w:szCs w:val="20"/>
                <w:highlight w:val="lightGray"/>
              </w:rPr>
              <w:t xml:space="preserve"> werden angemessen eingehalten</w:t>
            </w:r>
          </w:p>
        </w:tc>
      </w:tr>
      <w:tr w:rsidR="004A405F" w:rsidRPr="00CE3194" w14:paraId="4B4515FE" w14:textId="77777777" w:rsidTr="00776C82">
        <w:tc>
          <w:tcPr>
            <w:tcW w:w="2660" w:type="dxa"/>
          </w:tcPr>
          <w:p w14:paraId="38CE4495" w14:textId="77777777" w:rsidR="004A405F" w:rsidRDefault="004A405F" w:rsidP="00776C82">
            <w:pPr>
              <w:jc w:val="both"/>
              <w:rPr>
                <w:rFonts w:ascii="Arial" w:hAnsi="Arial" w:cs="Arial"/>
                <w:i/>
                <w:sz w:val="20"/>
                <w:szCs w:val="20"/>
                <w:highlight w:val="lightGray"/>
              </w:rPr>
            </w:pPr>
            <w:r>
              <w:rPr>
                <w:rFonts w:ascii="Arial" w:hAnsi="Arial" w:cs="Arial"/>
                <w:i/>
                <w:sz w:val="20"/>
                <w:szCs w:val="20"/>
                <w:highlight w:val="lightGray"/>
              </w:rPr>
              <w:t>Identifikationsverfahren</w:t>
            </w:r>
          </w:p>
        </w:tc>
        <w:tc>
          <w:tcPr>
            <w:tcW w:w="6520" w:type="dxa"/>
          </w:tcPr>
          <w:p w14:paraId="5C29D108" w14:textId="279EAEEE" w:rsidR="00F151AE" w:rsidRPr="00B90132" w:rsidRDefault="00F151AE" w:rsidP="00B90132">
            <w:pPr>
              <w:pStyle w:val="Listenabsatz"/>
              <w:numPr>
                <w:ilvl w:val="1"/>
                <w:numId w:val="17"/>
              </w:numPr>
              <w:ind w:left="317" w:hanging="283"/>
              <w:jc w:val="both"/>
              <w:rPr>
                <w:rFonts w:cs="Arial"/>
                <w:i/>
                <w:szCs w:val="20"/>
                <w:highlight w:val="lightGray"/>
              </w:rPr>
            </w:pPr>
            <w:r>
              <w:rPr>
                <w:rFonts w:cs="Arial"/>
                <w:i/>
                <w:szCs w:val="20"/>
                <w:highlight w:val="lightGray"/>
              </w:rPr>
              <w:t xml:space="preserve">Mitarbeiter, deren berufliche Tätigkeit sich wesentlich auf das Risikoprofil der </w:t>
            </w:r>
            <w:r w:rsidR="00381E36">
              <w:rPr>
                <w:rFonts w:cs="Arial"/>
                <w:i/>
                <w:szCs w:val="20"/>
                <w:highlight w:val="lightGray"/>
              </w:rPr>
              <w:t xml:space="preserve">Bank/Wertpapierfirma bzw. </w:t>
            </w:r>
            <w:r w:rsidR="00381E36" w:rsidRPr="00CE3194">
              <w:rPr>
                <w:rFonts w:cs="Arial"/>
                <w:i/>
                <w:szCs w:val="20"/>
                <w:highlight w:val="lightGray"/>
              </w:rPr>
              <w:t>der Gruppe</w:t>
            </w:r>
            <w:r w:rsidR="00381E36" w:rsidDel="00381E36">
              <w:rPr>
                <w:rFonts w:cs="Arial"/>
                <w:i/>
                <w:szCs w:val="20"/>
                <w:highlight w:val="lightGray"/>
              </w:rPr>
              <w:t xml:space="preserve"> </w:t>
            </w:r>
            <w:r>
              <w:rPr>
                <w:rFonts w:cs="Arial"/>
                <w:i/>
                <w:szCs w:val="20"/>
                <w:highlight w:val="lightGray"/>
              </w:rPr>
              <w:t>auswirken werden korrekt identifiziert</w:t>
            </w:r>
          </w:p>
        </w:tc>
      </w:tr>
    </w:tbl>
    <w:p w14:paraId="3469954E" w14:textId="77777777" w:rsidR="004A405F" w:rsidRDefault="004A405F" w:rsidP="004A405F">
      <w:pPr>
        <w:jc w:val="both"/>
      </w:pPr>
    </w:p>
    <w:p w14:paraId="5191979E" w14:textId="77777777" w:rsidR="004A405F" w:rsidRPr="00276C60" w:rsidRDefault="004A405F" w:rsidP="004A405F">
      <w:pPr>
        <w:jc w:val="both"/>
        <w:rPr>
          <w:rFonts w:ascii="Arial" w:hAnsi="Arial" w:cs="Arial"/>
          <w:i/>
          <w:sz w:val="20"/>
          <w:szCs w:val="20"/>
        </w:rPr>
      </w:pPr>
      <w:r w:rsidRPr="00276C60">
        <w:rPr>
          <w:rFonts w:ascii="Arial" w:hAnsi="Arial" w:cs="Arial"/>
          <w:i/>
          <w:sz w:val="20"/>
          <w:szCs w:val="20"/>
          <w:highlight w:val="yellow"/>
        </w:rPr>
        <w:t>Text</w:t>
      </w:r>
    </w:p>
    <w:p w14:paraId="597270C6" w14:textId="77777777" w:rsidR="004A405F" w:rsidRDefault="004A405F" w:rsidP="00CB3EE6">
      <w:pPr>
        <w:jc w:val="both"/>
      </w:pPr>
    </w:p>
    <w:p w14:paraId="165D36BF" w14:textId="77777777" w:rsidR="004A405F" w:rsidRDefault="004A405F" w:rsidP="00CB3EE6">
      <w:pPr>
        <w:jc w:val="both"/>
      </w:pPr>
    </w:p>
    <w:p w14:paraId="1109F68F" w14:textId="77777777" w:rsidR="008C30D1" w:rsidRDefault="008C30D1" w:rsidP="006F7AB5">
      <w:pPr>
        <w:pStyle w:val="FINMAGliederungEbene3"/>
      </w:pPr>
      <w:bookmarkStart w:id="73" w:name="_Toc147849925"/>
      <w:r>
        <w:t>Offenlegung</w:t>
      </w:r>
      <w:r w:rsidR="0003063F">
        <w:t xml:space="preserve"> (GOV-12)</w:t>
      </w:r>
      <w:bookmarkEnd w:id="73"/>
    </w:p>
    <w:p w14:paraId="46449621" w14:textId="77777777" w:rsidR="007645E1" w:rsidRDefault="007645E1"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7645E1" w:rsidRPr="009872F3" w14:paraId="42041A7E" w14:textId="77777777" w:rsidTr="00776C82">
        <w:trPr>
          <w:trHeight w:val="563"/>
        </w:trPr>
        <w:tc>
          <w:tcPr>
            <w:tcW w:w="1932" w:type="dxa"/>
          </w:tcPr>
          <w:p w14:paraId="50404315" w14:textId="77777777" w:rsidR="007645E1" w:rsidRPr="009872F3" w:rsidRDefault="007645E1" w:rsidP="00776C82">
            <w:pPr>
              <w:jc w:val="both"/>
              <w:rPr>
                <w:rFonts w:ascii="Arial" w:hAnsi="Arial" w:cs="Arial"/>
                <w:sz w:val="18"/>
                <w:szCs w:val="18"/>
              </w:rPr>
            </w:pPr>
            <w:r w:rsidRPr="009872F3">
              <w:rPr>
                <w:rFonts w:ascii="Arial" w:hAnsi="Arial" w:cs="Arial"/>
                <w:sz w:val="18"/>
                <w:szCs w:val="18"/>
              </w:rPr>
              <w:t>Nettorisiko</w:t>
            </w:r>
          </w:p>
        </w:tc>
        <w:tc>
          <w:tcPr>
            <w:tcW w:w="2145" w:type="dxa"/>
          </w:tcPr>
          <w:p w14:paraId="4C5A6754" w14:textId="77777777" w:rsidR="007645E1" w:rsidRPr="009872F3" w:rsidRDefault="007645E1" w:rsidP="00776C82">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33ACE2B" w14:textId="77777777" w:rsidR="007645E1" w:rsidRPr="009872F3" w:rsidRDefault="007645E1" w:rsidP="00776C82">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7645E1" w:rsidRPr="009872F3" w14:paraId="1B74C84C" w14:textId="77777777" w:rsidTr="00776C82">
        <w:trPr>
          <w:trHeight w:val="698"/>
        </w:trPr>
        <w:tc>
          <w:tcPr>
            <w:tcW w:w="1932" w:type="dxa"/>
          </w:tcPr>
          <w:p w14:paraId="32792991" w14:textId="38A7E619" w:rsidR="007645E1" w:rsidRPr="006749F0" w:rsidRDefault="007645E1" w:rsidP="00776C82">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6D3C78B0" w14:textId="77777777" w:rsidR="007645E1" w:rsidRPr="006749F0" w:rsidRDefault="007645E1" w:rsidP="00776C82">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43EEF00C" w14:textId="77777777" w:rsidR="007645E1" w:rsidRPr="009872F3" w:rsidRDefault="007645E1" w:rsidP="00776C82">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07BDCCB" w14:textId="77777777" w:rsidR="007645E1" w:rsidRDefault="007645E1" w:rsidP="00776C82">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AD228D1" w14:textId="77777777" w:rsidR="007645E1" w:rsidRPr="006749F0" w:rsidRDefault="007645E1" w:rsidP="00776C82">
            <w:pPr>
              <w:jc w:val="both"/>
              <w:rPr>
                <w:rFonts w:ascii="Arial" w:hAnsi="Arial" w:cs="Arial"/>
                <w:i/>
                <w:sz w:val="18"/>
                <w:szCs w:val="18"/>
              </w:rPr>
            </w:pPr>
            <w:r w:rsidRPr="006749F0">
              <w:rPr>
                <w:rFonts w:ascii="Arial" w:hAnsi="Arial" w:cs="Arial"/>
                <w:i/>
                <w:sz w:val="18"/>
                <w:szCs w:val="18"/>
                <w:highlight w:val="yellow"/>
              </w:rPr>
              <w:t>Jahr</w:t>
            </w:r>
          </w:p>
        </w:tc>
      </w:tr>
      <w:tr w:rsidR="007645E1" w:rsidRPr="009872F3" w14:paraId="54E1C105" w14:textId="77777777" w:rsidTr="00776C82">
        <w:trPr>
          <w:trHeight w:val="636"/>
        </w:trPr>
        <w:tc>
          <w:tcPr>
            <w:tcW w:w="9180" w:type="dxa"/>
            <w:gridSpan w:val="4"/>
          </w:tcPr>
          <w:p w14:paraId="6A34D483" w14:textId="77777777" w:rsidR="007645E1" w:rsidRDefault="007645E1" w:rsidP="00776C82">
            <w:pPr>
              <w:jc w:val="both"/>
              <w:rPr>
                <w:rFonts w:ascii="Arial" w:hAnsi="Arial" w:cs="Arial"/>
                <w:sz w:val="18"/>
                <w:szCs w:val="18"/>
              </w:rPr>
            </w:pPr>
          </w:p>
          <w:p w14:paraId="07C99BAE" w14:textId="77777777" w:rsidR="007645E1" w:rsidRPr="00F60909" w:rsidRDefault="007645E1" w:rsidP="00776C82">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5C661FE0" w14:textId="17F7E2E1" w:rsidR="007645E1" w:rsidRPr="009872F3" w:rsidRDefault="007645E1" w:rsidP="00776C82">
            <w:pPr>
              <w:jc w:val="both"/>
              <w:rPr>
                <w:rFonts w:ascii="Arial" w:hAnsi="Arial" w:cs="Arial"/>
                <w:sz w:val="18"/>
                <w:szCs w:val="18"/>
              </w:rPr>
            </w:pPr>
            <w:r w:rsidRPr="00CB3EE6">
              <w:rPr>
                <w:rFonts w:ascii="Arial" w:hAnsi="Arial" w:cs="Arial"/>
                <w:sz w:val="18"/>
                <w:szCs w:val="18"/>
                <w:highlight w:val="yellow"/>
              </w:rPr>
              <w:t xml:space="preserve">Art. 23 BankG; Art. 29c BankV; Teil 8 der Verordnung (EU) 575/2013; EBA/GL/2014/14; EBA/GL/2016/11 </w:t>
            </w:r>
            <w:r w:rsidR="00D00A1E">
              <w:rPr>
                <w:rFonts w:ascii="Arial" w:hAnsi="Arial" w:cs="Arial"/>
                <w:sz w:val="18"/>
                <w:szCs w:val="18"/>
                <w:highlight w:val="yellow"/>
              </w:rPr>
              <w:t xml:space="preserve">; EBA/GL/2018/10; </w:t>
            </w:r>
            <w:r w:rsidR="00055C5A">
              <w:rPr>
                <w:rFonts w:ascii="Arial" w:hAnsi="Arial" w:cs="Arial"/>
                <w:sz w:val="18"/>
                <w:szCs w:val="18"/>
                <w:highlight w:val="yellow"/>
              </w:rPr>
              <w:t>EBA/GL/2020/07; EBA/GL/2017/01; EBA/GL/2014/03</w:t>
            </w:r>
          </w:p>
        </w:tc>
      </w:tr>
      <w:tr w:rsidR="007645E1" w:rsidRPr="009872F3" w14:paraId="45B7C39D" w14:textId="77777777" w:rsidTr="00776C82">
        <w:trPr>
          <w:trHeight w:val="294"/>
        </w:trPr>
        <w:tc>
          <w:tcPr>
            <w:tcW w:w="9180" w:type="dxa"/>
            <w:gridSpan w:val="4"/>
          </w:tcPr>
          <w:p w14:paraId="73B6C530" w14:textId="77777777" w:rsidR="007645E1" w:rsidRPr="009872F3" w:rsidRDefault="007645E1" w:rsidP="00776C82">
            <w:pPr>
              <w:jc w:val="both"/>
              <w:rPr>
                <w:rFonts w:ascii="Arial" w:hAnsi="Arial" w:cs="Arial"/>
                <w:sz w:val="18"/>
                <w:szCs w:val="18"/>
              </w:rPr>
            </w:pPr>
          </w:p>
        </w:tc>
      </w:tr>
      <w:tr w:rsidR="007645E1" w:rsidRPr="009872F3" w14:paraId="0AE03B71" w14:textId="77777777" w:rsidTr="00776C82">
        <w:tc>
          <w:tcPr>
            <w:tcW w:w="5798" w:type="dxa"/>
            <w:gridSpan w:val="3"/>
          </w:tcPr>
          <w:p w14:paraId="35D83D92" w14:textId="1E681801" w:rsidR="007645E1" w:rsidRPr="009872F3" w:rsidRDefault="003D2C33" w:rsidP="007D00DF">
            <w:pPr>
              <w:jc w:val="both"/>
              <w:rPr>
                <w:rFonts w:ascii="Arial" w:hAnsi="Arial" w:cs="Arial"/>
                <w:sz w:val="18"/>
                <w:szCs w:val="18"/>
              </w:rPr>
            </w:pPr>
            <w:r>
              <w:rPr>
                <w:rFonts w:ascii="Arial" w:hAnsi="Arial" w:cs="Arial"/>
                <w:sz w:val="18"/>
                <w:szCs w:val="18"/>
              </w:rPr>
              <w:t xml:space="preserve">Bestätigung, dass die internen Verfahren eine </w:t>
            </w:r>
            <w:r w:rsidR="005D2CDC">
              <w:rPr>
                <w:rFonts w:ascii="Arial" w:hAnsi="Arial" w:cs="Arial"/>
                <w:sz w:val="18"/>
                <w:szCs w:val="18"/>
              </w:rPr>
              <w:t xml:space="preserve">umfassende und gesetzeskonforme Offenlegung </w:t>
            </w:r>
            <w:r w:rsidR="00243B63">
              <w:rPr>
                <w:rFonts w:ascii="Arial" w:hAnsi="Arial" w:cs="Arial"/>
                <w:sz w:val="18"/>
                <w:szCs w:val="18"/>
              </w:rPr>
              <w:t>gemäss Art. 23 BankG und Art. 29c BankV</w:t>
            </w:r>
            <w:r w:rsidR="007D00DF">
              <w:rPr>
                <w:rFonts w:ascii="Arial" w:hAnsi="Arial" w:cs="Arial"/>
                <w:sz w:val="18"/>
                <w:szCs w:val="18"/>
              </w:rPr>
              <w:t xml:space="preserve"> und Teil 8 der Verordnung (EU) Nr. 575/2013 s</w:t>
            </w:r>
            <w:r w:rsidR="005D2CDC">
              <w:rPr>
                <w:rFonts w:ascii="Arial" w:hAnsi="Arial" w:cs="Arial"/>
                <w:sz w:val="18"/>
                <w:szCs w:val="18"/>
              </w:rPr>
              <w:t>icherstellen</w:t>
            </w:r>
            <w:r>
              <w:rPr>
                <w:rFonts w:ascii="Arial" w:hAnsi="Arial" w:cs="Arial"/>
                <w:sz w:val="18"/>
                <w:szCs w:val="18"/>
              </w:rPr>
              <w:t xml:space="preserve"> </w:t>
            </w:r>
          </w:p>
        </w:tc>
        <w:tc>
          <w:tcPr>
            <w:tcW w:w="3382" w:type="dxa"/>
          </w:tcPr>
          <w:p w14:paraId="43BED438" w14:textId="77777777" w:rsidR="007645E1" w:rsidRPr="00E109DF" w:rsidRDefault="007645E1" w:rsidP="00776C82">
            <w:pPr>
              <w:jc w:val="both"/>
              <w:rPr>
                <w:rFonts w:ascii="Arial" w:hAnsi="Arial" w:cs="Arial"/>
                <w:i/>
                <w:sz w:val="18"/>
                <w:szCs w:val="18"/>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E033AD" w:rsidRPr="009872F3" w14:paraId="582C0C45" w14:textId="77777777" w:rsidTr="00776C82">
        <w:tc>
          <w:tcPr>
            <w:tcW w:w="5798" w:type="dxa"/>
            <w:gridSpan w:val="3"/>
          </w:tcPr>
          <w:p w14:paraId="57552262" w14:textId="77777777" w:rsidR="00E033AD" w:rsidRDefault="00E033AD" w:rsidP="00E033AD">
            <w:pPr>
              <w:jc w:val="both"/>
              <w:rPr>
                <w:rFonts w:ascii="Arial" w:hAnsi="Arial" w:cs="Arial"/>
                <w:sz w:val="18"/>
                <w:szCs w:val="18"/>
              </w:rPr>
            </w:pPr>
            <w:r>
              <w:rPr>
                <w:rFonts w:ascii="Arial" w:hAnsi="Arial" w:cs="Arial"/>
                <w:sz w:val="18"/>
                <w:szCs w:val="18"/>
              </w:rPr>
              <w:t>Bestätigung, dass die internen Verfahren sicherstellen, dass die Ausnahmeregelungen bzw. Ausschlusskriterien zur Ermittlung offenzulegender Information angemessen angewandt werden</w:t>
            </w:r>
          </w:p>
        </w:tc>
        <w:tc>
          <w:tcPr>
            <w:tcW w:w="3382" w:type="dxa"/>
          </w:tcPr>
          <w:p w14:paraId="7814FC9D" w14:textId="77777777" w:rsidR="00E033AD" w:rsidRPr="00E109DF" w:rsidRDefault="00E033AD" w:rsidP="00776C82">
            <w:pPr>
              <w:jc w:val="both"/>
              <w:rPr>
                <w:rFonts w:ascii="Arial" w:hAnsi="Arial" w:cs="Arial"/>
                <w:i/>
                <w:sz w:val="18"/>
                <w:szCs w:val="18"/>
                <w:highlight w:val="yellow"/>
              </w:rPr>
            </w:pPr>
            <w:r w:rsidRPr="00E109DF">
              <w:rPr>
                <w:rFonts w:ascii="Arial" w:hAnsi="Arial" w:cs="Arial"/>
                <w:i/>
                <w:sz w:val="18"/>
                <w:szCs w:val="18"/>
                <w:highlight w:val="yellow"/>
              </w:rPr>
              <w:t>Ja (</w:t>
            </w:r>
            <w:r w:rsidR="0071465F">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2CDF8903" w14:textId="77777777" w:rsidR="007645E1" w:rsidRDefault="007645E1" w:rsidP="007645E1">
      <w:pPr>
        <w:jc w:val="both"/>
      </w:pPr>
    </w:p>
    <w:tbl>
      <w:tblPr>
        <w:tblStyle w:val="Tabellenraster"/>
        <w:tblW w:w="0" w:type="auto"/>
        <w:tblLook w:val="04A0" w:firstRow="1" w:lastRow="0" w:firstColumn="1" w:lastColumn="0" w:noHBand="0" w:noVBand="1"/>
      </w:tblPr>
      <w:tblGrid>
        <w:gridCol w:w="2660"/>
        <w:gridCol w:w="6520"/>
      </w:tblGrid>
      <w:tr w:rsidR="007645E1" w:rsidRPr="00CE3194" w14:paraId="3457F197" w14:textId="77777777" w:rsidTr="00776C82">
        <w:tc>
          <w:tcPr>
            <w:tcW w:w="2660" w:type="dxa"/>
          </w:tcPr>
          <w:p w14:paraId="1697F8AE" w14:textId="77777777" w:rsidR="007645E1" w:rsidRPr="00CE3194" w:rsidRDefault="007645E1" w:rsidP="00776C82">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F2BF4B7" w14:textId="77777777" w:rsidR="007645E1" w:rsidRPr="00CE3194" w:rsidRDefault="007645E1" w:rsidP="00776C82">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7645E1" w:rsidRPr="00CE3194" w14:paraId="674F74D7" w14:textId="77777777" w:rsidTr="00776C82">
        <w:tc>
          <w:tcPr>
            <w:tcW w:w="2660" w:type="dxa"/>
          </w:tcPr>
          <w:p w14:paraId="2CDBF0EB" w14:textId="77777777" w:rsidR="007645E1" w:rsidRDefault="005D2CDC" w:rsidP="004D4B39">
            <w:pPr>
              <w:jc w:val="both"/>
              <w:rPr>
                <w:rFonts w:ascii="Arial" w:hAnsi="Arial" w:cs="Arial"/>
                <w:i/>
                <w:sz w:val="20"/>
                <w:szCs w:val="20"/>
                <w:highlight w:val="lightGray"/>
              </w:rPr>
            </w:pPr>
            <w:r>
              <w:rPr>
                <w:rFonts w:ascii="Arial" w:hAnsi="Arial" w:cs="Arial"/>
                <w:i/>
                <w:sz w:val="20"/>
                <w:szCs w:val="20"/>
                <w:highlight w:val="lightGray"/>
              </w:rPr>
              <w:t>Erstellungs- und Überprüfungsprozess</w:t>
            </w:r>
            <w:r w:rsidR="004D4B39">
              <w:rPr>
                <w:rFonts w:ascii="Arial" w:hAnsi="Arial" w:cs="Arial"/>
                <w:i/>
                <w:sz w:val="20"/>
                <w:szCs w:val="20"/>
                <w:highlight w:val="lightGray"/>
              </w:rPr>
              <w:t xml:space="preserve"> zur umfassenden und gesetzeskonformen Offenlegung</w:t>
            </w:r>
          </w:p>
        </w:tc>
        <w:tc>
          <w:tcPr>
            <w:tcW w:w="6520" w:type="dxa"/>
          </w:tcPr>
          <w:p w14:paraId="0CB630A8" w14:textId="77777777" w:rsidR="00E033AD" w:rsidRDefault="00E033AD" w:rsidP="00E033AD">
            <w:pPr>
              <w:pStyle w:val="Listenabsatz"/>
              <w:numPr>
                <w:ilvl w:val="1"/>
                <w:numId w:val="17"/>
              </w:numPr>
              <w:ind w:left="317" w:hanging="283"/>
              <w:jc w:val="both"/>
              <w:rPr>
                <w:rFonts w:cs="Arial"/>
                <w:i/>
                <w:szCs w:val="20"/>
                <w:highlight w:val="lightGray"/>
              </w:rPr>
            </w:pPr>
            <w:r>
              <w:rPr>
                <w:rFonts w:cs="Arial"/>
                <w:i/>
                <w:szCs w:val="20"/>
                <w:highlight w:val="lightGray"/>
              </w:rPr>
              <w:t>Es bestehen klare Verantwortlichkeiten und Kompetenzen</w:t>
            </w:r>
          </w:p>
          <w:p w14:paraId="447542DF" w14:textId="3EF62057" w:rsidR="0071565C" w:rsidRDefault="0071565C" w:rsidP="0071565C">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381E36">
              <w:rPr>
                <w:rFonts w:cs="Arial"/>
                <w:i/>
                <w:szCs w:val="20"/>
                <w:highlight w:val="lightGray"/>
              </w:rPr>
              <w:t xml:space="preserve">Bank/Wertpapierfirma bzw. </w:t>
            </w:r>
            <w:r w:rsidR="00381E36" w:rsidRPr="00CE3194">
              <w:rPr>
                <w:rFonts w:cs="Arial"/>
                <w:i/>
                <w:szCs w:val="20"/>
                <w:highlight w:val="lightGray"/>
              </w:rPr>
              <w:t>d</w:t>
            </w:r>
            <w:r w:rsidR="00381E36">
              <w:rPr>
                <w:rFonts w:cs="Arial"/>
                <w:i/>
                <w:szCs w:val="20"/>
                <w:highlight w:val="lightGray"/>
              </w:rPr>
              <w:t>ie</w:t>
            </w:r>
            <w:r w:rsidR="00381E36" w:rsidRPr="00CE3194">
              <w:rPr>
                <w:rFonts w:cs="Arial"/>
                <w:i/>
                <w:szCs w:val="20"/>
                <w:highlight w:val="lightGray"/>
              </w:rPr>
              <w:t xml:space="preserve"> Gruppe</w:t>
            </w:r>
            <w:r w:rsidR="00381E36" w:rsidDel="00381E36">
              <w:rPr>
                <w:rFonts w:cs="Arial"/>
                <w:i/>
                <w:szCs w:val="20"/>
                <w:highlight w:val="lightGray"/>
              </w:rPr>
              <w:t xml:space="preserve"> </w:t>
            </w:r>
            <w:r>
              <w:rPr>
                <w:rFonts w:cs="Arial"/>
                <w:i/>
                <w:szCs w:val="20"/>
                <w:highlight w:val="lightGray"/>
              </w:rPr>
              <w:t xml:space="preserve">verfügt über Verfahren, anhand welcher sie die Angemessenheit ihrer Angaben inkl. die Überprüfung der Angaben und die Häufigkeit der Veröffentlichung effektiv beurteilen kann. </w:t>
            </w:r>
          </w:p>
          <w:p w14:paraId="6193346F" w14:textId="234A6B4D" w:rsidR="005D2CDC" w:rsidRPr="004D4B39" w:rsidRDefault="004D4B39" w:rsidP="004D4B39">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381E36">
              <w:rPr>
                <w:rFonts w:cs="Arial"/>
                <w:i/>
                <w:szCs w:val="20"/>
                <w:highlight w:val="lightGray"/>
              </w:rPr>
              <w:t xml:space="preserve">Bank/Wertpapierfirma bzw. </w:t>
            </w:r>
            <w:r w:rsidR="00381E36" w:rsidRPr="00CE3194">
              <w:rPr>
                <w:rFonts w:cs="Arial"/>
                <w:i/>
                <w:szCs w:val="20"/>
                <w:highlight w:val="lightGray"/>
              </w:rPr>
              <w:t>d</w:t>
            </w:r>
            <w:r w:rsidR="00B710A5">
              <w:rPr>
                <w:rFonts w:cs="Arial"/>
                <w:i/>
                <w:szCs w:val="20"/>
                <w:highlight w:val="lightGray"/>
              </w:rPr>
              <w:t>ie</w:t>
            </w:r>
            <w:r w:rsidR="00381E36" w:rsidRPr="00CE3194">
              <w:rPr>
                <w:rFonts w:cs="Arial"/>
                <w:i/>
                <w:szCs w:val="20"/>
                <w:highlight w:val="lightGray"/>
              </w:rPr>
              <w:t xml:space="preserve"> Gruppe</w:t>
            </w:r>
            <w:r w:rsidR="00381E36" w:rsidDel="00381E36">
              <w:rPr>
                <w:rFonts w:cs="Arial"/>
                <w:i/>
                <w:szCs w:val="20"/>
                <w:highlight w:val="lightGray"/>
              </w:rPr>
              <w:t xml:space="preserve"> </w:t>
            </w:r>
            <w:r>
              <w:rPr>
                <w:rFonts w:cs="Arial"/>
                <w:i/>
                <w:szCs w:val="20"/>
                <w:highlight w:val="lightGray"/>
              </w:rPr>
              <w:t xml:space="preserve">verfügt über Verfahren anhand welcher sie beurteilen kann, ob die offengelegten </w:t>
            </w:r>
            <w:r>
              <w:rPr>
                <w:rFonts w:cs="Arial"/>
                <w:i/>
                <w:szCs w:val="20"/>
                <w:highlight w:val="lightGray"/>
              </w:rPr>
              <w:lastRenderedPageBreak/>
              <w:t xml:space="preserve">Informationen den Marktteilnehmern ein umfassendes Bild über das Risikoprofil der </w:t>
            </w:r>
            <w:r w:rsidR="00B710A5">
              <w:rPr>
                <w:rFonts w:cs="Arial"/>
                <w:i/>
                <w:szCs w:val="20"/>
                <w:highlight w:val="lightGray"/>
              </w:rPr>
              <w:t xml:space="preserve">Bank/Wertpapierfirma bzw. </w:t>
            </w:r>
            <w:r w:rsidR="00B710A5" w:rsidRPr="00CE3194">
              <w:rPr>
                <w:rFonts w:cs="Arial"/>
                <w:i/>
                <w:szCs w:val="20"/>
                <w:highlight w:val="lightGray"/>
              </w:rPr>
              <w:t>der Gruppe</w:t>
            </w:r>
            <w:r w:rsidR="00B710A5" w:rsidDel="00B710A5">
              <w:rPr>
                <w:rFonts w:cs="Arial"/>
                <w:i/>
                <w:szCs w:val="20"/>
                <w:highlight w:val="lightGray"/>
              </w:rPr>
              <w:t xml:space="preserve"> </w:t>
            </w:r>
            <w:r>
              <w:rPr>
                <w:rFonts w:cs="Arial"/>
                <w:i/>
                <w:szCs w:val="20"/>
                <w:highlight w:val="lightGray"/>
              </w:rPr>
              <w:t>vermitteln</w:t>
            </w:r>
          </w:p>
        </w:tc>
      </w:tr>
      <w:tr w:rsidR="007645E1" w:rsidRPr="00CE3194" w14:paraId="177DC8B5" w14:textId="77777777" w:rsidTr="00776C82">
        <w:tc>
          <w:tcPr>
            <w:tcW w:w="2660" w:type="dxa"/>
          </w:tcPr>
          <w:p w14:paraId="6E42593C" w14:textId="77777777" w:rsidR="007645E1" w:rsidRDefault="0071565C" w:rsidP="00776C82">
            <w:pPr>
              <w:jc w:val="both"/>
              <w:rPr>
                <w:rFonts w:ascii="Arial" w:hAnsi="Arial" w:cs="Arial"/>
                <w:i/>
                <w:sz w:val="20"/>
                <w:szCs w:val="20"/>
                <w:highlight w:val="lightGray"/>
              </w:rPr>
            </w:pPr>
            <w:r>
              <w:rPr>
                <w:rFonts w:ascii="Arial" w:hAnsi="Arial" w:cs="Arial"/>
                <w:i/>
                <w:sz w:val="20"/>
                <w:szCs w:val="20"/>
                <w:highlight w:val="lightGray"/>
              </w:rPr>
              <w:lastRenderedPageBreak/>
              <w:t>Ausnahmeregelungen bzw. Ausschlusskriterien</w:t>
            </w:r>
          </w:p>
        </w:tc>
        <w:tc>
          <w:tcPr>
            <w:tcW w:w="6520" w:type="dxa"/>
          </w:tcPr>
          <w:p w14:paraId="026639AD" w14:textId="77777777" w:rsidR="0071565C" w:rsidRDefault="0071565C" w:rsidP="0071565C">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Ausnahmen bzw. Ausschlusskriterien zur Ermittlung offenzulegender Informationen werden angemessen angewandt. </w:t>
            </w:r>
          </w:p>
          <w:p w14:paraId="26BF6476" w14:textId="0AFC3033" w:rsidR="007645E1" w:rsidRPr="004D4B39" w:rsidRDefault="0071565C" w:rsidP="004D4B39">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B710A5">
              <w:rPr>
                <w:rFonts w:cs="Arial"/>
                <w:i/>
                <w:szCs w:val="20"/>
                <w:highlight w:val="lightGray"/>
              </w:rPr>
              <w:t xml:space="preserve">Bank/Wertpapierfirma bzw. </w:t>
            </w:r>
            <w:r w:rsidR="00B710A5" w:rsidRPr="00CE3194">
              <w:rPr>
                <w:rFonts w:cs="Arial"/>
                <w:i/>
                <w:szCs w:val="20"/>
                <w:highlight w:val="lightGray"/>
              </w:rPr>
              <w:t>d</w:t>
            </w:r>
            <w:r w:rsidR="00B710A5">
              <w:rPr>
                <w:rFonts w:cs="Arial"/>
                <w:i/>
                <w:szCs w:val="20"/>
                <w:highlight w:val="lightGray"/>
              </w:rPr>
              <w:t>ie</w:t>
            </w:r>
            <w:r w:rsidR="00B710A5" w:rsidRPr="00CE3194">
              <w:rPr>
                <w:rFonts w:cs="Arial"/>
                <w:i/>
                <w:szCs w:val="20"/>
                <w:highlight w:val="lightGray"/>
              </w:rPr>
              <w:t xml:space="preserve"> Gruppe</w:t>
            </w:r>
            <w:r w:rsidR="00B710A5" w:rsidDel="00B710A5">
              <w:rPr>
                <w:rFonts w:cs="Arial"/>
                <w:i/>
                <w:szCs w:val="20"/>
                <w:highlight w:val="lightGray"/>
              </w:rPr>
              <w:t xml:space="preserve"> </w:t>
            </w:r>
            <w:r>
              <w:rPr>
                <w:rFonts w:cs="Arial"/>
                <w:i/>
                <w:szCs w:val="20"/>
                <w:highlight w:val="lightGray"/>
              </w:rPr>
              <w:t xml:space="preserve">verfügt über interne Verfahren um die Wesentlichkeit von offenzulegenden Informationen zu beurteilen. </w:t>
            </w:r>
          </w:p>
        </w:tc>
      </w:tr>
    </w:tbl>
    <w:p w14:paraId="4F8976F5" w14:textId="77777777" w:rsidR="007645E1" w:rsidRDefault="007645E1" w:rsidP="00CB3EE6">
      <w:pPr>
        <w:jc w:val="both"/>
      </w:pPr>
    </w:p>
    <w:p w14:paraId="67A57F7A" w14:textId="77777777" w:rsidR="00AF6815" w:rsidRDefault="00E94778" w:rsidP="00E94778">
      <w:pPr>
        <w:jc w:val="both"/>
        <w:rPr>
          <w:rFonts w:ascii="Arial" w:hAnsi="Arial"/>
          <w:sz w:val="20"/>
        </w:rPr>
      </w:pPr>
      <w:r w:rsidRPr="00276C60">
        <w:rPr>
          <w:rFonts w:ascii="Arial" w:hAnsi="Arial" w:cs="Arial"/>
          <w:i/>
          <w:sz w:val="20"/>
          <w:szCs w:val="20"/>
          <w:highlight w:val="yellow"/>
        </w:rPr>
        <w:t>Text</w:t>
      </w:r>
    </w:p>
    <w:p w14:paraId="5318496E" w14:textId="77777777" w:rsidR="00AF6815" w:rsidRPr="00276C60" w:rsidRDefault="00AF6815" w:rsidP="00E94778">
      <w:pPr>
        <w:jc w:val="both"/>
        <w:rPr>
          <w:rFonts w:ascii="Arial" w:hAnsi="Arial" w:cs="Arial"/>
          <w:i/>
          <w:sz w:val="20"/>
          <w:szCs w:val="20"/>
        </w:rPr>
      </w:pPr>
    </w:p>
    <w:p w14:paraId="65C5E031" w14:textId="77777777" w:rsidR="00AF6815" w:rsidRDefault="00AF6815" w:rsidP="008C30D1">
      <w:pPr>
        <w:jc w:val="both"/>
      </w:pPr>
    </w:p>
    <w:p w14:paraId="7336B2D5" w14:textId="58487988" w:rsidR="008C30D1" w:rsidRDefault="008C30D1" w:rsidP="006F7AB5">
      <w:pPr>
        <w:pStyle w:val="FINMAGliederungEbene2"/>
      </w:pPr>
      <w:bookmarkStart w:id="74" w:name="_Toc147849926"/>
      <w:r>
        <w:t>ICAAP</w:t>
      </w:r>
      <w:r w:rsidR="00115C45">
        <w:t xml:space="preserve"> </w:t>
      </w:r>
      <w:r w:rsidR="0003063F">
        <w:t>(ICA-1)</w:t>
      </w:r>
      <w:bookmarkEnd w:id="74"/>
    </w:p>
    <w:p w14:paraId="14378E34" w14:textId="77777777" w:rsidR="00E94778" w:rsidRDefault="00E94778" w:rsidP="00CB3EE6">
      <w:pPr>
        <w:jc w:val="both"/>
        <w:rPr>
          <w:rFonts w:ascii="Arial" w:hAnsi="Arial"/>
          <w:sz w:val="20"/>
        </w:rPr>
      </w:pPr>
    </w:p>
    <w:tbl>
      <w:tblPr>
        <w:tblStyle w:val="Tabellenraster"/>
        <w:tblW w:w="0" w:type="auto"/>
        <w:tblInd w:w="-714" w:type="dxa"/>
        <w:tblLook w:val="04A0" w:firstRow="1" w:lastRow="0" w:firstColumn="1" w:lastColumn="0" w:noHBand="0" w:noVBand="1"/>
      </w:tblPr>
      <w:tblGrid>
        <w:gridCol w:w="4135"/>
        <w:gridCol w:w="2317"/>
        <w:gridCol w:w="1333"/>
        <w:gridCol w:w="2443"/>
      </w:tblGrid>
      <w:tr w:rsidR="00063CE6" w:rsidRPr="009872F3" w14:paraId="376A7FBC" w14:textId="77777777" w:rsidTr="00063CE6">
        <w:trPr>
          <w:trHeight w:val="563"/>
        </w:trPr>
        <w:tc>
          <w:tcPr>
            <w:tcW w:w="4135" w:type="dxa"/>
          </w:tcPr>
          <w:p w14:paraId="249DCBA4" w14:textId="77777777" w:rsidR="00063CE6" w:rsidRPr="009872F3" w:rsidRDefault="00063CE6" w:rsidP="00063CE6">
            <w:pPr>
              <w:jc w:val="both"/>
              <w:rPr>
                <w:rFonts w:ascii="Arial" w:hAnsi="Arial" w:cs="Arial"/>
                <w:sz w:val="18"/>
                <w:szCs w:val="18"/>
              </w:rPr>
            </w:pPr>
            <w:bookmarkStart w:id="75" w:name="_Hlk118663032"/>
            <w:r w:rsidRPr="009872F3">
              <w:rPr>
                <w:rFonts w:ascii="Arial" w:hAnsi="Arial" w:cs="Arial"/>
                <w:sz w:val="18"/>
                <w:szCs w:val="18"/>
              </w:rPr>
              <w:t>Nettorisiko</w:t>
            </w:r>
          </w:p>
        </w:tc>
        <w:tc>
          <w:tcPr>
            <w:tcW w:w="2317" w:type="dxa"/>
          </w:tcPr>
          <w:p w14:paraId="549A17F6"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Intervention Berichtsjahr:</w:t>
            </w:r>
          </w:p>
        </w:tc>
        <w:tc>
          <w:tcPr>
            <w:tcW w:w="3776" w:type="dxa"/>
            <w:gridSpan w:val="2"/>
          </w:tcPr>
          <w:p w14:paraId="369619DA"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7398B" w:rsidRPr="009872F3" w14:paraId="5985CF56" w14:textId="77777777" w:rsidTr="006D41E2">
        <w:trPr>
          <w:trHeight w:val="698"/>
        </w:trPr>
        <w:tc>
          <w:tcPr>
            <w:tcW w:w="4135" w:type="dxa"/>
          </w:tcPr>
          <w:p w14:paraId="0BB32A57" w14:textId="77777777" w:rsidR="0047398B" w:rsidRPr="006749F0" w:rsidRDefault="0047398B" w:rsidP="00063CE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317" w:type="dxa"/>
          </w:tcPr>
          <w:p w14:paraId="736BF351" w14:textId="2BA1322B" w:rsidR="0047398B" w:rsidRPr="006749F0" w:rsidRDefault="0047398B" w:rsidP="00063CE6">
            <w:pPr>
              <w:jc w:val="both"/>
              <w:rPr>
                <w:rFonts w:ascii="Arial" w:hAnsi="Arial" w:cs="Arial"/>
                <w:i/>
                <w:sz w:val="18"/>
                <w:szCs w:val="18"/>
                <w:highlight w:val="green"/>
              </w:rPr>
            </w:pPr>
            <w:r w:rsidRPr="006749F0">
              <w:rPr>
                <w:rFonts w:ascii="Arial" w:hAnsi="Arial" w:cs="Arial"/>
                <w:i/>
                <w:sz w:val="18"/>
                <w:szCs w:val="18"/>
                <w:highlight w:val="yellow"/>
              </w:rPr>
              <w:t xml:space="preserve">Detailprüfung </w:t>
            </w:r>
          </w:p>
        </w:tc>
        <w:tc>
          <w:tcPr>
            <w:tcW w:w="3776" w:type="dxa"/>
            <w:gridSpan w:val="2"/>
          </w:tcPr>
          <w:p w14:paraId="04E5209A" w14:textId="77777777" w:rsidR="0047398B" w:rsidRDefault="0047398B" w:rsidP="00063CE6">
            <w:pPr>
              <w:jc w:val="both"/>
              <w:rPr>
                <w:rFonts w:ascii="Arial" w:hAnsi="Arial" w:cs="Arial"/>
                <w:sz w:val="18"/>
                <w:szCs w:val="18"/>
                <w:highlight w:val="green"/>
              </w:rPr>
            </w:pPr>
            <w:r w:rsidRPr="009872F3">
              <w:rPr>
                <w:rFonts w:ascii="Arial" w:hAnsi="Arial" w:cs="Arial"/>
                <w:sz w:val="18"/>
                <w:szCs w:val="18"/>
              </w:rPr>
              <w:t>Detailprüfung:</w:t>
            </w:r>
          </w:p>
          <w:p w14:paraId="11E356CE" w14:textId="6520646C" w:rsidR="0047398B" w:rsidRPr="006749F0" w:rsidRDefault="0047398B" w:rsidP="00063CE6">
            <w:pPr>
              <w:jc w:val="both"/>
              <w:rPr>
                <w:rFonts w:ascii="Arial" w:hAnsi="Arial" w:cs="Arial"/>
                <w:i/>
                <w:sz w:val="18"/>
                <w:szCs w:val="18"/>
              </w:rPr>
            </w:pPr>
            <w:r w:rsidRPr="006749F0">
              <w:rPr>
                <w:rFonts w:ascii="Arial" w:hAnsi="Arial" w:cs="Arial"/>
                <w:i/>
                <w:sz w:val="18"/>
                <w:szCs w:val="18"/>
                <w:highlight w:val="yellow"/>
              </w:rPr>
              <w:t>Jahr</w:t>
            </w:r>
          </w:p>
        </w:tc>
      </w:tr>
      <w:tr w:rsidR="00063CE6" w:rsidRPr="009872F3" w14:paraId="6938A036" w14:textId="77777777" w:rsidTr="00063CE6">
        <w:trPr>
          <w:trHeight w:val="133"/>
        </w:trPr>
        <w:tc>
          <w:tcPr>
            <w:tcW w:w="10228" w:type="dxa"/>
            <w:gridSpan w:val="4"/>
          </w:tcPr>
          <w:p w14:paraId="7D70006A" w14:textId="77777777" w:rsidR="00063CE6" w:rsidRDefault="00063CE6" w:rsidP="00063CE6">
            <w:pPr>
              <w:jc w:val="both"/>
              <w:rPr>
                <w:rFonts w:ascii="Arial" w:hAnsi="Arial" w:cs="Arial"/>
                <w:sz w:val="18"/>
                <w:szCs w:val="18"/>
              </w:rPr>
            </w:pPr>
          </w:p>
          <w:p w14:paraId="4CCCCB1B" w14:textId="77777777" w:rsidR="00063CE6" w:rsidRPr="00F60909" w:rsidRDefault="00063CE6" w:rsidP="00063CE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798BA86" w14:textId="77777777" w:rsidR="00063CE6" w:rsidRPr="009872F3" w:rsidRDefault="00063CE6" w:rsidP="00063CE6">
            <w:pPr>
              <w:jc w:val="both"/>
              <w:rPr>
                <w:rFonts w:ascii="Arial" w:hAnsi="Arial" w:cs="Arial"/>
                <w:sz w:val="18"/>
                <w:szCs w:val="18"/>
              </w:rPr>
            </w:pPr>
            <w:r w:rsidRPr="00CB3EE6">
              <w:rPr>
                <w:rFonts w:ascii="Arial" w:hAnsi="Arial" w:cs="Arial"/>
                <w:sz w:val="18"/>
                <w:szCs w:val="18"/>
                <w:highlight w:val="yellow"/>
              </w:rPr>
              <w:t xml:space="preserve">Art 5, 7a bis 8 BankG; Art. 7b und 7d BankG; Art. 21c BankV ff.; FMA-Mitteilung 2017/4; </w:t>
            </w:r>
            <w:r>
              <w:rPr>
                <w:rFonts w:ascii="Arial" w:hAnsi="Arial" w:cs="Arial"/>
                <w:sz w:val="18"/>
                <w:szCs w:val="18"/>
                <w:highlight w:val="yellow"/>
              </w:rPr>
              <w:t>EBA/GL/2018/04</w:t>
            </w:r>
          </w:p>
        </w:tc>
      </w:tr>
      <w:tr w:rsidR="00063CE6" w:rsidRPr="009872F3" w14:paraId="5CA79E0C" w14:textId="77777777" w:rsidTr="00063CE6">
        <w:trPr>
          <w:trHeight w:val="294"/>
        </w:trPr>
        <w:tc>
          <w:tcPr>
            <w:tcW w:w="10228" w:type="dxa"/>
            <w:gridSpan w:val="4"/>
          </w:tcPr>
          <w:p w14:paraId="3C672949" w14:textId="77777777" w:rsidR="00063CE6" w:rsidRPr="00F246D4" w:rsidRDefault="00063CE6" w:rsidP="00063CE6">
            <w:pPr>
              <w:jc w:val="both"/>
              <w:rPr>
                <w:rFonts w:ascii="Arial" w:hAnsi="Arial"/>
                <w:b/>
                <w:sz w:val="18"/>
              </w:rPr>
            </w:pPr>
            <w:r>
              <w:rPr>
                <w:rFonts w:ascii="Arial" w:hAnsi="Arial" w:cs="Arial"/>
                <w:b/>
                <w:bCs/>
                <w:sz w:val="18"/>
                <w:szCs w:val="18"/>
              </w:rPr>
              <w:t>Jährliche Bestätigung:</w:t>
            </w:r>
            <w:r w:rsidRPr="00E07BBF">
              <w:rPr>
                <w:rFonts w:ascii="Arial" w:hAnsi="Arial" w:cs="Arial"/>
                <w:b/>
                <w:bCs/>
                <w:sz w:val="18"/>
                <w:szCs w:val="18"/>
              </w:rPr>
              <w:t xml:space="preserve"> </w:t>
            </w:r>
          </w:p>
        </w:tc>
      </w:tr>
      <w:tr w:rsidR="00063CE6" w:rsidRPr="009872F3" w14:paraId="056B2990" w14:textId="77777777" w:rsidTr="00063CE6">
        <w:tc>
          <w:tcPr>
            <w:tcW w:w="7785" w:type="dxa"/>
            <w:gridSpan w:val="3"/>
          </w:tcPr>
          <w:p w14:paraId="25672BF8" w14:textId="77777777" w:rsidR="00063CE6" w:rsidRPr="00F246D4" w:rsidRDefault="00063CE6" w:rsidP="00063CE6">
            <w:pPr>
              <w:jc w:val="both"/>
              <w:rPr>
                <w:rFonts w:ascii="Arial" w:hAnsi="Arial"/>
                <w:sz w:val="18"/>
              </w:rPr>
            </w:pPr>
            <w:r w:rsidRPr="00F246D4">
              <w:rPr>
                <w:rFonts w:ascii="Arial" w:hAnsi="Arial"/>
                <w:sz w:val="18"/>
              </w:rPr>
              <w:t xml:space="preserve">Bestätigung, dass </w:t>
            </w:r>
            <w:r w:rsidRPr="00F246D4">
              <w:rPr>
                <w:rFonts w:ascii="Arial" w:hAnsi="Arial" w:cs="Arial"/>
                <w:sz w:val="18"/>
                <w:szCs w:val="18"/>
              </w:rPr>
              <w:t>alle Kernelemente des</w:t>
            </w:r>
            <w:r w:rsidRPr="00F246D4">
              <w:rPr>
                <w:rFonts w:ascii="Arial" w:hAnsi="Arial"/>
                <w:sz w:val="18"/>
              </w:rPr>
              <w:t xml:space="preserve"> ICAAP </w:t>
            </w:r>
            <w:r w:rsidRPr="00F246D4">
              <w:rPr>
                <w:rFonts w:ascii="Arial" w:hAnsi="Arial" w:cs="Arial"/>
                <w:sz w:val="18"/>
                <w:szCs w:val="18"/>
              </w:rPr>
              <w:t>inkl. Limitenänderungen jährlich</w:t>
            </w:r>
            <w:r w:rsidRPr="00F246D4">
              <w:rPr>
                <w:rFonts w:ascii="Arial" w:hAnsi="Arial"/>
                <w:sz w:val="18"/>
              </w:rPr>
              <w:t xml:space="preserve"> und </w:t>
            </w:r>
            <w:r w:rsidRPr="00F246D4">
              <w:rPr>
                <w:rFonts w:ascii="Arial" w:hAnsi="Arial" w:cs="Arial"/>
                <w:sz w:val="18"/>
                <w:szCs w:val="18"/>
              </w:rPr>
              <w:t>vollständig erstellt und vom Verwaltungsrat genehmigt werden.</w:t>
            </w:r>
          </w:p>
        </w:tc>
        <w:tc>
          <w:tcPr>
            <w:tcW w:w="2443" w:type="dxa"/>
          </w:tcPr>
          <w:p w14:paraId="020E9B5E" w14:textId="73C38B1B" w:rsidR="00063CE6" w:rsidRPr="00F246D4" w:rsidRDefault="00063CE6" w:rsidP="00063CE6">
            <w:pPr>
              <w:jc w:val="both"/>
              <w:rPr>
                <w:rFonts w:ascii="Arial" w:hAnsi="Arial"/>
                <w:i/>
                <w:sz w:val="18"/>
              </w:rPr>
            </w:pPr>
            <w:r w:rsidRPr="00F246D4">
              <w:rPr>
                <w:rFonts w:ascii="Arial" w:hAnsi="Arial"/>
                <w:i/>
                <w:sz w:val="18"/>
                <w:highlight w:val="yellow"/>
              </w:rPr>
              <w:t>Ja (Detailprüfung</w:t>
            </w:r>
            <w:r w:rsidR="0047398B">
              <w:rPr>
                <w:rFonts w:ascii="Arial" w:hAnsi="Arial"/>
                <w:i/>
                <w:sz w:val="18"/>
                <w:highlight w:val="yellow"/>
              </w:rPr>
              <w:t xml:space="preserve">) </w:t>
            </w:r>
            <w:r w:rsidRPr="00F246D4">
              <w:rPr>
                <w:rFonts w:ascii="Arial" w:hAnsi="Arial"/>
                <w:i/>
                <w:sz w:val="18"/>
                <w:highlight w:val="yellow"/>
              </w:rPr>
              <w:t>/ Nein</w:t>
            </w:r>
            <w:r w:rsidRPr="00F246D4" w:rsidDel="00496A0A">
              <w:rPr>
                <w:rFonts w:ascii="Arial" w:hAnsi="Arial" w:cs="Arial"/>
                <w:sz w:val="18"/>
                <w:szCs w:val="18"/>
              </w:rPr>
              <w:t xml:space="preserve"> </w:t>
            </w:r>
          </w:p>
        </w:tc>
      </w:tr>
      <w:tr w:rsidR="00063CE6" w:rsidRPr="009872F3" w14:paraId="5532A0FC" w14:textId="77777777" w:rsidTr="00063CE6">
        <w:tc>
          <w:tcPr>
            <w:tcW w:w="10228" w:type="dxa"/>
            <w:gridSpan w:val="4"/>
          </w:tcPr>
          <w:p w14:paraId="7B262691" w14:textId="77777777" w:rsidR="00063CE6" w:rsidRPr="005B06CE" w:rsidRDefault="00063CE6" w:rsidP="00063CE6">
            <w:pPr>
              <w:jc w:val="both"/>
              <w:rPr>
                <w:rFonts w:ascii="Arial" w:hAnsi="Arial" w:cs="Arial"/>
                <w:b/>
                <w:bCs/>
                <w:sz w:val="18"/>
                <w:szCs w:val="18"/>
              </w:rPr>
            </w:pPr>
            <w:r w:rsidRPr="005B06CE">
              <w:rPr>
                <w:rFonts w:ascii="Arial" w:hAnsi="Arial" w:cs="Arial"/>
                <w:b/>
                <w:bCs/>
                <w:sz w:val="18"/>
                <w:szCs w:val="18"/>
              </w:rPr>
              <w:t>Rotierende Bestätigungen</w:t>
            </w:r>
            <w:r>
              <w:rPr>
                <w:rFonts w:ascii="Arial" w:hAnsi="Arial" w:cs="Arial"/>
                <w:b/>
                <w:bCs/>
                <w:sz w:val="18"/>
                <w:szCs w:val="18"/>
              </w:rPr>
              <w:t>:</w:t>
            </w:r>
          </w:p>
          <w:p w14:paraId="01A294C9" w14:textId="77777777" w:rsidR="00063CE6" w:rsidRPr="005B06CE" w:rsidRDefault="00063CE6" w:rsidP="00063CE6">
            <w:pPr>
              <w:jc w:val="both"/>
              <w:rPr>
                <w:rFonts w:ascii="Arial" w:hAnsi="Arial" w:cs="Arial"/>
                <w:i/>
                <w:sz w:val="18"/>
                <w:szCs w:val="18"/>
              </w:rPr>
            </w:pPr>
            <w:r>
              <w:rPr>
                <w:rFonts w:ascii="Arial" w:hAnsi="Arial" w:cs="Arial"/>
                <w:b/>
                <w:bCs/>
                <w:sz w:val="18"/>
                <w:szCs w:val="18"/>
              </w:rPr>
              <w:t>Intervention</w:t>
            </w:r>
            <w:r w:rsidRPr="005B06CE">
              <w:rPr>
                <w:rFonts w:ascii="Arial" w:hAnsi="Arial" w:cs="Arial"/>
                <w:b/>
                <w:bCs/>
                <w:sz w:val="18"/>
                <w:szCs w:val="18"/>
              </w:rPr>
              <w:t xml:space="preserve"> 1</w:t>
            </w:r>
            <w:r>
              <w:rPr>
                <w:rFonts w:ascii="Arial" w:hAnsi="Arial" w:cs="Arial"/>
                <w:b/>
                <w:bCs/>
                <w:sz w:val="18"/>
                <w:szCs w:val="18"/>
              </w:rPr>
              <w:t xml:space="preserve"> – </w:t>
            </w:r>
            <w:r w:rsidRPr="00AB6553">
              <w:rPr>
                <w:rFonts w:ascii="Arial" w:hAnsi="Arial" w:cs="Arial"/>
                <w:b/>
                <w:bCs/>
                <w:sz w:val="18"/>
                <w:szCs w:val="18"/>
              </w:rPr>
              <w:t>Risikoprofil</w:t>
            </w:r>
            <w:r>
              <w:rPr>
                <w:rFonts w:ascii="Arial" w:hAnsi="Arial" w:cs="Arial"/>
                <w:b/>
                <w:bCs/>
                <w:sz w:val="18"/>
                <w:szCs w:val="18"/>
              </w:rPr>
              <w:t xml:space="preserve"> und</w:t>
            </w:r>
            <w:r w:rsidRPr="00AB6553">
              <w:rPr>
                <w:rFonts w:ascii="Arial" w:hAnsi="Arial" w:cs="Arial"/>
                <w:b/>
                <w:bCs/>
                <w:sz w:val="18"/>
                <w:szCs w:val="18"/>
              </w:rPr>
              <w:t xml:space="preserve"> Risikoaggregation</w:t>
            </w:r>
            <w:r w:rsidRPr="005B06CE">
              <w:rPr>
                <w:rFonts w:ascii="Arial" w:hAnsi="Arial" w:cs="Arial"/>
                <w:b/>
                <w:bCs/>
                <w:sz w:val="18"/>
                <w:szCs w:val="18"/>
              </w:rPr>
              <w:t>:</w:t>
            </w:r>
          </w:p>
        </w:tc>
      </w:tr>
      <w:tr w:rsidR="00063CE6" w:rsidRPr="009872F3" w14:paraId="53DE0CAE" w14:textId="77777777" w:rsidTr="00063CE6">
        <w:trPr>
          <w:trHeight w:val="689"/>
        </w:trPr>
        <w:tc>
          <w:tcPr>
            <w:tcW w:w="7785" w:type="dxa"/>
            <w:gridSpan w:val="3"/>
          </w:tcPr>
          <w:p w14:paraId="1256C5B5" w14:textId="145A7267" w:rsidR="00063CE6" w:rsidRDefault="00063CE6" w:rsidP="00063CE6">
            <w:pPr>
              <w:jc w:val="both"/>
              <w:rPr>
                <w:rFonts w:ascii="Arial" w:hAnsi="Arial" w:cs="Arial"/>
                <w:sz w:val="18"/>
                <w:szCs w:val="18"/>
              </w:rPr>
            </w:pPr>
            <w:r>
              <w:rPr>
                <w:rFonts w:ascii="Arial" w:hAnsi="Arial" w:cs="Arial"/>
                <w:sz w:val="18"/>
                <w:szCs w:val="18"/>
              </w:rPr>
              <w:t xml:space="preserve">Bestätigung, dass die internen Verfahren die angemessene quantitative Risikotragfähigkeitsrechnung für alle für das Geschäftsmodell der </w:t>
            </w:r>
            <w:r w:rsidR="0008336D" w:rsidRPr="00BF6946">
              <w:rPr>
                <w:rFonts w:ascii="Arial" w:hAnsi="Arial" w:cs="Arial"/>
                <w:sz w:val="18"/>
                <w:szCs w:val="18"/>
              </w:rPr>
              <w:t>Bank/Wertpapierfirma bzw. der Gruppe</w:t>
            </w:r>
            <w:r>
              <w:rPr>
                <w:rFonts w:ascii="Arial" w:hAnsi="Arial" w:cs="Arial"/>
                <w:sz w:val="18"/>
                <w:szCs w:val="18"/>
              </w:rPr>
              <w:t xml:space="preserve"> wesentlichen Risikoarten </w:t>
            </w:r>
            <w:r w:rsidRPr="00B13BD6">
              <w:rPr>
                <w:rFonts w:ascii="Arial" w:hAnsi="Arial" w:cs="Arial"/>
                <w:sz w:val="18"/>
                <w:szCs w:val="18"/>
              </w:rPr>
              <w:t>inkl. der Berücksichtigung neuer Märkte und Produkte in der Simulationsplanung unter</w:t>
            </w:r>
            <w:r>
              <w:rPr>
                <w:rFonts w:ascii="Arial" w:hAnsi="Arial" w:cs="Arial"/>
                <w:sz w:val="18"/>
                <w:szCs w:val="18"/>
              </w:rPr>
              <w:t xml:space="preserve"> Berücksichtigung der ökonomischen und der regulatorischen ICAAP-Perspektiven sicherstellen.</w:t>
            </w:r>
          </w:p>
        </w:tc>
        <w:tc>
          <w:tcPr>
            <w:tcW w:w="2443" w:type="dxa"/>
          </w:tcPr>
          <w:p w14:paraId="25EB6DBF" w14:textId="6D15B814" w:rsidR="00063CE6" w:rsidRPr="00F246D4" w:rsidRDefault="0047398B" w:rsidP="00063CE6">
            <w:pPr>
              <w:jc w:val="both"/>
              <w:rPr>
                <w:rFonts w:ascii="Arial" w:hAnsi="Arial"/>
                <w:i/>
                <w:sz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417FB7BA" w14:textId="77777777" w:rsidTr="00063CE6">
        <w:tc>
          <w:tcPr>
            <w:tcW w:w="7785" w:type="dxa"/>
            <w:gridSpan w:val="3"/>
          </w:tcPr>
          <w:p w14:paraId="08995651" w14:textId="77777777" w:rsidR="00063CE6" w:rsidRDefault="00063CE6" w:rsidP="00063CE6">
            <w:pPr>
              <w:jc w:val="both"/>
              <w:rPr>
                <w:rFonts w:ascii="Arial" w:hAnsi="Arial" w:cs="Arial"/>
                <w:sz w:val="18"/>
                <w:szCs w:val="18"/>
              </w:rPr>
            </w:pPr>
            <w:r>
              <w:rPr>
                <w:rFonts w:ascii="Arial" w:hAnsi="Arial" w:cs="Arial"/>
                <w:sz w:val="18"/>
                <w:szCs w:val="18"/>
              </w:rPr>
              <w:t>Bestätigung, dass die internen Verfahren die Berücksichtigung wesentlicher Korrelationen, Konzentrationen und Diversifikationsmöglichkeiten zwischen den Risikoarten im Rahmen der Risikotragfähigkeitsrechnung sicherstellen und in angemessener Weise die Risiken zum Gesamtrisiko aggregiert werden.</w:t>
            </w:r>
          </w:p>
        </w:tc>
        <w:tc>
          <w:tcPr>
            <w:tcW w:w="2443" w:type="dxa"/>
          </w:tcPr>
          <w:p w14:paraId="7D911280" w14:textId="4743619E" w:rsidR="00063CE6" w:rsidRPr="00F246D4" w:rsidRDefault="0047398B" w:rsidP="00063CE6">
            <w:pPr>
              <w:jc w:val="both"/>
              <w:rPr>
                <w:rFonts w:ascii="Arial" w:hAnsi="Arial"/>
                <w:i/>
                <w:sz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44013843" w14:textId="77777777" w:rsidTr="00063CE6">
        <w:tc>
          <w:tcPr>
            <w:tcW w:w="7785" w:type="dxa"/>
            <w:gridSpan w:val="3"/>
          </w:tcPr>
          <w:p w14:paraId="5BB844E4" w14:textId="77777777" w:rsidR="00063CE6" w:rsidRPr="00F246D4" w:rsidRDefault="00063CE6" w:rsidP="00063CE6">
            <w:pPr>
              <w:jc w:val="both"/>
              <w:rPr>
                <w:rFonts w:ascii="Arial" w:hAnsi="Arial"/>
                <w:sz w:val="18"/>
              </w:rPr>
            </w:pPr>
            <w:r w:rsidRPr="00D61702">
              <w:rPr>
                <w:rFonts w:ascii="Arial" w:hAnsi="Arial"/>
                <w:sz w:val="18"/>
              </w:rPr>
              <w:t xml:space="preserve">Bestätigung, dass die internen Verfahren </w:t>
            </w:r>
            <w:r w:rsidRPr="00D61702">
              <w:rPr>
                <w:rFonts w:ascii="Arial" w:hAnsi="Arial" w:cs="Arial"/>
                <w:sz w:val="18"/>
                <w:szCs w:val="18"/>
              </w:rPr>
              <w:t>ein Deckungspotential in angemessener Höhe</w:t>
            </w:r>
            <w:r w:rsidRPr="00D61702">
              <w:rPr>
                <w:rFonts w:ascii="Arial" w:hAnsi="Arial"/>
                <w:sz w:val="18"/>
              </w:rPr>
              <w:t xml:space="preserve"> und </w:t>
            </w:r>
            <w:r w:rsidRPr="00D61702">
              <w:rPr>
                <w:rFonts w:ascii="Arial" w:hAnsi="Arial" w:cs="Arial"/>
                <w:sz w:val="18"/>
                <w:szCs w:val="18"/>
              </w:rPr>
              <w:t>Qualität zur vollen Verlustabsorption</w:t>
            </w:r>
            <w:r w:rsidRPr="00D61702">
              <w:rPr>
                <w:rFonts w:ascii="Arial" w:hAnsi="Arial"/>
                <w:sz w:val="18"/>
              </w:rPr>
              <w:t xml:space="preserve"> sicherstellen, sodass der Risikoappetit der Risikotragfähigkeitsberechnung die Risikodeckungsmasse nicht übersteigt</w:t>
            </w:r>
            <w:r>
              <w:rPr>
                <w:rFonts w:ascii="Arial" w:hAnsi="Arial"/>
                <w:sz w:val="18"/>
              </w:rPr>
              <w:t xml:space="preserve"> und auch unter gewissen Stressszenarien nicht übersteigen kann,</w:t>
            </w:r>
            <w:r>
              <w:rPr>
                <w:rFonts w:ascii="Arial" w:hAnsi="Arial" w:cs="Arial"/>
                <w:sz w:val="18"/>
                <w:szCs w:val="18"/>
              </w:rPr>
              <w:t xml:space="preserve"> und </w:t>
            </w:r>
            <w:r w:rsidRPr="00A625E5">
              <w:rPr>
                <w:rFonts w:ascii="Arial" w:hAnsi="Arial" w:cs="Arial"/>
                <w:sz w:val="18"/>
                <w:szCs w:val="18"/>
              </w:rPr>
              <w:t>eine angemessene Allokation des Kapitals gewährleistet ist</w:t>
            </w:r>
            <w:r>
              <w:rPr>
                <w:rFonts w:ascii="Arial" w:hAnsi="Arial" w:cs="Arial"/>
                <w:sz w:val="18"/>
                <w:szCs w:val="18"/>
              </w:rPr>
              <w:t xml:space="preserve"> </w:t>
            </w:r>
          </w:p>
        </w:tc>
        <w:tc>
          <w:tcPr>
            <w:tcW w:w="2443" w:type="dxa"/>
          </w:tcPr>
          <w:p w14:paraId="4737D55D" w14:textId="7287C53F" w:rsidR="00063CE6" w:rsidRPr="00F246D4" w:rsidRDefault="0047398B" w:rsidP="00063CE6">
            <w:pPr>
              <w:jc w:val="both"/>
              <w:rPr>
                <w:rFonts w:ascii="Arial" w:hAnsi="Arial"/>
                <w:i/>
                <w:sz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6AA66C99" w14:textId="77777777" w:rsidTr="00063CE6">
        <w:tc>
          <w:tcPr>
            <w:tcW w:w="10228" w:type="dxa"/>
            <w:gridSpan w:val="4"/>
          </w:tcPr>
          <w:p w14:paraId="7DD83642" w14:textId="77777777" w:rsidR="00063CE6" w:rsidRPr="00F246D4" w:rsidRDefault="00063CE6" w:rsidP="00063CE6">
            <w:pPr>
              <w:jc w:val="both"/>
              <w:rPr>
                <w:rFonts w:ascii="Arial" w:hAnsi="Arial"/>
                <w:b/>
                <w:sz w:val="18"/>
              </w:rPr>
            </w:pPr>
            <w:r>
              <w:rPr>
                <w:rFonts w:ascii="Arial" w:hAnsi="Arial" w:cs="Arial"/>
                <w:b/>
                <w:bCs/>
                <w:sz w:val="18"/>
                <w:szCs w:val="18"/>
              </w:rPr>
              <w:t>Intervention</w:t>
            </w:r>
            <w:r w:rsidRPr="005B06CE">
              <w:rPr>
                <w:rFonts w:ascii="Arial" w:hAnsi="Arial" w:cs="Arial"/>
                <w:b/>
                <w:bCs/>
                <w:sz w:val="18"/>
                <w:szCs w:val="18"/>
              </w:rPr>
              <w:t xml:space="preserve"> 2</w:t>
            </w:r>
            <w:r>
              <w:rPr>
                <w:rFonts w:ascii="Arial" w:hAnsi="Arial" w:cs="Arial"/>
                <w:b/>
                <w:bCs/>
                <w:sz w:val="18"/>
                <w:szCs w:val="18"/>
              </w:rPr>
              <w:t xml:space="preserve"> – </w:t>
            </w:r>
            <w:r w:rsidRPr="00AB6553">
              <w:rPr>
                <w:rFonts w:ascii="Arial" w:hAnsi="Arial" w:cs="Arial"/>
                <w:b/>
                <w:bCs/>
                <w:sz w:val="18"/>
                <w:szCs w:val="18"/>
              </w:rPr>
              <w:t>Governance, Limitenwesen und inter</w:t>
            </w:r>
            <w:r>
              <w:rPr>
                <w:rFonts w:ascii="Arial" w:hAnsi="Arial" w:cs="Arial"/>
                <w:b/>
                <w:bCs/>
                <w:sz w:val="18"/>
                <w:szCs w:val="18"/>
              </w:rPr>
              <w:t>n</w:t>
            </w:r>
            <w:r w:rsidRPr="00AB6553">
              <w:rPr>
                <w:rFonts w:ascii="Arial" w:hAnsi="Arial" w:cs="Arial"/>
                <w:b/>
                <w:bCs/>
                <w:sz w:val="18"/>
                <w:szCs w:val="18"/>
              </w:rPr>
              <w:t>es Risikoreporting</w:t>
            </w:r>
            <w:r w:rsidRPr="005B06CE">
              <w:rPr>
                <w:rFonts w:ascii="Arial" w:hAnsi="Arial" w:cs="Arial"/>
                <w:b/>
                <w:bCs/>
                <w:sz w:val="18"/>
                <w:szCs w:val="18"/>
              </w:rPr>
              <w:t>:</w:t>
            </w:r>
          </w:p>
        </w:tc>
      </w:tr>
      <w:tr w:rsidR="00063CE6" w:rsidRPr="00E109DF" w14:paraId="2D77E5FE" w14:textId="77777777" w:rsidTr="00063CE6">
        <w:tc>
          <w:tcPr>
            <w:tcW w:w="7785" w:type="dxa"/>
            <w:gridSpan w:val="3"/>
          </w:tcPr>
          <w:p w14:paraId="0DA115B5" w14:textId="77777777" w:rsidR="00063CE6" w:rsidRDefault="00063CE6" w:rsidP="00063CE6">
            <w:pPr>
              <w:jc w:val="both"/>
              <w:rPr>
                <w:rFonts w:ascii="Arial" w:hAnsi="Arial" w:cs="Arial"/>
                <w:sz w:val="18"/>
                <w:szCs w:val="18"/>
              </w:rPr>
            </w:pPr>
            <w:r>
              <w:rPr>
                <w:rFonts w:ascii="Arial" w:hAnsi="Arial" w:cs="Arial"/>
                <w:sz w:val="18"/>
                <w:szCs w:val="18"/>
              </w:rPr>
              <w:t xml:space="preserve">Bestätigung, dass </w:t>
            </w:r>
            <w:r w:rsidRPr="003D31C0">
              <w:rPr>
                <w:rFonts w:ascii="Arial" w:hAnsi="Arial" w:cs="Arial"/>
                <w:sz w:val="18"/>
                <w:szCs w:val="18"/>
              </w:rPr>
              <w:t>eine kohärente</w:t>
            </w:r>
            <w:r>
              <w:rPr>
                <w:rFonts w:ascii="Arial" w:hAnsi="Arial" w:cs="Arial"/>
                <w:sz w:val="18"/>
                <w:szCs w:val="18"/>
              </w:rPr>
              <w:t xml:space="preserve"> und angemessene</w:t>
            </w:r>
            <w:r w:rsidRPr="003D31C0">
              <w:rPr>
                <w:rFonts w:ascii="Arial" w:hAnsi="Arial" w:cs="Arial"/>
                <w:sz w:val="18"/>
                <w:szCs w:val="18"/>
              </w:rPr>
              <w:t xml:space="preserve"> Governance </w:t>
            </w:r>
            <w:r>
              <w:rPr>
                <w:rFonts w:ascii="Arial" w:hAnsi="Arial" w:cs="Arial"/>
                <w:sz w:val="18"/>
                <w:szCs w:val="18"/>
              </w:rPr>
              <w:t>in Bezug auf</w:t>
            </w:r>
            <w:r w:rsidRPr="003D31C0">
              <w:rPr>
                <w:rFonts w:ascii="Arial" w:hAnsi="Arial" w:cs="Arial"/>
                <w:sz w:val="18"/>
                <w:szCs w:val="18"/>
              </w:rPr>
              <w:t xml:space="preserve"> Weisungswesen, Risikoappetit, Limiten</w:t>
            </w:r>
            <w:r>
              <w:rPr>
                <w:rFonts w:ascii="Arial" w:hAnsi="Arial" w:cs="Arial"/>
                <w:sz w:val="18"/>
                <w:szCs w:val="18"/>
              </w:rPr>
              <w:t>, Stresstesting (Zuständigkeiten, Rapport, Kohärenz zum Limitenwesen)</w:t>
            </w:r>
            <w:r w:rsidRPr="003D31C0">
              <w:rPr>
                <w:rFonts w:ascii="Arial" w:hAnsi="Arial" w:cs="Arial"/>
                <w:sz w:val="18"/>
                <w:szCs w:val="18"/>
              </w:rPr>
              <w:t xml:space="preserve"> und Frühwarnindikatoren sowie interne</w:t>
            </w:r>
            <w:r>
              <w:rPr>
                <w:rFonts w:ascii="Arial" w:hAnsi="Arial" w:cs="Arial"/>
                <w:sz w:val="18"/>
                <w:szCs w:val="18"/>
              </w:rPr>
              <w:t xml:space="preserve"> Risikoberichterstattung (Adressaten, Periodizität) </w:t>
            </w:r>
            <w:r w:rsidRPr="0052531C">
              <w:rPr>
                <w:rFonts w:ascii="Arial" w:hAnsi="Arial" w:cs="Arial"/>
                <w:sz w:val="18"/>
                <w:szCs w:val="18"/>
              </w:rPr>
              <w:t>sichergestellt wird.</w:t>
            </w:r>
          </w:p>
        </w:tc>
        <w:tc>
          <w:tcPr>
            <w:tcW w:w="2443" w:type="dxa"/>
          </w:tcPr>
          <w:p w14:paraId="77CA7859" w14:textId="69AF0D9E" w:rsidR="00063CE6" w:rsidRPr="00DF1993" w:rsidRDefault="0047398B" w:rsidP="00063CE6">
            <w:pPr>
              <w:jc w:val="both"/>
              <w:rPr>
                <w:rFonts w:ascii="Arial" w:hAnsi="Arial" w:cs="Arial"/>
                <w:i/>
                <w:sz w:val="18"/>
                <w:szCs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E109DF" w14:paraId="69159F0D" w14:textId="77777777" w:rsidTr="00063CE6">
        <w:tc>
          <w:tcPr>
            <w:tcW w:w="7785" w:type="dxa"/>
            <w:gridSpan w:val="3"/>
          </w:tcPr>
          <w:p w14:paraId="6BBF1E42" w14:textId="77777777" w:rsidR="00063CE6" w:rsidRDefault="00063CE6" w:rsidP="00063CE6">
            <w:pPr>
              <w:jc w:val="both"/>
              <w:rPr>
                <w:rFonts w:ascii="Arial" w:hAnsi="Arial" w:cs="Arial"/>
                <w:sz w:val="18"/>
                <w:szCs w:val="18"/>
              </w:rPr>
            </w:pPr>
            <w:r>
              <w:rPr>
                <w:rFonts w:ascii="Arial" w:hAnsi="Arial" w:cs="Arial"/>
                <w:sz w:val="18"/>
                <w:szCs w:val="18"/>
              </w:rPr>
              <w:t xml:space="preserve">Bestätigung, dass die </w:t>
            </w:r>
            <w:r w:rsidRPr="00E674C6">
              <w:rPr>
                <w:rFonts w:ascii="Arial" w:hAnsi="Arial" w:cs="Arial"/>
                <w:sz w:val="18"/>
                <w:szCs w:val="18"/>
              </w:rPr>
              <w:t xml:space="preserve">Bewertungen aus der </w:t>
            </w:r>
            <w:r>
              <w:rPr>
                <w:rFonts w:ascii="Arial" w:hAnsi="Arial" w:cs="Arial"/>
                <w:sz w:val="18"/>
                <w:szCs w:val="18"/>
              </w:rPr>
              <w:t xml:space="preserve">regulatorischen Perspektive sowie aus der </w:t>
            </w:r>
            <w:r w:rsidRPr="00E674C6">
              <w:rPr>
                <w:rFonts w:ascii="Arial" w:hAnsi="Arial" w:cs="Arial"/>
                <w:sz w:val="18"/>
                <w:szCs w:val="18"/>
              </w:rPr>
              <w:t xml:space="preserve">ökonomisch internen Perspektive in die interne Berichterstattung, </w:t>
            </w:r>
            <w:r>
              <w:rPr>
                <w:rFonts w:ascii="Arial" w:hAnsi="Arial" w:cs="Arial"/>
                <w:sz w:val="18"/>
                <w:szCs w:val="18"/>
              </w:rPr>
              <w:t xml:space="preserve">das </w:t>
            </w:r>
            <w:r w:rsidRPr="00E674C6">
              <w:rPr>
                <w:rFonts w:ascii="Arial" w:hAnsi="Arial" w:cs="Arial"/>
                <w:sz w:val="18"/>
                <w:szCs w:val="18"/>
              </w:rPr>
              <w:t xml:space="preserve">Limitenwesen und </w:t>
            </w:r>
            <w:r>
              <w:rPr>
                <w:rFonts w:ascii="Arial" w:hAnsi="Arial" w:cs="Arial"/>
                <w:sz w:val="18"/>
                <w:szCs w:val="18"/>
              </w:rPr>
              <w:t xml:space="preserve">das </w:t>
            </w:r>
            <w:r w:rsidRPr="00E674C6">
              <w:rPr>
                <w:rFonts w:ascii="Arial" w:hAnsi="Arial" w:cs="Arial"/>
                <w:sz w:val="18"/>
                <w:szCs w:val="18"/>
              </w:rPr>
              <w:t>Risikoappetitrahmenwerk e</w:t>
            </w:r>
            <w:r>
              <w:rPr>
                <w:rFonts w:ascii="Arial" w:hAnsi="Arial" w:cs="Arial"/>
                <w:sz w:val="18"/>
                <w:szCs w:val="18"/>
              </w:rPr>
              <w:t>infliessen.</w:t>
            </w:r>
          </w:p>
        </w:tc>
        <w:tc>
          <w:tcPr>
            <w:tcW w:w="2443" w:type="dxa"/>
          </w:tcPr>
          <w:p w14:paraId="1DF8B3C7" w14:textId="53880F9B" w:rsidR="00063CE6" w:rsidRPr="00ED7968" w:rsidRDefault="0047398B" w:rsidP="00063CE6">
            <w:pPr>
              <w:jc w:val="both"/>
              <w:rPr>
                <w:rFonts w:ascii="Arial" w:hAnsi="Arial" w:cs="Arial"/>
                <w:i/>
                <w:sz w:val="18"/>
                <w:szCs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3BC571DF" w14:textId="77777777" w:rsidTr="00063CE6">
        <w:tc>
          <w:tcPr>
            <w:tcW w:w="10228" w:type="dxa"/>
            <w:gridSpan w:val="4"/>
          </w:tcPr>
          <w:p w14:paraId="7D8393AE" w14:textId="77777777" w:rsidR="00063CE6" w:rsidRPr="003D31C0" w:rsidRDefault="00063CE6" w:rsidP="00063CE6">
            <w:pPr>
              <w:jc w:val="both"/>
              <w:rPr>
                <w:rFonts w:ascii="Arial" w:hAnsi="Arial" w:cs="Arial"/>
                <w:i/>
                <w:sz w:val="18"/>
                <w:szCs w:val="18"/>
              </w:rPr>
            </w:pPr>
            <w:r>
              <w:rPr>
                <w:rFonts w:ascii="Arial" w:hAnsi="Arial" w:cs="Arial"/>
                <w:b/>
                <w:bCs/>
                <w:sz w:val="18"/>
                <w:szCs w:val="18"/>
              </w:rPr>
              <w:t>Intervention</w:t>
            </w:r>
            <w:r w:rsidRPr="003D31C0">
              <w:rPr>
                <w:rFonts w:ascii="Arial" w:hAnsi="Arial" w:cs="Arial"/>
                <w:b/>
                <w:bCs/>
                <w:sz w:val="18"/>
                <w:szCs w:val="18"/>
              </w:rPr>
              <w:t xml:space="preserve"> 3</w:t>
            </w:r>
            <w:r>
              <w:rPr>
                <w:rFonts w:ascii="Arial" w:hAnsi="Arial" w:cs="Arial"/>
                <w:b/>
                <w:bCs/>
                <w:sz w:val="18"/>
                <w:szCs w:val="18"/>
              </w:rPr>
              <w:t xml:space="preserve"> – Stresstesting und Plan-Szenarien</w:t>
            </w:r>
            <w:r w:rsidRPr="003D31C0">
              <w:rPr>
                <w:rFonts w:ascii="Arial" w:hAnsi="Arial" w:cs="Arial"/>
                <w:b/>
                <w:bCs/>
                <w:sz w:val="18"/>
                <w:szCs w:val="18"/>
              </w:rPr>
              <w:t>:</w:t>
            </w:r>
          </w:p>
        </w:tc>
      </w:tr>
      <w:tr w:rsidR="00063CE6" w:rsidRPr="009872F3" w14:paraId="1C542273" w14:textId="77777777" w:rsidTr="00063CE6">
        <w:tc>
          <w:tcPr>
            <w:tcW w:w="7785" w:type="dxa"/>
            <w:gridSpan w:val="3"/>
          </w:tcPr>
          <w:p w14:paraId="20AE5500" w14:textId="72056ED3" w:rsidR="00063CE6" w:rsidRDefault="00063CE6" w:rsidP="00063CE6">
            <w:pPr>
              <w:jc w:val="both"/>
              <w:rPr>
                <w:rFonts w:ascii="Arial" w:hAnsi="Arial" w:cs="Arial"/>
                <w:sz w:val="18"/>
                <w:szCs w:val="18"/>
              </w:rPr>
            </w:pPr>
            <w:r>
              <w:rPr>
                <w:rFonts w:ascii="Arial" w:hAnsi="Arial" w:cs="Arial"/>
                <w:sz w:val="18"/>
                <w:szCs w:val="18"/>
              </w:rPr>
              <w:t xml:space="preserve">Bestätigung, dass die internen Verfahren sicherstellen, dass das Stresstesting hinsichtlich Art, Umfang und Komplexität der Geschäftstätigkeit der </w:t>
            </w:r>
            <w:r w:rsidR="0008336D" w:rsidRPr="00BF6946">
              <w:rPr>
                <w:rFonts w:ascii="Arial" w:hAnsi="Arial" w:cs="Arial"/>
                <w:sz w:val="18"/>
                <w:szCs w:val="18"/>
              </w:rPr>
              <w:t>Bank/Wertpapierfirma bzw. der Gruppe</w:t>
            </w:r>
            <w:r w:rsidR="0008336D" w:rsidDel="0008336D">
              <w:rPr>
                <w:rFonts w:ascii="Arial" w:hAnsi="Arial" w:cs="Arial"/>
                <w:sz w:val="18"/>
                <w:szCs w:val="18"/>
              </w:rPr>
              <w:t xml:space="preserve"> </w:t>
            </w:r>
            <w:r>
              <w:rPr>
                <w:rFonts w:ascii="Arial" w:hAnsi="Arial" w:cs="Arial"/>
                <w:sz w:val="18"/>
                <w:szCs w:val="18"/>
              </w:rPr>
              <w:t>angemessen (inkl. Schweregrad der Szenarien) und vollständig ist.</w:t>
            </w:r>
          </w:p>
        </w:tc>
        <w:tc>
          <w:tcPr>
            <w:tcW w:w="2443" w:type="dxa"/>
          </w:tcPr>
          <w:p w14:paraId="5AFFA46F" w14:textId="0FD822C5" w:rsidR="00063CE6" w:rsidRPr="00F246D4" w:rsidRDefault="0047398B" w:rsidP="00063CE6">
            <w:pPr>
              <w:jc w:val="both"/>
              <w:rPr>
                <w:rFonts w:ascii="Arial" w:hAnsi="Arial"/>
                <w:i/>
                <w:sz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7FCCCDE4" w14:textId="77777777" w:rsidTr="00063CE6">
        <w:tc>
          <w:tcPr>
            <w:tcW w:w="7785" w:type="dxa"/>
            <w:gridSpan w:val="3"/>
          </w:tcPr>
          <w:p w14:paraId="62BA4D5F" w14:textId="77777777" w:rsidR="00063CE6" w:rsidRDefault="00063CE6" w:rsidP="00063CE6">
            <w:pPr>
              <w:jc w:val="both"/>
              <w:rPr>
                <w:rFonts w:ascii="Arial" w:hAnsi="Arial" w:cs="Arial"/>
                <w:sz w:val="18"/>
                <w:szCs w:val="18"/>
              </w:rPr>
            </w:pPr>
            <w:r w:rsidRPr="2F0DC2E5">
              <w:rPr>
                <w:rFonts w:ascii="Arial" w:hAnsi="Arial" w:cs="Arial"/>
                <w:sz w:val="18"/>
                <w:szCs w:val="18"/>
              </w:rPr>
              <w:t>Bestätigung, dass die internen Verfahren sicherstellen, dass angemessene nachvollziehbare Sensitivitätsanalysen und Szenarioanalysen sowie inverse Stresstests und inverse Stresstest-Szenarien im Stresstest-</w:t>
            </w:r>
            <w:r>
              <w:rPr>
                <w:rFonts w:ascii="Arial" w:hAnsi="Arial" w:cs="Arial"/>
                <w:sz w:val="18"/>
                <w:szCs w:val="18"/>
              </w:rPr>
              <w:t>Programm</w:t>
            </w:r>
            <w:r w:rsidRPr="2F0DC2E5">
              <w:rPr>
                <w:rFonts w:ascii="Arial" w:hAnsi="Arial" w:cs="Arial"/>
                <w:sz w:val="18"/>
                <w:szCs w:val="18"/>
              </w:rPr>
              <w:t xml:space="preserve"> berücksichtigt und effektiv angewandt werden</w:t>
            </w:r>
            <w:r>
              <w:rPr>
                <w:rFonts w:ascii="Arial" w:hAnsi="Arial" w:cs="Arial"/>
                <w:sz w:val="18"/>
                <w:szCs w:val="18"/>
              </w:rPr>
              <w:t>.</w:t>
            </w:r>
          </w:p>
        </w:tc>
        <w:tc>
          <w:tcPr>
            <w:tcW w:w="2443" w:type="dxa"/>
          </w:tcPr>
          <w:p w14:paraId="20372D2D" w14:textId="1BD073E1" w:rsidR="00063CE6" w:rsidRPr="003D31C0" w:rsidRDefault="0047398B" w:rsidP="00063CE6">
            <w:pPr>
              <w:jc w:val="both"/>
              <w:rPr>
                <w:rFonts w:ascii="Arial" w:hAnsi="Arial" w:cs="Arial"/>
                <w:i/>
                <w:sz w:val="18"/>
                <w:szCs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6AC6C1FA" w14:textId="77777777" w:rsidTr="00063CE6">
        <w:tc>
          <w:tcPr>
            <w:tcW w:w="7785" w:type="dxa"/>
            <w:gridSpan w:val="3"/>
          </w:tcPr>
          <w:p w14:paraId="6F03AD05" w14:textId="77777777" w:rsidR="00063CE6" w:rsidRPr="00DB5FF8" w:rsidRDefault="00063CE6" w:rsidP="00063CE6">
            <w:pPr>
              <w:jc w:val="both"/>
              <w:rPr>
                <w:rFonts w:ascii="Arial" w:hAnsi="Arial" w:cs="Arial"/>
                <w:sz w:val="18"/>
                <w:szCs w:val="18"/>
              </w:rPr>
            </w:pPr>
            <w:r w:rsidRPr="00DB5FF8">
              <w:rPr>
                <w:rFonts w:ascii="Arial" w:hAnsi="Arial" w:cs="Arial"/>
                <w:sz w:val="18"/>
                <w:szCs w:val="18"/>
              </w:rPr>
              <w:lastRenderedPageBreak/>
              <w:t xml:space="preserve">Bestätigung, dass ein angemessener Planungshorizont für die regulatorische Perspektive (mind. drei Jahre Planungshorizont) und für die ökonomische Perspektive (mind. ein Jahr Planungshorizont) besteht und ein Abgleich zwischen Budget-, Kapital- und Risikoplanung getätigt wird.  </w:t>
            </w:r>
          </w:p>
        </w:tc>
        <w:tc>
          <w:tcPr>
            <w:tcW w:w="2443" w:type="dxa"/>
          </w:tcPr>
          <w:p w14:paraId="7B118921" w14:textId="1732A2F2" w:rsidR="00063CE6" w:rsidRPr="00C96F57" w:rsidRDefault="0047398B" w:rsidP="00063CE6">
            <w:pPr>
              <w:jc w:val="both"/>
              <w:rPr>
                <w:rFonts w:ascii="Arial" w:hAnsi="Arial" w:cs="Arial"/>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bookmarkEnd w:id="75"/>
    </w:tbl>
    <w:p w14:paraId="281CF9EA" w14:textId="77777777" w:rsidR="00063CE6" w:rsidRDefault="00063CE6" w:rsidP="00E94778">
      <w:pPr>
        <w:jc w:val="both"/>
        <w:rPr>
          <w:rFonts w:ascii="Arial" w:hAnsi="Arial" w:cs="Arial"/>
          <w:i/>
          <w:sz w:val="20"/>
          <w:szCs w:val="20"/>
          <w:highlight w:val="yellow"/>
        </w:rPr>
      </w:pPr>
    </w:p>
    <w:tbl>
      <w:tblPr>
        <w:tblStyle w:val="Tabellenraster"/>
        <w:tblW w:w="0" w:type="auto"/>
        <w:tblInd w:w="-714" w:type="dxa"/>
        <w:tblLook w:val="04A0" w:firstRow="1" w:lastRow="0" w:firstColumn="1" w:lastColumn="0" w:noHBand="0" w:noVBand="1"/>
      </w:tblPr>
      <w:tblGrid>
        <w:gridCol w:w="1906"/>
        <w:gridCol w:w="2244"/>
        <w:gridCol w:w="5773"/>
      </w:tblGrid>
      <w:tr w:rsidR="00063CE6" w:rsidRPr="00CE3194" w14:paraId="058577FC" w14:textId="77777777" w:rsidTr="00063CE6">
        <w:tc>
          <w:tcPr>
            <w:tcW w:w="4150" w:type="dxa"/>
            <w:gridSpan w:val="2"/>
          </w:tcPr>
          <w:p w14:paraId="5A308873" w14:textId="77777777" w:rsidR="00063CE6" w:rsidRPr="002D29FE" w:rsidRDefault="00063CE6" w:rsidP="00063CE6">
            <w:pPr>
              <w:jc w:val="both"/>
              <w:rPr>
                <w:rFonts w:ascii="Arial" w:hAnsi="Arial" w:cs="Arial"/>
                <w:b/>
                <w:i/>
                <w:sz w:val="20"/>
                <w:szCs w:val="20"/>
              </w:rPr>
            </w:pPr>
            <w:bookmarkStart w:id="76" w:name="_Hlk118663860"/>
            <w:r w:rsidRPr="002D29FE">
              <w:rPr>
                <w:rFonts w:ascii="Arial" w:hAnsi="Arial" w:cs="Arial"/>
                <w:b/>
                <w:i/>
                <w:sz w:val="20"/>
                <w:szCs w:val="20"/>
              </w:rPr>
              <w:t xml:space="preserve">Jährliche </w:t>
            </w:r>
            <w:r w:rsidRPr="00F246D4">
              <w:rPr>
                <w:rFonts w:ascii="Arial" w:hAnsi="Arial"/>
                <w:b/>
                <w:i/>
                <w:sz w:val="20"/>
              </w:rPr>
              <w:t>Prüfelemente</w:t>
            </w:r>
          </w:p>
          <w:p w14:paraId="12EF8470" w14:textId="77777777" w:rsidR="00063CE6" w:rsidRPr="00F246D4" w:rsidRDefault="00063CE6" w:rsidP="00063CE6">
            <w:pPr>
              <w:jc w:val="both"/>
              <w:rPr>
                <w:rFonts w:ascii="Arial" w:hAnsi="Arial"/>
                <w:b/>
                <w:i/>
                <w:sz w:val="20"/>
              </w:rPr>
            </w:pPr>
          </w:p>
        </w:tc>
        <w:tc>
          <w:tcPr>
            <w:tcW w:w="5773" w:type="dxa"/>
          </w:tcPr>
          <w:p w14:paraId="09B87C4E" w14:textId="77777777" w:rsidR="00063CE6" w:rsidRPr="00F246D4" w:rsidRDefault="00063CE6" w:rsidP="00063CE6">
            <w:pPr>
              <w:jc w:val="both"/>
              <w:rPr>
                <w:rFonts w:ascii="Arial" w:hAnsi="Arial"/>
                <w:b/>
                <w:i/>
                <w:sz w:val="20"/>
              </w:rPr>
            </w:pPr>
            <w:r w:rsidRPr="00F246D4">
              <w:rPr>
                <w:rFonts w:ascii="Arial" w:hAnsi="Arial"/>
                <w:b/>
                <w:i/>
                <w:sz w:val="20"/>
              </w:rPr>
              <w:t>Mindestprüfinhalte</w:t>
            </w:r>
          </w:p>
        </w:tc>
      </w:tr>
      <w:tr w:rsidR="00063CE6" w:rsidRPr="00CE3194" w14:paraId="011110EB" w14:textId="77777777" w:rsidTr="00063CE6">
        <w:trPr>
          <w:trHeight w:val="1369"/>
        </w:trPr>
        <w:tc>
          <w:tcPr>
            <w:tcW w:w="4150" w:type="dxa"/>
            <w:gridSpan w:val="2"/>
          </w:tcPr>
          <w:p w14:paraId="6C58A223" w14:textId="77777777" w:rsidR="00063CE6" w:rsidRPr="00F246D4" w:rsidRDefault="00063CE6" w:rsidP="00063CE6">
            <w:pPr>
              <w:jc w:val="both"/>
              <w:rPr>
                <w:rFonts w:ascii="Arial" w:hAnsi="Arial"/>
                <w:i/>
                <w:sz w:val="20"/>
              </w:rPr>
            </w:pPr>
            <w:r w:rsidRPr="002D29FE">
              <w:rPr>
                <w:rFonts w:ascii="Arial" w:hAnsi="Arial" w:cs="Arial"/>
                <w:i/>
                <w:sz w:val="20"/>
                <w:szCs w:val="20"/>
              </w:rPr>
              <w:t>Antrag Risikotragfähigkeitsrechnung an Verwaltungsrat (Existenz, Vollständigkeit, Tragfähigkeit der Risiken, Veränderungen)</w:t>
            </w:r>
          </w:p>
        </w:tc>
        <w:tc>
          <w:tcPr>
            <w:tcW w:w="5773" w:type="dxa"/>
          </w:tcPr>
          <w:p w14:paraId="1F50FD45" w14:textId="77777777" w:rsidR="00063CE6" w:rsidRPr="00F246D4" w:rsidRDefault="00063CE6" w:rsidP="00063CE6">
            <w:pPr>
              <w:pStyle w:val="Listenabsatz"/>
              <w:numPr>
                <w:ilvl w:val="1"/>
                <w:numId w:val="17"/>
              </w:numPr>
              <w:ind w:left="317" w:hanging="283"/>
              <w:jc w:val="both"/>
              <w:rPr>
                <w:i/>
              </w:rPr>
            </w:pPr>
            <w:r>
              <w:rPr>
                <w:rFonts w:cs="Arial"/>
                <w:i/>
                <w:iCs/>
              </w:rPr>
              <w:t xml:space="preserve">Die Kernelemente des ICAAP </w:t>
            </w:r>
            <w:r w:rsidRPr="00F246D4">
              <w:rPr>
                <w:rFonts w:cs="Arial"/>
                <w:i/>
                <w:iCs/>
              </w:rPr>
              <w:t>und somit die Methodik und Struktur zur Risikotragfä</w:t>
            </w:r>
            <w:r>
              <w:rPr>
                <w:rFonts w:cs="Arial"/>
                <w:i/>
                <w:iCs/>
              </w:rPr>
              <w:t>h</w:t>
            </w:r>
            <w:r w:rsidRPr="00F246D4">
              <w:rPr>
                <w:rFonts w:cs="Arial"/>
                <w:i/>
                <w:iCs/>
              </w:rPr>
              <w:t>igkeitsberechnung wie</w:t>
            </w:r>
            <w:r>
              <w:rPr>
                <w:rFonts w:cs="Arial"/>
                <w:i/>
                <w:iCs/>
              </w:rPr>
              <w:t xml:space="preserve"> </w:t>
            </w:r>
            <w:r w:rsidRPr="00DB4CCF">
              <w:rPr>
                <w:rFonts w:cs="Arial"/>
                <w:i/>
              </w:rPr>
              <w:t>Governance-Struktur, Dokumentationsanforderungen, Umfang im Hinblick auf die abgebildeten Risiken und deren Abgrenzung, Zeithorizont, wichtige Annahmen und Parameter zur Risikomessung</w:t>
            </w:r>
            <w:r>
              <w:rPr>
                <w:rFonts w:cs="Arial"/>
                <w:i/>
              </w:rPr>
              <w:t xml:space="preserve"> werden jährlich erstellt und vollständig dem Verwaltungsrat zur Genehmigung eingereicht. </w:t>
            </w:r>
          </w:p>
        </w:tc>
      </w:tr>
      <w:tr w:rsidR="00063CE6" w:rsidRPr="00CE3194" w14:paraId="6632704D" w14:textId="77777777" w:rsidTr="00063CE6">
        <w:tc>
          <w:tcPr>
            <w:tcW w:w="4150" w:type="dxa"/>
            <w:gridSpan w:val="2"/>
          </w:tcPr>
          <w:p w14:paraId="06C2BA7A" w14:textId="77777777" w:rsidR="00063CE6" w:rsidRPr="00AE1F7D" w:rsidRDefault="00063CE6" w:rsidP="00063CE6">
            <w:pPr>
              <w:jc w:val="both"/>
              <w:rPr>
                <w:rFonts w:ascii="Arial" w:hAnsi="Arial"/>
                <w:i/>
                <w:sz w:val="20"/>
              </w:rPr>
            </w:pPr>
            <w:r w:rsidRPr="00AE1F7D">
              <w:rPr>
                <w:rFonts w:ascii="Arial" w:hAnsi="Arial" w:cs="Arial"/>
                <w:i/>
                <w:sz w:val="20"/>
                <w:szCs w:val="20"/>
              </w:rPr>
              <w:t>Änderungen am Limitensystem</w:t>
            </w:r>
          </w:p>
        </w:tc>
        <w:tc>
          <w:tcPr>
            <w:tcW w:w="5773" w:type="dxa"/>
          </w:tcPr>
          <w:p w14:paraId="77788926" w14:textId="77777777" w:rsidR="00063CE6" w:rsidRPr="00AE1F7D" w:rsidRDefault="00063CE6" w:rsidP="00063CE6">
            <w:pPr>
              <w:pStyle w:val="Listenabsatz"/>
              <w:numPr>
                <w:ilvl w:val="1"/>
                <w:numId w:val="17"/>
              </w:numPr>
              <w:ind w:left="317" w:hanging="283"/>
              <w:jc w:val="both"/>
              <w:rPr>
                <w:i/>
              </w:rPr>
            </w:pPr>
            <w:r w:rsidRPr="00AE1F7D">
              <w:rPr>
                <w:rFonts w:cs="Arial"/>
                <w:i/>
              </w:rPr>
              <w:t xml:space="preserve">Genehmigung der Limitenänderungen aller Risikoarten durch den Verwaltungsrat (Überprüfung des Limitensystems mindestens einmal </w:t>
            </w:r>
            <w:r w:rsidRPr="0077213B">
              <w:rPr>
                <w:rFonts w:cs="Arial"/>
                <w:i/>
              </w:rPr>
              <w:t>jährlich).</w:t>
            </w:r>
            <w:r w:rsidRPr="0077213B">
              <w:rPr>
                <w:rFonts w:cs="Arial"/>
                <w:i/>
                <w:iCs/>
              </w:rPr>
              <w:t xml:space="preserve"> </w:t>
            </w:r>
          </w:p>
        </w:tc>
      </w:tr>
      <w:tr w:rsidR="00063CE6" w:rsidRPr="00CE3194" w14:paraId="40BE4970" w14:textId="77777777" w:rsidTr="00063CE6">
        <w:trPr>
          <w:trHeight w:val="502"/>
        </w:trPr>
        <w:tc>
          <w:tcPr>
            <w:tcW w:w="4150" w:type="dxa"/>
            <w:gridSpan w:val="2"/>
          </w:tcPr>
          <w:p w14:paraId="380B1503" w14:textId="77777777" w:rsidR="00063CE6" w:rsidRPr="00F246D4" w:rsidRDefault="00063CE6" w:rsidP="00063CE6">
            <w:pPr>
              <w:jc w:val="both"/>
              <w:rPr>
                <w:rFonts w:ascii="Arial" w:hAnsi="Arial"/>
                <w:b/>
                <w:i/>
                <w:sz w:val="20"/>
              </w:rPr>
            </w:pPr>
            <w:r w:rsidRPr="00140235">
              <w:rPr>
                <w:rFonts w:ascii="Arial" w:hAnsi="Arial" w:cs="Arial"/>
                <w:b/>
                <w:i/>
                <w:sz w:val="20"/>
                <w:szCs w:val="20"/>
              </w:rPr>
              <w:t xml:space="preserve">Rotierende Prüfelemente </w:t>
            </w:r>
          </w:p>
        </w:tc>
        <w:tc>
          <w:tcPr>
            <w:tcW w:w="5773" w:type="dxa"/>
          </w:tcPr>
          <w:p w14:paraId="1C31E22B" w14:textId="77777777" w:rsidR="00063CE6" w:rsidRPr="00F246D4" w:rsidRDefault="00063CE6" w:rsidP="00063CE6">
            <w:pPr>
              <w:pStyle w:val="Listenabsatz"/>
              <w:ind w:left="317"/>
              <w:jc w:val="both"/>
              <w:rPr>
                <w:b/>
                <w:i/>
              </w:rPr>
            </w:pPr>
            <w:r w:rsidRPr="00140235">
              <w:rPr>
                <w:rFonts w:cs="Arial"/>
                <w:b/>
                <w:i/>
                <w:szCs w:val="20"/>
              </w:rPr>
              <w:t>Mindestprüfinhalte</w:t>
            </w:r>
          </w:p>
        </w:tc>
      </w:tr>
      <w:tr w:rsidR="00063CE6" w:rsidRPr="00CE3194" w14:paraId="57430A4C" w14:textId="77777777" w:rsidTr="00063CE6">
        <w:tc>
          <w:tcPr>
            <w:tcW w:w="1906" w:type="dxa"/>
          </w:tcPr>
          <w:p w14:paraId="5F1421E8" w14:textId="77777777" w:rsidR="00063CE6" w:rsidRPr="00140235" w:rsidRDefault="00063CE6" w:rsidP="00063CE6">
            <w:pPr>
              <w:jc w:val="both"/>
              <w:rPr>
                <w:rFonts w:ascii="Arial" w:hAnsi="Arial" w:cs="Arial"/>
                <w:i/>
                <w:sz w:val="20"/>
                <w:szCs w:val="20"/>
              </w:rPr>
            </w:pPr>
            <w:r>
              <w:rPr>
                <w:rFonts w:ascii="Arial" w:hAnsi="Arial" w:cs="Arial"/>
                <w:i/>
                <w:sz w:val="20"/>
                <w:szCs w:val="20"/>
              </w:rPr>
              <w:t>Intervention</w:t>
            </w:r>
            <w:r w:rsidRPr="00140235">
              <w:rPr>
                <w:rFonts w:ascii="Arial" w:hAnsi="Arial" w:cs="Arial"/>
                <w:i/>
                <w:sz w:val="20"/>
                <w:szCs w:val="20"/>
              </w:rPr>
              <w:t xml:space="preserve"> 1</w:t>
            </w:r>
          </w:p>
          <w:p w14:paraId="2265A16B" w14:textId="77777777" w:rsidR="00063CE6" w:rsidRPr="00F246D4" w:rsidRDefault="00063CE6" w:rsidP="00063CE6">
            <w:pPr>
              <w:jc w:val="both"/>
              <w:rPr>
                <w:rFonts w:ascii="Arial" w:hAnsi="Arial"/>
                <w:i/>
                <w:sz w:val="20"/>
              </w:rPr>
            </w:pPr>
          </w:p>
        </w:tc>
        <w:tc>
          <w:tcPr>
            <w:tcW w:w="2244" w:type="dxa"/>
          </w:tcPr>
          <w:p w14:paraId="2FEE3B12" w14:textId="77777777" w:rsidR="00063CE6" w:rsidRPr="00140235" w:rsidRDefault="00063CE6" w:rsidP="00063CE6">
            <w:pPr>
              <w:rPr>
                <w:rFonts w:ascii="Arial" w:hAnsi="Arial" w:cs="Arial"/>
                <w:i/>
                <w:sz w:val="20"/>
                <w:szCs w:val="20"/>
              </w:rPr>
            </w:pPr>
            <w:r w:rsidRPr="00140235">
              <w:rPr>
                <w:rFonts w:ascii="Arial" w:hAnsi="Arial" w:cs="Arial"/>
                <w:i/>
                <w:sz w:val="20"/>
                <w:szCs w:val="20"/>
              </w:rPr>
              <w:t xml:space="preserve">Risikoprofil, Risikoaggregation (Risikotragfähigkeit und Deckungspotential) </w:t>
            </w:r>
          </w:p>
        </w:tc>
        <w:tc>
          <w:tcPr>
            <w:tcW w:w="5773" w:type="dxa"/>
          </w:tcPr>
          <w:p w14:paraId="615CFA07" w14:textId="2D627E10" w:rsidR="00063CE6" w:rsidRPr="00F246D4" w:rsidRDefault="00063CE6" w:rsidP="00063CE6">
            <w:pPr>
              <w:pStyle w:val="Listenabsatz"/>
              <w:numPr>
                <w:ilvl w:val="1"/>
                <w:numId w:val="17"/>
              </w:numPr>
              <w:ind w:left="317" w:hanging="283"/>
              <w:jc w:val="both"/>
              <w:rPr>
                <w:i/>
              </w:rPr>
            </w:pPr>
            <w:r w:rsidRPr="00F246D4">
              <w:rPr>
                <w:i/>
              </w:rPr>
              <w:t xml:space="preserve">Die internen Verfahren stellen die </w:t>
            </w:r>
            <w:r>
              <w:rPr>
                <w:rFonts w:cs="Arial"/>
                <w:i/>
                <w:szCs w:val="20"/>
              </w:rPr>
              <w:t xml:space="preserve">angemessene </w:t>
            </w:r>
            <w:r w:rsidRPr="00F246D4">
              <w:rPr>
                <w:i/>
              </w:rPr>
              <w:t xml:space="preserve">quantitative </w:t>
            </w:r>
            <w:r>
              <w:rPr>
                <w:rFonts w:cs="Arial"/>
                <w:i/>
                <w:szCs w:val="20"/>
              </w:rPr>
              <w:t>Berücksichtigung</w:t>
            </w:r>
            <w:r w:rsidRPr="00867776">
              <w:rPr>
                <w:rFonts w:cs="Arial"/>
                <w:i/>
                <w:szCs w:val="20"/>
              </w:rPr>
              <w:t xml:space="preserve"> all</w:t>
            </w:r>
            <w:r>
              <w:rPr>
                <w:rFonts w:cs="Arial"/>
                <w:i/>
                <w:szCs w:val="20"/>
              </w:rPr>
              <w:t xml:space="preserve">er </w:t>
            </w:r>
            <w:r w:rsidRPr="00F246D4">
              <w:rPr>
                <w:i/>
              </w:rPr>
              <w:t xml:space="preserve">für </w:t>
            </w:r>
            <w:r>
              <w:rPr>
                <w:rFonts w:cs="Arial"/>
                <w:i/>
                <w:szCs w:val="20"/>
              </w:rPr>
              <w:t xml:space="preserve">das Geschäftsmodell der </w:t>
            </w:r>
            <w:r w:rsidR="0008336D">
              <w:rPr>
                <w:rFonts w:cs="Arial"/>
                <w:i/>
                <w:szCs w:val="20"/>
                <w:highlight w:val="lightGray"/>
              </w:rPr>
              <w:t xml:space="preserve">Bank/Wertpapierfirma bzw. </w:t>
            </w:r>
            <w:r w:rsidR="0008336D" w:rsidRPr="00CE3194">
              <w:rPr>
                <w:rFonts w:cs="Arial"/>
                <w:i/>
                <w:szCs w:val="20"/>
                <w:highlight w:val="lightGray"/>
              </w:rPr>
              <w:t>der Gruppe</w:t>
            </w:r>
            <w:r w:rsidR="0008336D" w:rsidDel="0008336D">
              <w:rPr>
                <w:rFonts w:cs="Arial"/>
                <w:i/>
                <w:szCs w:val="20"/>
              </w:rPr>
              <w:t xml:space="preserve"> </w:t>
            </w:r>
            <w:r w:rsidRPr="00F246D4">
              <w:rPr>
                <w:i/>
              </w:rPr>
              <w:t>wesentlichen Risikoarten, separat für Kapital- und Liquiditäts- und Refinanzierungsrisiken, sicher</w:t>
            </w:r>
            <w:r>
              <w:rPr>
                <w:rFonts w:cs="Arial"/>
                <w:i/>
                <w:szCs w:val="20"/>
              </w:rPr>
              <w:t>.</w:t>
            </w:r>
          </w:p>
          <w:p w14:paraId="46F0CC3D" w14:textId="77777777" w:rsidR="00063CE6" w:rsidRPr="00AE1F7D" w:rsidRDefault="00063CE6" w:rsidP="00063CE6">
            <w:pPr>
              <w:pStyle w:val="Listenabsatz"/>
              <w:numPr>
                <w:ilvl w:val="1"/>
                <w:numId w:val="17"/>
              </w:numPr>
              <w:ind w:left="317" w:hanging="283"/>
              <w:jc w:val="both"/>
              <w:rPr>
                <w:i/>
              </w:rPr>
            </w:pPr>
            <w:r w:rsidRPr="00AE1F7D">
              <w:rPr>
                <w:i/>
              </w:rPr>
              <w:t xml:space="preserve">Die internen Verfahren stellen die </w:t>
            </w:r>
            <w:r w:rsidRPr="00AE1F7D">
              <w:rPr>
                <w:rFonts w:cs="Arial"/>
                <w:i/>
                <w:szCs w:val="20"/>
              </w:rPr>
              <w:t xml:space="preserve">Durchführung von quantitativen Risikotragfähigkeitsrechnungen unter </w:t>
            </w:r>
            <w:r w:rsidRPr="00AE1F7D">
              <w:rPr>
                <w:i/>
              </w:rPr>
              <w:t xml:space="preserve">Berücksichtigung </w:t>
            </w:r>
            <w:r w:rsidRPr="00B23631">
              <w:rPr>
                <w:rFonts w:cs="Arial"/>
                <w:i/>
                <w:szCs w:val="20"/>
              </w:rPr>
              <w:t>der ökonomischen</w:t>
            </w:r>
            <w:r w:rsidRPr="00B23631">
              <w:rPr>
                <w:i/>
              </w:rPr>
              <w:t xml:space="preserve"> und </w:t>
            </w:r>
            <w:r w:rsidRPr="00F81514">
              <w:rPr>
                <w:rFonts w:cs="Arial"/>
                <w:i/>
                <w:szCs w:val="20"/>
              </w:rPr>
              <w:t xml:space="preserve">der regulatorischen </w:t>
            </w:r>
            <w:r w:rsidRPr="00F81514">
              <w:rPr>
                <w:i/>
              </w:rPr>
              <w:t xml:space="preserve">ICAAP-Perspektiven </w:t>
            </w:r>
            <w:r w:rsidRPr="00B96E26">
              <w:rPr>
                <w:i/>
              </w:rPr>
              <w:t>sicher</w:t>
            </w:r>
            <w:r>
              <w:rPr>
                <w:i/>
              </w:rPr>
              <w:t>.</w:t>
            </w:r>
          </w:p>
          <w:p w14:paraId="1ED81701" w14:textId="77777777" w:rsidR="00063CE6" w:rsidRDefault="00063CE6" w:rsidP="00063CE6">
            <w:pPr>
              <w:pStyle w:val="Listenabsatz"/>
              <w:numPr>
                <w:ilvl w:val="1"/>
                <w:numId w:val="17"/>
              </w:numPr>
              <w:ind w:left="317" w:hanging="283"/>
              <w:jc w:val="both"/>
              <w:rPr>
                <w:rFonts w:cs="Arial"/>
                <w:i/>
                <w:szCs w:val="20"/>
              </w:rPr>
            </w:pPr>
            <w:r>
              <w:rPr>
                <w:rFonts w:cs="Arial"/>
                <w:i/>
                <w:szCs w:val="20"/>
              </w:rPr>
              <w:t>Die internen Verfahren stellen die Berücksichtigung von neuen Produkten/Märkten in die Risikotragfähigkeitsrechnung inkl. Simulationsplanung sicher.</w:t>
            </w:r>
          </w:p>
          <w:p w14:paraId="62F748D8" w14:textId="77777777" w:rsidR="00063CE6" w:rsidRPr="00B72994" w:rsidRDefault="00063CE6" w:rsidP="00063CE6">
            <w:pPr>
              <w:pStyle w:val="Listenabsatz"/>
              <w:numPr>
                <w:ilvl w:val="1"/>
                <w:numId w:val="17"/>
              </w:numPr>
              <w:ind w:left="317" w:hanging="283"/>
              <w:jc w:val="both"/>
              <w:rPr>
                <w:rFonts w:cs="Arial"/>
                <w:i/>
                <w:szCs w:val="20"/>
              </w:rPr>
            </w:pPr>
            <w:r w:rsidRPr="00F246D4">
              <w:rPr>
                <w:i/>
              </w:rPr>
              <w:t xml:space="preserve">Die internen Verfahren stellen die Berücksichtigung wesentlicher Korrelationen, Konzentrationen und Diversifikationsmöglichkeiten zwischen den Risikoarten </w:t>
            </w:r>
            <w:r>
              <w:rPr>
                <w:rFonts w:cs="Arial"/>
                <w:i/>
                <w:iCs/>
              </w:rPr>
              <w:t xml:space="preserve">in angemessener Weise </w:t>
            </w:r>
            <w:r w:rsidRPr="00F246D4">
              <w:rPr>
                <w:i/>
              </w:rPr>
              <w:t>sicher</w:t>
            </w:r>
            <w:r>
              <w:rPr>
                <w:rFonts w:cs="Arial"/>
                <w:i/>
                <w:iCs/>
              </w:rPr>
              <w:t xml:space="preserve">. </w:t>
            </w:r>
          </w:p>
          <w:p w14:paraId="43B26B3F" w14:textId="77777777" w:rsidR="00063CE6" w:rsidRPr="00004000" w:rsidRDefault="00063CE6" w:rsidP="00063CE6">
            <w:pPr>
              <w:pStyle w:val="Listenabsatz"/>
              <w:numPr>
                <w:ilvl w:val="1"/>
                <w:numId w:val="17"/>
              </w:numPr>
              <w:ind w:left="317" w:hanging="283"/>
              <w:jc w:val="both"/>
              <w:rPr>
                <w:rFonts w:cs="Arial"/>
                <w:i/>
                <w:szCs w:val="20"/>
              </w:rPr>
            </w:pPr>
            <w:r w:rsidRPr="00004000">
              <w:rPr>
                <w:rFonts w:cs="Arial"/>
                <w:i/>
                <w:szCs w:val="20"/>
              </w:rPr>
              <w:t xml:space="preserve">Die internen Verfahren stellen die angemessene Berechnung der Risikotragfähigkeit für alle wesentlichen Risiken auf aggregierter Ebene </w:t>
            </w:r>
            <w:r>
              <w:rPr>
                <w:rFonts w:cs="Arial"/>
                <w:i/>
                <w:szCs w:val="20"/>
              </w:rPr>
              <w:t xml:space="preserve">zu einem Gesamtrisiko </w:t>
            </w:r>
            <w:r w:rsidRPr="00004000">
              <w:rPr>
                <w:rFonts w:cs="Arial"/>
                <w:i/>
                <w:szCs w:val="20"/>
              </w:rPr>
              <w:t>sicher</w:t>
            </w:r>
            <w:r>
              <w:rPr>
                <w:rFonts w:cs="Arial"/>
                <w:i/>
                <w:szCs w:val="20"/>
              </w:rPr>
              <w:t>.</w:t>
            </w:r>
            <w:r w:rsidRPr="00004000">
              <w:rPr>
                <w:rFonts w:cs="Arial"/>
                <w:i/>
                <w:szCs w:val="20"/>
              </w:rPr>
              <w:t xml:space="preserve"> </w:t>
            </w:r>
          </w:p>
          <w:p w14:paraId="2EC9357E" w14:textId="77777777" w:rsidR="00063CE6" w:rsidRPr="005C01FA" w:rsidRDefault="00063CE6" w:rsidP="00063CE6">
            <w:pPr>
              <w:pStyle w:val="Listenabsatz"/>
              <w:numPr>
                <w:ilvl w:val="1"/>
                <w:numId w:val="17"/>
              </w:numPr>
              <w:ind w:left="317" w:hanging="283"/>
              <w:jc w:val="both"/>
              <w:rPr>
                <w:rFonts w:cs="Arial"/>
                <w:i/>
                <w:szCs w:val="20"/>
              </w:rPr>
            </w:pPr>
            <w:r w:rsidRPr="005C01FA">
              <w:rPr>
                <w:rFonts w:cs="Arial"/>
                <w:i/>
                <w:szCs w:val="20"/>
              </w:rPr>
              <w:t>Das Deckungspotential steht in angemessener Höhe und Qualität zur Verfügung und gewährleistet volle Verlustabsorptionsfähigkeit</w:t>
            </w:r>
            <w:r>
              <w:rPr>
                <w:rFonts w:cs="Arial"/>
                <w:i/>
                <w:szCs w:val="20"/>
              </w:rPr>
              <w:t>.</w:t>
            </w:r>
          </w:p>
          <w:p w14:paraId="7815E1EF" w14:textId="0E19ECB5" w:rsidR="00063CE6" w:rsidRDefault="00063CE6" w:rsidP="00063CE6">
            <w:pPr>
              <w:pStyle w:val="Listenabsatz"/>
              <w:numPr>
                <w:ilvl w:val="1"/>
                <w:numId w:val="17"/>
              </w:numPr>
              <w:ind w:left="317" w:hanging="283"/>
              <w:jc w:val="both"/>
              <w:rPr>
                <w:rFonts w:cs="Arial"/>
                <w:i/>
                <w:szCs w:val="20"/>
              </w:rPr>
            </w:pPr>
            <w:r w:rsidRPr="005C01FA">
              <w:rPr>
                <w:rFonts w:cs="Arial"/>
                <w:i/>
                <w:szCs w:val="20"/>
              </w:rPr>
              <w:t xml:space="preserve">Die internen Verfahren gewährleisten eine angemessene Allokation des Kapitals innerhalb der </w:t>
            </w:r>
            <w:r w:rsidR="0008336D">
              <w:rPr>
                <w:rFonts w:cs="Arial"/>
                <w:i/>
                <w:szCs w:val="20"/>
                <w:highlight w:val="lightGray"/>
              </w:rPr>
              <w:t xml:space="preserve">Bank/Wertpapierfirma bzw. </w:t>
            </w:r>
            <w:r w:rsidR="0008336D" w:rsidRPr="00CE3194">
              <w:rPr>
                <w:rFonts w:cs="Arial"/>
                <w:i/>
                <w:szCs w:val="20"/>
                <w:highlight w:val="lightGray"/>
              </w:rPr>
              <w:t>der Gruppe</w:t>
            </w:r>
            <w:r>
              <w:rPr>
                <w:rFonts w:cs="Arial"/>
                <w:i/>
                <w:szCs w:val="20"/>
              </w:rPr>
              <w:t>,</w:t>
            </w:r>
            <w:r w:rsidRPr="00A55A04">
              <w:rPr>
                <w:rFonts w:cs="Arial"/>
                <w:i/>
                <w:szCs w:val="20"/>
              </w:rPr>
              <w:t xml:space="preserve"> damit diese jederzeit für die Risikodeckung verfügbar bleibt und stehen in Einklang mit der Risikotragfähigkeitsrechnung</w:t>
            </w:r>
            <w:r>
              <w:rPr>
                <w:rFonts w:cs="Arial"/>
                <w:i/>
                <w:szCs w:val="20"/>
              </w:rPr>
              <w:t>.</w:t>
            </w:r>
            <w:r w:rsidRPr="00A55A04">
              <w:rPr>
                <w:rFonts w:cs="Arial"/>
                <w:i/>
                <w:szCs w:val="20"/>
              </w:rPr>
              <w:t xml:space="preserve"> </w:t>
            </w:r>
            <w:r w:rsidRPr="00F246D4">
              <w:rPr>
                <w:i/>
              </w:rPr>
              <w:t xml:space="preserve">Die ökonomische interne Perspektive ist komplementär zur </w:t>
            </w:r>
            <w:r w:rsidRPr="009C5461">
              <w:rPr>
                <w:rFonts w:cs="Arial"/>
                <w:i/>
                <w:szCs w:val="20"/>
              </w:rPr>
              <w:t>normativen internen Perspektive</w:t>
            </w:r>
            <w:r>
              <w:rPr>
                <w:rFonts w:cs="Arial"/>
                <w:i/>
                <w:szCs w:val="20"/>
              </w:rPr>
              <w:t>.</w:t>
            </w:r>
          </w:p>
          <w:p w14:paraId="7A8992BE" w14:textId="77777777" w:rsidR="00063CE6" w:rsidRPr="00C96F57" w:rsidRDefault="00063CE6" w:rsidP="00063CE6">
            <w:pPr>
              <w:pStyle w:val="Listenabsatz"/>
              <w:numPr>
                <w:ilvl w:val="1"/>
                <w:numId w:val="17"/>
              </w:numPr>
              <w:ind w:left="317" w:hanging="283"/>
              <w:jc w:val="both"/>
              <w:rPr>
                <w:i/>
              </w:rPr>
            </w:pPr>
            <w:r>
              <w:rPr>
                <w:rFonts w:cs="Arial"/>
                <w:i/>
                <w:szCs w:val="20"/>
              </w:rPr>
              <w:t xml:space="preserve">Die internen Verfahren stellen sicher, dass der Risikoappetit der Risikotragfähigkeitsberechnung sowohl in der ökonomischen als auch der regulatorischen Perspektive die Risikodeckungsmasse nicht übersteigt.  </w:t>
            </w:r>
          </w:p>
          <w:p w14:paraId="0ACF8C39" w14:textId="6FC7AC92" w:rsidR="00063CE6" w:rsidRPr="00F246D4" w:rsidRDefault="00063CE6" w:rsidP="00063CE6">
            <w:pPr>
              <w:pStyle w:val="Listenabsatz"/>
              <w:numPr>
                <w:ilvl w:val="1"/>
                <w:numId w:val="17"/>
              </w:numPr>
              <w:ind w:left="317" w:hanging="283"/>
              <w:jc w:val="both"/>
              <w:rPr>
                <w:i/>
              </w:rPr>
            </w:pPr>
            <w:r w:rsidRPr="00C96F57">
              <w:rPr>
                <w:i/>
              </w:rPr>
              <w:t xml:space="preserve">Die internen Verfahren </w:t>
            </w:r>
            <w:r w:rsidRPr="00C96F57">
              <w:rPr>
                <w:rFonts w:cs="Arial"/>
                <w:i/>
                <w:szCs w:val="20"/>
              </w:rPr>
              <w:t xml:space="preserve">stellen sicher, dass die Risikodeckungsmasse sowohl unter realistischen </w:t>
            </w:r>
            <w:r>
              <w:rPr>
                <w:rFonts w:cs="Arial"/>
                <w:i/>
                <w:szCs w:val="20"/>
              </w:rPr>
              <w:t>als</w:t>
            </w:r>
            <w:r w:rsidRPr="00C96F57">
              <w:rPr>
                <w:rFonts w:cs="Arial"/>
                <w:i/>
                <w:szCs w:val="20"/>
              </w:rPr>
              <w:t xml:space="preserve"> auch unter</w:t>
            </w:r>
            <w:r>
              <w:rPr>
                <w:rFonts w:cs="Arial"/>
                <w:i/>
                <w:szCs w:val="20"/>
              </w:rPr>
              <w:t xml:space="preserve"> gewissen (nicht adversen)</w:t>
            </w:r>
            <w:r w:rsidRPr="00C96F57">
              <w:rPr>
                <w:rFonts w:cs="Arial"/>
                <w:i/>
                <w:szCs w:val="20"/>
              </w:rPr>
              <w:t xml:space="preserve"> Stressbedingungen nicht </w:t>
            </w:r>
            <w:r w:rsidRPr="00C96F57">
              <w:rPr>
                <w:rFonts w:cs="Arial"/>
                <w:i/>
                <w:szCs w:val="20"/>
              </w:rPr>
              <w:lastRenderedPageBreak/>
              <w:t xml:space="preserve">überschritten werden kann. Die </w:t>
            </w:r>
            <w:r w:rsidR="0008336D">
              <w:rPr>
                <w:rFonts w:cs="Arial"/>
                <w:i/>
                <w:szCs w:val="20"/>
                <w:highlight w:val="lightGray"/>
              </w:rPr>
              <w:t xml:space="preserve">Bank/Wertpapierfirma bzw. </w:t>
            </w:r>
            <w:r w:rsidR="0008336D" w:rsidRPr="00CE3194">
              <w:rPr>
                <w:rFonts w:cs="Arial"/>
                <w:i/>
                <w:szCs w:val="20"/>
                <w:highlight w:val="lightGray"/>
              </w:rPr>
              <w:t>d</w:t>
            </w:r>
            <w:r w:rsidR="0008336D">
              <w:rPr>
                <w:rFonts w:cs="Arial"/>
                <w:i/>
                <w:szCs w:val="20"/>
                <w:highlight w:val="lightGray"/>
              </w:rPr>
              <w:t>ie</w:t>
            </w:r>
            <w:r w:rsidR="0008336D" w:rsidRPr="00CE3194">
              <w:rPr>
                <w:rFonts w:cs="Arial"/>
                <w:i/>
                <w:szCs w:val="20"/>
                <w:highlight w:val="lightGray"/>
              </w:rPr>
              <w:t xml:space="preserve"> Gruppe</w:t>
            </w:r>
            <w:r w:rsidRPr="00C96F57">
              <w:rPr>
                <w:rFonts w:cs="Arial"/>
                <w:i/>
                <w:szCs w:val="20"/>
              </w:rPr>
              <w:t xml:space="preserve"> zeigt den Zusammenhang zwischen ICAAP Stress-Szenarien und Limitensystem auf.</w:t>
            </w:r>
          </w:p>
        </w:tc>
      </w:tr>
      <w:tr w:rsidR="00063CE6" w:rsidRPr="00C96F57" w14:paraId="2D0AA091" w14:textId="77777777" w:rsidTr="00063CE6">
        <w:tc>
          <w:tcPr>
            <w:tcW w:w="1906" w:type="dxa"/>
          </w:tcPr>
          <w:p w14:paraId="41EEEA2A" w14:textId="77777777" w:rsidR="00063CE6" w:rsidRPr="00C96F57" w:rsidRDefault="00063CE6" w:rsidP="00063CE6">
            <w:pPr>
              <w:jc w:val="both"/>
              <w:rPr>
                <w:rFonts w:ascii="Arial" w:hAnsi="Arial"/>
                <w:i/>
                <w:sz w:val="20"/>
              </w:rPr>
            </w:pPr>
            <w:r w:rsidRPr="00C96F57">
              <w:rPr>
                <w:rFonts w:ascii="Arial" w:hAnsi="Arial" w:cs="Arial"/>
                <w:i/>
                <w:sz w:val="20"/>
                <w:szCs w:val="20"/>
              </w:rPr>
              <w:lastRenderedPageBreak/>
              <w:t>Intervention 2</w:t>
            </w:r>
          </w:p>
        </w:tc>
        <w:tc>
          <w:tcPr>
            <w:tcW w:w="2244" w:type="dxa"/>
          </w:tcPr>
          <w:p w14:paraId="059A1DF6" w14:textId="77777777" w:rsidR="00063CE6" w:rsidRPr="00C96F57" w:rsidRDefault="00063CE6" w:rsidP="00063CE6">
            <w:pPr>
              <w:rPr>
                <w:rFonts w:ascii="Arial" w:hAnsi="Arial" w:cs="Arial"/>
                <w:i/>
                <w:sz w:val="20"/>
                <w:szCs w:val="20"/>
              </w:rPr>
            </w:pPr>
            <w:r w:rsidRPr="00C96F57">
              <w:rPr>
                <w:rFonts w:ascii="Arial" w:hAnsi="Arial" w:cs="Arial"/>
                <w:i/>
                <w:sz w:val="20"/>
                <w:szCs w:val="20"/>
              </w:rPr>
              <w:t xml:space="preserve">Governance, Limitenwesen und internes Risikoreporting   </w:t>
            </w:r>
          </w:p>
        </w:tc>
        <w:tc>
          <w:tcPr>
            <w:tcW w:w="5773" w:type="dxa"/>
          </w:tcPr>
          <w:p w14:paraId="047C0B89" w14:textId="77777777" w:rsidR="00063CE6" w:rsidRPr="00C96F57" w:rsidRDefault="00063CE6" w:rsidP="00063CE6">
            <w:pPr>
              <w:pStyle w:val="Listenabsatz"/>
              <w:numPr>
                <w:ilvl w:val="1"/>
                <w:numId w:val="17"/>
              </w:numPr>
              <w:ind w:left="317" w:hanging="283"/>
              <w:jc w:val="both"/>
              <w:rPr>
                <w:rFonts w:cs="Arial"/>
                <w:i/>
                <w:szCs w:val="20"/>
              </w:rPr>
            </w:pPr>
            <w:r w:rsidRPr="00C96F57">
              <w:rPr>
                <w:i/>
              </w:rPr>
              <w:t xml:space="preserve">Die internen Verfahren </w:t>
            </w:r>
            <w:r w:rsidRPr="00C96F57">
              <w:rPr>
                <w:rFonts w:cs="Arial"/>
                <w:i/>
                <w:szCs w:val="20"/>
              </w:rPr>
              <w:t>stellen</w:t>
            </w:r>
            <w:r w:rsidRPr="00C96F57">
              <w:rPr>
                <w:i/>
              </w:rPr>
              <w:t xml:space="preserve"> eine </w:t>
            </w:r>
            <w:r w:rsidRPr="00C96F57">
              <w:rPr>
                <w:rFonts w:cs="Arial"/>
                <w:i/>
                <w:szCs w:val="20"/>
              </w:rPr>
              <w:t>kohärente Governance – vor allem in Bezug auf Weisungswesen, Risikoappetit, Limiten</w:t>
            </w:r>
            <w:r>
              <w:rPr>
                <w:rFonts w:cs="Arial"/>
                <w:i/>
                <w:szCs w:val="20"/>
              </w:rPr>
              <w:t>, Stresstesting (Zuständigkeiten, Rapport, Kohärenz zum Limitenwesen)</w:t>
            </w:r>
            <w:r w:rsidRPr="00C96F57">
              <w:rPr>
                <w:rFonts w:cs="Arial"/>
                <w:i/>
                <w:szCs w:val="20"/>
              </w:rPr>
              <w:t xml:space="preserve"> und Frühwarnindikatoren sowie internes Risikoreporting (Adressanten, Periodizität) – sicher.</w:t>
            </w:r>
          </w:p>
          <w:p w14:paraId="25D33DD8" w14:textId="77777777" w:rsidR="00063CE6" w:rsidRPr="00C96F57" w:rsidRDefault="00063CE6" w:rsidP="00063CE6">
            <w:pPr>
              <w:pStyle w:val="Listenabsatz"/>
              <w:numPr>
                <w:ilvl w:val="1"/>
                <w:numId w:val="17"/>
              </w:numPr>
              <w:ind w:left="317" w:hanging="283"/>
              <w:jc w:val="both"/>
              <w:rPr>
                <w:rFonts w:cs="Arial"/>
                <w:i/>
                <w:szCs w:val="20"/>
              </w:rPr>
            </w:pPr>
            <w:r w:rsidRPr="00C96F57">
              <w:rPr>
                <w:rFonts w:cs="Arial"/>
                <w:i/>
                <w:szCs w:val="20"/>
              </w:rPr>
              <w:t>ICAAP-bezogene Ergebnisse werden in angemessenen Zeitabständen in die interne Berichterstattung aufgenommen. Dies erfolgt mindestens jährlich.</w:t>
            </w:r>
          </w:p>
          <w:p w14:paraId="33F84E5A" w14:textId="77777777" w:rsidR="00063CE6" w:rsidRPr="00C96F57" w:rsidRDefault="00063CE6" w:rsidP="00063CE6">
            <w:pPr>
              <w:pStyle w:val="Listenabsatz"/>
              <w:numPr>
                <w:ilvl w:val="1"/>
                <w:numId w:val="17"/>
              </w:numPr>
              <w:ind w:left="317" w:hanging="283"/>
              <w:jc w:val="both"/>
              <w:rPr>
                <w:i/>
              </w:rPr>
            </w:pPr>
            <w:r w:rsidRPr="00C96F57">
              <w:rPr>
                <w:rFonts w:cs="Arial"/>
                <w:i/>
                <w:szCs w:val="20"/>
              </w:rPr>
              <w:t>Die normative interne Perspektive ist komplementär zur ökonomisch internen Perspektive. Bewertungen aus</w:t>
            </w:r>
            <w:r w:rsidRPr="00C96F57">
              <w:rPr>
                <w:i/>
              </w:rPr>
              <w:t xml:space="preserve"> der </w:t>
            </w:r>
            <w:r w:rsidRPr="00C96F57">
              <w:rPr>
                <w:rFonts w:cs="Arial"/>
                <w:i/>
                <w:szCs w:val="20"/>
              </w:rPr>
              <w:t>ökonomischen internen Perspektive fliessen in angemessener Weise in die interne Berichterstattung, das Limitenwesen und das Risikoappetitrahmenwerk ein.</w:t>
            </w:r>
          </w:p>
          <w:p w14:paraId="57E2A617" w14:textId="77777777" w:rsidR="00063CE6" w:rsidRPr="00C96F57" w:rsidRDefault="00063CE6" w:rsidP="00063CE6">
            <w:pPr>
              <w:pStyle w:val="Listenabsatz"/>
              <w:numPr>
                <w:ilvl w:val="1"/>
                <w:numId w:val="17"/>
              </w:numPr>
              <w:ind w:left="317" w:hanging="283"/>
              <w:jc w:val="both"/>
              <w:rPr>
                <w:i/>
              </w:rPr>
            </w:pPr>
            <w:r w:rsidRPr="00C96F57">
              <w:rPr>
                <w:i/>
              </w:rPr>
              <w:t xml:space="preserve">Die internen Verfahren stellen </w:t>
            </w:r>
            <w:r w:rsidRPr="00C96F57">
              <w:rPr>
                <w:rFonts w:cs="Arial"/>
                <w:i/>
                <w:szCs w:val="20"/>
              </w:rPr>
              <w:t>sicher, dass das Limitensystem von</w:t>
            </w:r>
            <w:r w:rsidRPr="00C96F57">
              <w:rPr>
                <w:i/>
              </w:rPr>
              <w:t xml:space="preserve"> der </w:t>
            </w:r>
            <w:r w:rsidRPr="00C96F57">
              <w:rPr>
                <w:rFonts w:cs="Arial"/>
                <w:i/>
                <w:szCs w:val="20"/>
              </w:rPr>
              <w:t xml:space="preserve">jährlichen Risikotragfähigkeitsberechnung sämtlicher Risikoarten, die für das Geschäftsmodell wesentlich sind, abgeleitet werden. </w:t>
            </w:r>
          </w:p>
        </w:tc>
      </w:tr>
      <w:tr w:rsidR="00063CE6" w:rsidRPr="00CE3194" w14:paraId="56E45BF8" w14:textId="77777777" w:rsidTr="00063CE6">
        <w:tc>
          <w:tcPr>
            <w:tcW w:w="1906" w:type="dxa"/>
          </w:tcPr>
          <w:p w14:paraId="0BBE96D9" w14:textId="77777777" w:rsidR="00063CE6" w:rsidRPr="00C96F57" w:rsidRDefault="00063CE6" w:rsidP="00063CE6">
            <w:pPr>
              <w:jc w:val="both"/>
              <w:rPr>
                <w:rFonts w:ascii="Arial" w:hAnsi="Arial"/>
                <w:i/>
                <w:sz w:val="20"/>
              </w:rPr>
            </w:pPr>
            <w:r w:rsidRPr="00C96F57">
              <w:rPr>
                <w:rFonts w:ascii="Arial" w:hAnsi="Arial" w:cs="Arial"/>
                <w:i/>
                <w:sz w:val="20"/>
                <w:szCs w:val="20"/>
              </w:rPr>
              <w:t>Intervention 3</w:t>
            </w:r>
          </w:p>
        </w:tc>
        <w:tc>
          <w:tcPr>
            <w:tcW w:w="2244" w:type="dxa"/>
          </w:tcPr>
          <w:p w14:paraId="29ADB0D7" w14:textId="77777777" w:rsidR="00063CE6" w:rsidRPr="00C96F57" w:rsidRDefault="00063CE6" w:rsidP="00063CE6">
            <w:pPr>
              <w:rPr>
                <w:rFonts w:ascii="Arial" w:hAnsi="Arial" w:cs="Arial"/>
                <w:i/>
                <w:sz w:val="20"/>
                <w:szCs w:val="20"/>
              </w:rPr>
            </w:pPr>
            <w:r w:rsidRPr="00C96F57">
              <w:rPr>
                <w:rFonts w:ascii="Arial" w:hAnsi="Arial" w:cs="Arial"/>
                <w:i/>
                <w:sz w:val="20"/>
                <w:szCs w:val="20"/>
              </w:rPr>
              <w:t>Stresstesting und Plan-Szenarien</w:t>
            </w:r>
          </w:p>
        </w:tc>
        <w:tc>
          <w:tcPr>
            <w:tcW w:w="5773" w:type="dxa"/>
          </w:tcPr>
          <w:p w14:paraId="0765EFD1" w14:textId="77777777" w:rsidR="00063CE6" w:rsidRPr="00C96F57" w:rsidRDefault="00063CE6" w:rsidP="00063CE6">
            <w:pPr>
              <w:pStyle w:val="Listenabsatz"/>
              <w:numPr>
                <w:ilvl w:val="1"/>
                <w:numId w:val="17"/>
              </w:numPr>
              <w:ind w:left="317" w:hanging="283"/>
              <w:jc w:val="both"/>
              <w:rPr>
                <w:rFonts w:cs="Arial"/>
                <w:i/>
                <w:szCs w:val="20"/>
              </w:rPr>
            </w:pPr>
            <w:r w:rsidRPr="00C96F57">
              <w:rPr>
                <w:rFonts w:cs="Arial"/>
                <w:i/>
                <w:szCs w:val="20"/>
              </w:rPr>
              <w:t>Das Stresstesting bezieht sich auf sämtliche wesentliche Risikoarten und Geschäftsfelder sowie Gruppenentitäten.</w:t>
            </w:r>
          </w:p>
          <w:p w14:paraId="6CADD1E1" w14:textId="77777777" w:rsidR="00063CE6" w:rsidRPr="00C96F57" w:rsidRDefault="00063CE6" w:rsidP="00063CE6">
            <w:pPr>
              <w:pStyle w:val="Listenabsatz"/>
              <w:numPr>
                <w:ilvl w:val="1"/>
                <w:numId w:val="17"/>
              </w:numPr>
              <w:ind w:left="317" w:hanging="283"/>
              <w:jc w:val="both"/>
              <w:rPr>
                <w:i/>
              </w:rPr>
            </w:pPr>
            <w:r w:rsidRPr="00C96F57">
              <w:rPr>
                <w:i/>
              </w:rPr>
              <w:t>Die internen Verfahren stellen sicher</w:t>
            </w:r>
            <w:r w:rsidRPr="00C96F57">
              <w:rPr>
                <w:rFonts w:cs="Arial"/>
                <w:i/>
                <w:szCs w:val="20"/>
              </w:rPr>
              <w:t>, dass angemessene Stresstests auf einer institutsweiten Ebene resp. Gruppenebene durchgeführt werden.</w:t>
            </w:r>
          </w:p>
          <w:p w14:paraId="6359A457" w14:textId="77777777" w:rsidR="00063CE6" w:rsidRPr="00C96F57" w:rsidRDefault="00063CE6" w:rsidP="00063CE6">
            <w:pPr>
              <w:pStyle w:val="Listenabsatz"/>
              <w:numPr>
                <w:ilvl w:val="1"/>
                <w:numId w:val="17"/>
              </w:numPr>
              <w:ind w:left="317" w:hanging="283"/>
              <w:jc w:val="both"/>
              <w:rPr>
                <w:i/>
              </w:rPr>
            </w:pPr>
            <w:r w:rsidRPr="00C96F57">
              <w:rPr>
                <w:i/>
              </w:rPr>
              <w:t>Die internen Verfahren stellen sicher</w:t>
            </w:r>
            <w:r w:rsidRPr="00C96F57">
              <w:rPr>
                <w:rFonts w:cs="Arial"/>
                <w:i/>
                <w:szCs w:val="20"/>
              </w:rPr>
              <w:t>, dass angemessene nachvollziehbare Sensitivitätsanalysen und Szenarioanalysen im Stresstest-Programm berücksichtigt und effektiv angewandt werden.</w:t>
            </w:r>
          </w:p>
          <w:p w14:paraId="01028456" w14:textId="77777777" w:rsidR="00063CE6" w:rsidRPr="00C96F57" w:rsidRDefault="00063CE6" w:rsidP="00063CE6">
            <w:pPr>
              <w:pStyle w:val="Listenabsatz"/>
              <w:numPr>
                <w:ilvl w:val="1"/>
                <w:numId w:val="17"/>
              </w:numPr>
              <w:ind w:left="317" w:hanging="283"/>
              <w:jc w:val="both"/>
              <w:rPr>
                <w:i/>
              </w:rPr>
            </w:pPr>
            <w:r w:rsidRPr="00C96F57">
              <w:rPr>
                <w:i/>
              </w:rPr>
              <w:t xml:space="preserve">Die internen Verfahren stellen sicher, dass </w:t>
            </w:r>
            <w:r w:rsidRPr="00C96F57">
              <w:rPr>
                <w:rFonts w:cs="Arial"/>
                <w:i/>
                <w:szCs w:val="20"/>
              </w:rPr>
              <w:t xml:space="preserve">nachvollziehbare </w:t>
            </w:r>
            <w:r w:rsidRPr="004C44DA">
              <w:rPr>
                <w:rFonts w:cs="Arial"/>
                <w:i/>
                <w:szCs w:val="20"/>
              </w:rPr>
              <w:t>inverse Stresstests</w:t>
            </w:r>
            <w:r w:rsidRPr="004C44DA">
              <w:rPr>
                <w:i/>
              </w:rPr>
              <w:t xml:space="preserve"> </w:t>
            </w:r>
            <w:r w:rsidRPr="00C96F57">
              <w:rPr>
                <w:rFonts w:cs="Arial"/>
                <w:i/>
                <w:szCs w:val="20"/>
              </w:rPr>
              <w:t>in den Stresstest-Programmen berücksichtigt</w:t>
            </w:r>
            <w:r w:rsidRPr="00C96F57">
              <w:rPr>
                <w:i/>
              </w:rPr>
              <w:t xml:space="preserve"> und </w:t>
            </w:r>
            <w:r w:rsidRPr="00C96F57">
              <w:rPr>
                <w:rFonts w:cs="Arial"/>
                <w:i/>
                <w:szCs w:val="20"/>
              </w:rPr>
              <w:t>effektiv angewandt werden.</w:t>
            </w:r>
          </w:p>
          <w:p w14:paraId="589B8BD7" w14:textId="77777777" w:rsidR="00063CE6" w:rsidRPr="00C96F57" w:rsidRDefault="00063CE6" w:rsidP="00063CE6">
            <w:pPr>
              <w:pStyle w:val="Listenabsatz"/>
              <w:numPr>
                <w:ilvl w:val="1"/>
                <w:numId w:val="17"/>
              </w:numPr>
              <w:ind w:left="317" w:hanging="283"/>
              <w:jc w:val="both"/>
              <w:rPr>
                <w:rFonts w:cs="Arial"/>
                <w:i/>
                <w:szCs w:val="20"/>
              </w:rPr>
            </w:pPr>
            <w:r w:rsidRPr="00C96F57">
              <w:rPr>
                <w:i/>
              </w:rPr>
              <w:t xml:space="preserve">Die internen Verfahren stellen eine regelmässige </w:t>
            </w:r>
            <w:r w:rsidRPr="00C96F57">
              <w:rPr>
                <w:rFonts w:cs="Arial"/>
                <w:i/>
                <w:szCs w:val="20"/>
              </w:rPr>
              <w:t>Durchführung von Stresstests (u.a. Berechnung und Simulation sämtlicher Szenarien) sicher.</w:t>
            </w:r>
          </w:p>
          <w:p w14:paraId="6250A493" w14:textId="77777777" w:rsidR="00063CE6" w:rsidRPr="00C96F57" w:rsidRDefault="00063CE6" w:rsidP="00063CE6">
            <w:pPr>
              <w:pStyle w:val="Listenabsatz"/>
              <w:numPr>
                <w:ilvl w:val="1"/>
                <w:numId w:val="17"/>
              </w:numPr>
              <w:ind w:left="317" w:hanging="283"/>
              <w:jc w:val="both"/>
              <w:rPr>
                <w:rFonts w:cs="Arial"/>
                <w:i/>
                <w:szCs w:val="20"/>
              </w:rPr>
            </w:pPr>
            <w:r w:rsidRPr="00C96F57">
              <w:rPr>
                <w:rFonts w:cs="Arial"/>
                <w:i/>
                <w:szCs w:val="20"/>
              </w:rPr>
              <w:t>Die interne</w:t>
            </w:r>
            <w:r>
              <w:rPr>
                <w:rFonts w:cs="Arial"/>
                <w:i/>
                <w:szCs w:val="20"/>
              </w:rPr>
              <w:t>n</w:t>
            </w:r>
            <w:r w:rsidRPr="00C96F57">
              <w:rPr>
                <w:rFonts w:cs="Arial"/>
                <w:i/>
                <w:szCs w:val="20"/>
              </w:rPr>
              <w:t xml:space="preserve"> Verfahren stellen die Berücksichtigung eines angemessenen Planungshorizonts hinsichtlich der regulatorischen sowie der ökonomischen Perspektive sicher. </w:t>
            </w:r>
          </w:p>
          <w:p w14:paraId="4AC68F2B" w14:textId="77777777" w:rsidR="00063CE6" w:rsidRPr="00C96F57" w:rsidRDefault="00063CE6" w:rsidP="00063CE6">
            <w:pPr>
              <w:pStyle w:val="Listenabsatz"/>
              <w:numPr>
                <w:ilvl w:val="1"/>
                <w:numId w:val="17"/>
              </w:numPr>
              <w:ind w:left="317" w:hanging="283"/>
              <w:jc w:val="both"/>
              <w:rPr>
                <w:rFonts w:cs="Arial"/>
                <w:i/>
                <w:szCs w:val="20"/>
              </w:rPr>
            </w:pPr>
            <w:r w:rsidRPr="00C96F57">
              <w:rPr>
                <w:rFonts w:cs="Arial"/>
                <w:i/>
                <w:szCs w:val="20"/>
              </w:rPr>
              <w:t xml:space="preserve">Die internen Verfahren stellen sicher, dass ein Abgleich zwischen Budget-, Kapital- und Risikoplanung getätigt wird. </w:t>
            </w:r>
          </w:p>
          <w:p w14:paraId="3E6F3073" w14:textId="77777777" w:rsidR="00063CE6" w:rsidRPr="00C96F57" w:rsidRDefault="00063CE6" w:rsidP="00063CE6">
            <w:pPr>
              <w:pStyle w:val="Listenabsatz"/>
              <w:numPr>
                <w:ilvl w:val="1"/>
                <w:numId w:val="17"/>
              </w:numPr>
              <w:ind w:left="317" w:hanging="283"/>
              <w:jc w:val="both"/>
              <w:rPr>
                <w:rFonts w:cs="Arial"/>
                <w:i/>
                <w:szCs w:val="20"/>
              </w:rPr>
            </w:pPr>
            <w:r w:rsidRPr="00C96F57">
              <w:rPr>
                <w:rFonts w:cs="Arial"/>
                <w:i/>
                <w:szCs w:val="20"/>
              </w:rPr>
              <w:t>Der Schweregrad der Stress-Szenarien ist angemessen und proportional zur Komplexität und Grösse des Instituts (Art, Umfang und Komplexität der betriebenen Geschäfte).</w:t>
            </w:r>
          </w:p>
          <w:p w14:paraId="4AA27EB9" w14:textId="77777777" w:rsidR="00063CE6" w:rsidRPr="00C96F57" w:rsidRDefault="00063CE6" w:rsidP="00063CE6">
            <w:pPr>
              <w:pStyle w:val="Listenabsatz"/>
              <w:numPr>
                <w:ilvl w:val="1"/>
                <w:numId w:val="17"/>
              </w:numPr>
              <w:ind w:left="317" w:hanging="283"/>
              <w:jc w:val="both"/>
              <w:rPr>
                <w:i/>
              </w:rPr>
            </w:pPr>
            <w:r w:rsidRPr="00C96F57">
              <w:rPr>
                <w:rFonts w:cs="Arial"/>
                <w:i/>
                <w:szCs w:val="20"/>
              </w:rPr>
              <w:t>Die</w:t>
            </w:r>
            <w:r w:rsidRPr="00C96F57">
              <w:rPr>
                <w:i/>
              </w:rPr>
              <w:t xml:space="preserve"> internen Verfahren stellen die </w:t>
            </w:r>
            <w:r w:rsidRPr="00C96F57">
              <w:rPr>
                <w:rFonts w:cs="Arial"/>
                <w:i/>
                <w:szCs w:val="20"/>
              </w:rPr>
              <w:t>vollständige und ordnungsgemässe Dokumentation des Stresstest-Programm für alle Arten von Stresstests sicher.</w:t>
            </w:r>
          </w:p>
        </w:tc>
      </w:tr>
      <w:bookmarkEnd w:id="76"/>
    </w:tbl>
    <w:p w14:paraId="3DC40919" w14:textId="77777777" w:rsidR="00063CE6" w:rsidRDefault="00063CE6" w:rsidP="00E94778">
      <w:pPr>
        <w:jc w:val="both"/>
        <w:rPr>
          <w:rFonts w:ascii="Arial" w:hAnsi="Arial" w:cs="Arial"/>
          <w:i/>
          <w:sz w:val="20"/>
          <w:szCs w:val="20"/>
          <w:highlight w:val="yellow"/>
        </w:rPr>
      </w:pPr>
    </w:p>
    <w:p w14:paraId="32572F57" w14:textId="7AAC4445" w:rsidR="00E94778" w:rsidRPr="00276C60" w:rsidRDefault="00E94778" w:rsidP="00E94778">
      <w:pPr>
        <w:jc w:val="both"/>
        <w:rPr>
          <w:rFonts w:ascii="Arial" w:hAnsi="Arial" w:cs="Arial"/>
          <w:i/>
          <w:sz w:val="20"/>
          <w:szCs w:val="20"/>
        </w:rPr>
      </w:pPr>
      <w:r w:rsidRPr="00276C60">
        <w:rPr>
          <w:rFonts w:ascii="Arial" w:hAnsi="Arial" w:cs="Arial"/>
          <w:i/>
          <w:sz w:val="20"/>
          <w:szCs w:val="20"/>
          <w:highlight w:val="yellow"/>
        </w:rPr>
        <w:t>Text</w:t>
      </w:r>
    </w:p>
    <w:p w14:paraId="55BFFD43" w14:textId="77777777" w:rsidR="00E94778" w:rsidRDefault="00E94778" w:rsidP="00CB3EE6">
      <w:pPr>
        <w:jc w:val="both"/>
      </w:pPr>
    </w:p>
    <w:p w14:paraId="4163D951" w14:textId="77777777" w:rsidR="00897485" w:rsidRDefault="00897485" w:rsidP="00897485">
      <w:pPr>
        <w:pStyle w:val="Listenabsatz"/>
        <w:ind w:left="792"/>
        <w:jc w:val="both"/>
      </w:pPr>
    </w:p>
    <w:p w14:paraId="2E94DA6F" w14:textId="10DADF39" w:rsidR="008C30D1" w:rsidRDefault="008C30D1" w:rsidP="006F7AB5">
      <w:pPr>
        <w:pStyle w:val="FINMAGliederungEbene2"/>
      </w:pPr>
      <w:bookmarkStart w:id="77" w:name="_Toc147849927"/>
      <w:r>
        <w:t>ILAAP</w:t>
      </w:r>
      <w:r w:rsidR="00115C45">
        <w:t xml:space="preserve"> </w:t>
      </w:r>
      <w:r w:rsidR="0003063F">
        <w:t>(ILA-1)</w:t>
      </w:r>
      <w:bookmarkEnd w:id="77"/>
    </w:p>
    <w:p w14:paraId="411B6867" w14:textId="296E0755" w:rsidR="00A64B92" w:rsidRDefault="00A64B92" w:rsidP="00CB3EE6">
      <w:pPr>
        <w:jc w:val="both"/>
        <w:rPr>
          <w:rFonts w:ascii="Arial" w:hAnsi="Arial" w:cs="Arial"/>
          <w:sz w:val="18"/>
          <w:szCs w:val="18"/>
        </w:rPr>
      </w:pPr>
    </w:p>
    <w:tbl>
      <w:tblPr>
        <w:tblStyle w:val="Tabellenraster"/>
        <w:tblW w:w="0" w:type="auto"/>
        <w:tblLook w:val="04A0" w:firstRow="1" w:lastRow="0" w:firstColumn="1" w:lastColumn="0" w:noHBand="0" w:noVBand="1"/>
      </w:tblPr>
      <w:tblGrid>
        <w:gridCol w:w="1932"/>
        <w:gridCol w:w="2145"/>
        <w:gridCol w:w="1721"/>
        <w:gridCol w:w="3382"/>
      </w:tblGrid>
      <w:tr w:rsidR="00063CE6" w:rsidRPr="009872F3" w14:paraId="005BD726" w14:textId="77777777" w:rsidTr="00063CE6">
        <w:trPr>
          <w:trHeight w:val="563"/>
        </w:trPr>
        <w:tc>
          <w:tcPr>
            <w:tcW w:w="1932" w:type="dxa"/>
          </w:tcPr>
          <w:p w14:paraId="75FFCE32"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lastRenderedPageBreak/>
              <w:t>Nettorisiko</w:t>
            </w:r>
          </w:p>
        </w:tc>
        <w:tc>
          <w:tcPr>
            <w:tcW w:w="2145" w:type="dxa"/>
          </w:tcPr>
          <w:p w14:paraId="719656D6"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F8E478E" w14:textId="77777777" w:rsidR="00063CE6" w:rsidRPr="009872F3" w:rsidRDefault="00063CE6" w:rsidP="00063CE6">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47398B" w:rsidRPr="009872F3" w14:paraId="03C089D5" w14:textId="77777777" w:rsidTr="006D41E2">
        <w:trPr>
          <w:trHeight w:val="698"/>
        </w:trPr>
        <w:tc>
          <w:tcPr>
            <w:tcW w:w="1932" w:type="dxa"/>
          </w:tcPr>
          <w:p w14:paraId="5E5987FF" w14:textId="77777777" w:rsidR="0047398B" w:rsidRPr="006749F0" w:rsidRDefault="0047398B" w:rsidP="00063CE6">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2BC32E83" w14:textId="3B34C999" w:rsidR="0047398B" w:rsidRPr="006749F0" w:rsidRDefault="0047398B" w:rsidP="00063CE6">
            <w:pPr>
              <w:jc w:val="both"/>
              <w:rPr>
                <w:rFonts w:ascii="Arial" w:hAnsi="Arial" w:cs="Arial"/>
                <w:i/>
                <w:sz w:val="18"/>
                <w:szCs w:val="18"/>
                <w:highlight w:val="green"/>
              </w:rPr>
            </w:pPr>
            <w:r w:rsidRPr="006749F0">
              <w:rPr>
                <w:rFonts w:ascii="Arial" w:hAnsi="Arial" w:cs="Arial"/>
                <w:i/>
                <w:sz w:val="18"/>
                <w:szCs w:val="18"/>
                <w:highlight w:val="yellow"/>
              </w:rPr>
              <w:t xml:space="preserve">Detailprüfung </w:t>
            </w:r>
          </w:p>
        </w:tc>
        <w:tc>
          <w:tcPr>
            <w:tcW w:w="5103" w:type="dxa"/>
            <w:gridSpan w:val="2"/>
          </w:tcPr>
          <w:p w14:paraId="76891391" w14:textId="68EC6981" w:rsidR="0047398B" w:rsidRPr="006749F0" w:rsidRDefault="0047398B" w:rsidP="00063CE6">
            <w:pPr>
              <w:jc w:val="both"/>
              <w:rPr>
                <w:rFonts w:ascii="Arial" w:hAnsi="Arial" w:cs="Arial"/>
                <w:i/>
                <w:sz w:val="18"/>
                <w:szCs w:val="18"/>
              </w:rPr>
            </w:pPr>
            <w:r w:rsidRPr="009872F3">
              <w:rPr>
                <w:rFonts w:ascii="Arial" w:hAnsi="Arial" w:cs="Arial"/>
                <w:sz w:val="18"/>
                <w:szCs w:val="18"/>
              </w:rPr>
              <w:t>Detailprüfung</w:t>
            </w:r>
            <w:r w:rsidRPr="0047398B">
              <w:rPr>
                <w:rFonts w:ascii="Arial" w:hAnsi="Arial" w:cs="Arial"/>
                <w:sz w:val="18"/>
                <w:szCs w:val="18"/>
              </w:rPr>
              <w:t>:</w:t>
            </w:r>
            <w:r w:rsidRPr="005B66F8">
              <w:rPr>
                <w:rFonts w:ascii="Arial" w:hAnsi="Arial" w:cs="Arial"/>
                <w:sz w:val="18"/>
                <w:szCs w:val="18"/>
              </w:rPr>
              <w:t xml:space="preserve"> </w:t>
            </w:r>
            <w:r w:rsidRPr="006749F0">
              <w:rPr>
                <w:rFonts w:ascii="Arial" w:hAnsi="Arial" w:cs="Arial"/>
                <w:i/>
                <w:sz w:val="18"/>
                <w:szCs w:val="18"/>
                <w:highlight w:val="yellow"/>
              </w:rPr>
              <w:t>Jahr</w:t>
            </w:r>
          </w:p>
        </w:tc>
      </w:tr>
      <w:tr w:rsidR="00063CE6" w:rsidRPr="009872F3" w14:paraId="2D449159" w14:textId="77777777" w:rsidTr="00063CE6">
        <w:trPr>
          <w:trHeight w:val="133"/>
        </w:trPr>
        <w:tc>
          <w:tcPr>
            <w:tcW w:w="9180" w:type="dxa"/>
            <w:gridSpan w:val="4"/>
          </w:tcPr>
          <w:p w14:paraId="0C745014" w14:textId="77777777" w:rsidR="00063CE6" w:rsidRDefault="00063CE6" w:rsidP="00063CE6">
            <w:pPr>
              <w:jc w:val="both"/>
              <w:rPr>
                <w:rFonts w:ascii="Arial" w:hAnsi="Arial" w:cs="Arial"/>
                <w:sz w:val="18"/>
                <w:szCs w:val="18"/>
              </w:rPr>
            </w:pPr>
          </w:p>
          <w:p w14:paraId="6530BC5F" w14:textId="77777777" w:rsidR="00063CE6" w:rsidRPr="00F60909" w:rsidRDefault="00063CE6" w:rsidP="00063CE6">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19B76FB1" w14:textId="77777777" w:rsidR="00063CE6" w:rsidRPr="009872F3" w:rsidRDefault="00063CE6" w:rsidP="00063CE6">
            <w:pPr>
              <w:jc w:val="both"/>
              <w:rPr>
                <w:rFonts w:ascii="Arial" w:hAnsi="Arial" w:cs="Arial"/>
                <w:sz w:val="18"/>
                <w:szCs w:val="18"/>
              </w:rPr>
            </w:pPr>
            <w:r w:rsidRPr="00CB3EE6">
              <w:rPr>
                <w:rFonts w:ascii="Arial" w:hAnsi="Arial" w:cs="Arial"/>
                <w:sz w:val="18"/>
                <w:szCs w:val="18"/>
                <w:highlight w:val="yellow"/>
              </w:rPr>
              <w:t>Art 5, 7a bis 8 BankG, Art. 7b und 7d BankG; Art. 21c BankV ff., Art. 21p BankV; FMA-Mitteilung 2017/6</w:t>
            </w:r>
            <w:r>
              <w:rPr>
                <w:rFonts w:ascii="Arial" w:hAnsi="Arial" w:cs="Arial"/>
                <w:sz w:val="18"/>
                <w:szCs w:val="18"/>
                <w:highlight w:val="yellow"/>
              </w:rPr>
              <w:t>, EBA/GL/2018/04</w:t>
            </w:r>
          </w:p>
        </w:tc>
      </w:tr>
      <w:tr w:rsidR="00063CE6" w:rsidRPr="009872F3" w14:paraId="2ED63B74" w14:textId="77777777" w:rsidTr="00063CE6">
        <w:trPr>
          <w:trHeight w:val="294"/>
        </w:trPr>
        <w:tc>
          <w:tcPr>
            <w:tcW w:w="9180" w:type="dxa"/>
            <w:gridSpan w:val="4"/>
          </w:tcPr>
          <w:p w14:paraId="3A88D814" w14:textId="77777777" w:rsidR="00063CE6" w:rsidRPr="00481B57" w:rsidRDefault="00063CE6" w:rsidP="00063CE6">
            <w:pPr>
              <w:jc w:val="both"/>
              <w:rPr>
                <w:rFonts w:ascii="Arial" w:hAnsi="Arial" w:cs="Arial"/>
                <w:b/>
                <w:bCs/>
                <w:sz w:val="18"/>
                <w:szCs w:val="18"/>
              </w:rPr>
            </w:pPr>
            <w:r w:rsidRPr="00481B57">
              <w:rPr>
                <w:rFonts w:ascii="Arial" w:hAnsi="Arial" w:cs="Arial"/>
                <w:b/>
                <w:bCs/>
                <w:sz w:val="18"/>
                <w:szCs w:val="18"/>
              </w:rPr>
              <w:t>Jährliche Bestätigung:</w:t>
            </w:r>
          </w:p>
        </w:tc>
      </w:tr>
      <w:tr w:rsidR="00063CE6" w:rsidRPr="009872F3" w14:paraId="13D45E88" w14:textId="77777777" w:rsidTr="00063CE6">
        <w:tc>
          <w:tcPr>
            <w:tcW w:w="5798" w:type="dxa"/>
            <w:gridSpan w:val="3"/>
          </w:tcPr>
          <w:p w14:paraId="6BB38FDA" w14:textId="77777777" w:rsidR="00063CE6" w:rsidRDefault="00063CE6" w:rsidP="00063CE6">
            <w:pPr>
              <w:jc w:val="both"/>
              <w:rPr>
                <w:rFonts w:ascii="Arial" w:hAnsi="Arial" w:cs="Arial"/>
                <w:sz w:val="18"/>
                <w:szCs w:val="18"/>
              </w:rPr>
            </w:pPr>
            <w:r w:rsidRPr="00F246D4">
              <w:rPr>
                <w:rFonts w:ascii="Arial" w:hAnsi="Arial"/>
                <w:sz w:val="18"/>
              </w:rPr>
              <w:t xml:space="preserve">Bestätigung, dass </w:t>
            </w:r>
            <w:r w:rsidRPr="00F246D4">
              <w:rPr>
                <w:rFonts w:ascii="Arial" w:hAnsi="Arial" w:cs="Arial"/>
                <w:sz w:val="18"/>
                <w:szCs w:val="18"/>
              </w:rPr>
              <w:t>alle Kernelemente des</w:t>
            </w:r>
            <w:r w:rsidRPr="00F246D4">
              <w:rPr>
                <w:rFonts w:ascii="Arial" w:hAnsi="Arial"/>
                <w:sz w:val="18"/>
              </w:rPr>
              <w:t xml:space="preserve"> I</w:t>
            </w:r>
            <w:r>
              <w:rPr>
                <w:rFonts w:ascii="Arial" w:hAnsi="Arial"/>
                <w:sz w:val="18"/>
              </w:rPr>
              <w:t>L</w:t>
            </w:r>
            <w:r w:rsidRPr="00F246D4">
              <w:rPr>
                <w:rFonts w:ascii="Arial" w:hAnsi="Arial"/>
                <w:sz w:val="18"/>
              </w:rPr>
              <w:t xml:space="preserve">AAP </w:t>
            </w:r>
            <w:r w:rsidRPr="00F246D4">
              <w:rPr>
                <w:rFonts w:ascii="Arial" w:hAnsi="Arial" w:cs="Arial"/>
                <w:sz w:val="18"/>
                <w:szCs w:val="18"/>
              </w:rPr>
              <w:t>inkl. Limitenänderungen jährlich</w:t>
            </w:r>
            <w:r w:rsidRPr="00F246D4">
              <w:rPr>
                <w:rFonts w:ascii="Arial" w:hAnsi="Arial"/>
                <w:sz w:val="18"/>
              </w:rPr>
              <w:t xml:space="preserve"> und </w:t>
            </w:r>
            <w:r w:rsidRPr="00F246D4">
              <w:rPr>
                <w:rFonts w:ascii="Arial" w:hAnsi="Arial" w:cs="Arial"/>
                <w:sz w:val="18"/>
                <w:szCs w:val="18"/>
              </w:rPr>
              <w:t>vollständig erstellt und vom Verwaltungsrat genehmigt werden.</w:t>
            </w:r>
          </w:p>
        </w:tc>
        <w:tc>
          <w:tcPr>
            <w:tcW w:w="3382" w:type="dxa"/>
          </w:tcPr>
          <w:p w14:paraId="62A29FAB" w14:textId="0266F9F4" w:rsidR="00063CE6" w:rsidRPr="00E109DF" w:rsidRDefault="00063CE6" w:rsidP="00063CE6">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0047398B">
              <w:rPr>
                <w:rFonts w:ascii="Arial" w:hAnsi="Arial" w:cs="Arial"/>
                <w:i/>
                <w:sz w:val="18"/>
                <w:szCs w:val="18"/>
                <w:highlight w:val="yellow"/>
              </w:rPr>
              <w:t xml:space="preserve">) </w:t>
            </w:r>
            <w:r w:rsidRPr="00E109DF">
              <w:rPr>
                <w:rFonts w:ascii="Arial" w:hAnsi="Arial" w:cs="Arial"/>
                <w:i/>
                <w:sz w:val="18"/>
                <w:szCs w:val="18"/>
                <w:highlight w:val="yellow"/>
              </w:rPr>
              <w:t>/ Nein</w:t>
            </w:r>
          </w:p>
        </w:tc>
      </w:tr>
      <w:tr w:rsidR="00063CE6" w:rsidRPr="009872F3" w14:paraId="1540F73F" w14:textId="77777777" w:rsidTr="00063CE6">
        <w:tc>
          <w:tcPr>
            <w:tcW w:w="5798" w:type="dxa"/>
            <w:gridSpan w:val="3"/>
          </w:tcPr>
          <w:p w14:paraId="553B411A" w14:textId="77777777" w:rsidR="00063CE6" w:rsidRPr="00687BD9" w:rsidRDefault="00063CE6" w:rsidP="00063CE6">
            <w:pPr>
              <w:jc w:val="both"/>
              <w:rPr>
                <w:rFonts w:ascii="Arial" w:hAnsi="Arial" w:cs="Arial"/>
                <w:b/>
                <w:bCs/>
                <w:sz w:val="18"/>
                <w:szCs w:val="18"/>
              </w:rPr>
            </w:pPr>
            <w:r w:rsidRPr="00687BD9">
              <w:rPr>
                <w:rFonts w:ascii="Arial" w:hAnsi="Arial" w:cs="Arial"/>
                <w:b/>
                <w:bCs/>
                <w:sz w:val="18"/>
                <w:szCs w:val="18"/>
              </w:rPr>
              <w:t>Intervention 1</w:t>
            </w:r>
            <w:r>
              <w:rPr>
                <w:rFonts w:ascii="Arial" w:hAnsi="Arial" w:cs="Arial"/>
                <w:b/>
                <w:bCs/>
                <w:sz w:val="18"/>
                <w:szCs w:val="18"/>
              </w:rPr>
              <w:t xml:space="preserve">– </w:t>
            </w:r>
            <w:r w:rsidRPr="00687BD9">
              <w:rPr>
                <w:rFonts w:ascii="Arial" w:hAnsi="Arial" w:cs="Arial"/>
                <w:b/>
                <w:bCs/>
                <w:sz w:val="18"/>
                <w:szCs w:val="18"/>
              </w:rPr>
              <w:t xml:space="preserve">Risikoprofil und Risikoaggregation: </w:t>
            </w:r>
          </w:p>
        </w:tc>
        <w:tc>
          <w:tcPr>
            <w:tcW w:w="3382" w:type="dxa"/>
          </w:tcPr>
          <w:p w14:paraId="5D3D570A" w14:textId="77777777" w:rsidR="00063CE6" w:rsidRPr="00E109DF" w:rsidRDefault="00063CE6" w:rsidP="00063CE6">
            <w:pPr>
              <w:jc w:val="both"/>
              <w:rPr>
                <w:rFonts w:ascii="Arial" w:hAnsi="Arial" w:cs="Arial"/>
                <w:i/>
                <w:sz w:val="18"/>
                <w:szCs w:val="18"/>
                <w:highlight w:val="yellow"/>
              </w:rPr>
            </w:pPr>
          </w:p>
        </w:tc>
      </w:tr>
      <w:tr w:rsidR="00063CE6" w:rsidRPr="009872F3" w14:paraId="2533219E" w14:textId="77777777" w:rsidTr="00063CE6">
        <w:tc>
          <w:tcPr>
            <w:tcW w:w="5798" w:type="dxa"/>
            <w:gridSpan w:val="3"/>
          </w:tcPr>
          <w:p w14:paraId="7859F2D7" w14:textId="5856090B" w:rsidR="00063CE6" w:rsidRDefault="00063CE6" w:rsidP="00063CE6">
            <w:pPr>
              <w:jc w:val="both"/>
              <w:rPr>
                <w:rFonts w:ascii="Arial" w:hAnsi="Arial" w:cs="Arial"/>
                <w:sz w:val="18"/>
                <w:szCs w:val="18"/>
              </w:rPr>
            </w:pPr>
            <w:r>
              <w:rPr>
                <w:rFonts w:ascii="Arial" w:hAnsi="Arial" w:cs="Arial"/>
                <w:sz w:val="18"/>
                <w:szCs w:val="18"/>
              </w:rPr>
              <w:t xml:space="preserve">Bestätigung, dass die internen Verfahren die angemessene quantitative Risikotragfähigkeitsrechnung für alle für das Geschäftsmodell der </w:t>
            </w:r>
            <w:r w:rsidR="006179DA" w:rsidRPr="00BF6946">
              <w:rPr>
                <w:rFonts w:ascii="Arial" w:hAnsi="Arial" w:cs="Arial"/>
                <w:sz w:val="18"/>
                <w:szCs w:val="18"/>
              </w:rPr>
              <w:t>Bank/Wertpapierfirma bzw. der Gruppe</w:t>
            </w:r>
            <w:r w:rsidR="006179DA" w:rsidDel="006179DA">
              <w:rPr>
                <w:rFonts w:ascii="Arial" w:hAnsi="Arial" w:cs="Arial"/>
                <w:sz w:val="18"/>
                <w:szCs w:val="18"/>
              </w:rPr>
              <w:t xml:space="preserve"> </w:t>
            </w:r>
            <w:r>
              <w:rPr>
                <w:rFonts w:ascii="Arial" w:hAnsi="Arial" w:cs="Arial"/>
                <w:sz w:val="18"/>
                <w:szCs w:val="18"/>
              </w:rPr>
              <w:t>wesentlichen Risikoarten inkl. der Berücksichtigung neuer Märkte und Produkte in der Simulationsplanung unter Berücksichtigung der ökonomischen und der regulatorischen ILAAP-Perspektiven sicherstellen.</w:t>
            </w:r>
          </w:p>
        </w:tc>
        <w:tc>
          <w:tcPr>
            <w:tcW w:w="3382" w:type="dxa"/>
          </w:tcPr>
          <w:p w14:paraId="2DC622D5" w14:textId="612AD831" w:rsidR="00063CE6" w:rsidRPr="00E109DF"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45429E2F" w14:textId="77777777" w:rsidTr="00063CE6">
        <w:tc>
          <w:tcPr>
            <w:tcW w:w="5798" w:type="dxa"/>
            <w:gridSpan w:val="3"/>
          </w:tcPr>
          <w:p w14:paraId="359D74E1" w14:textId="77777777" w:rsidR="00063CE6" w:rsidRDefault="00063CE6" w:rsidP="00063CE6">
            <w:pPr>
              <w:jc w:val="both"/>
              <w:rPr>
                <w:rFonts w:ascii="Arial" w:hAnsi="Arial" w:cs="Arial"/>
                <w:sz w:val="18"/>
                <w:szCs w:val="18"/>
              </w:rPr>
            </w:pPr>
            <w:r>
              <w:rPr>
                <w:rFonts w:ascii="Arial" w:hAnsi="Arial" w:cs="Arial"/>
                <w:sz w:val="18"/>
                <w:szCs w:val="18"/>
              </w:rPr>
              <w:t>Bestätigung, dass die internen Verfahren die Berücksichtigung wesentlicher Korrelationen, Konzentrationen und Diversifikationsmöglichkeiten zwischen den Risikoarten im Rahmen der Risikotragfähigkeitsrechnung sicherstellen und in angemessener Weise die Risiken zum Gesamtrisiko aggregiert werden.</w:t>
            </w:r>
          </w:p>
        </w:tc>
        <w:tc>
          <w:tcPr>
            <w:tcW w:w="3382" w:type="dxa"/>
          </w:tcPr>
          <w:p w14:paraId="7499A457" w14:textId="48A4D2BC" w:rsidR="00063CE6" w:rsidRPr="00E109DF"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CB3EE6" w14:paraId="11DE99A9" w14:textId="77777777" w:rsidTr="00063CE6">
        <w:tc>
          <w:tcPr>
            <w:tcW w:w="5798" w:type="dxa"/>
            <w:gridSpan w:val="3"/>
          </w:tcPr>
          <w:p w14:paraId="27BB3F3A" w14:textId="77777777" w:rsidR="00063CE6" w:rsidRPr="00C3479D" w:rsidRDefault="00063CE6" w:rsidP="00063CE6">
            <w:pPr>
              <w:jc w:val="both"/>
              <w:rPr>
                <w:rFonts w:ascii="Arial" w:hAnsi="Arial" w:cs="Arial"/>
                <w:sz w:val="18"/>
                <w:szCs w:val="18"/>
              </w:rPr>
            </w:pPr>
            <w:r w:rsidRPr="00C3479D">
              <w:rPr>
                <w:rFonts w:ascii="Arial" w:hAnsi="Arial" w:cs="Arial"/>
                <w:sz w:val="18"/>
                <w:szCs w:val="18"/>
              </w:rPr>
              <w:t xml:space="preserve">Bestätigung, dass die internen Verfahren die </w:t>
            </w:r>
            <w:r w:rsidRPr="00CB3EE6">
              <w:rPr>
                <w:rFonts w:ascii="Arial" w:hAnsi="Arial" w:cs="Arial"/>
                <w:sz w:val="18"/>
                <w:szCs w:val="18"/>
              </w:rPr>
              <w:t>Existenz von der Counterbalancing Capacity (CBC) und dem Liquiditätspuffer in angemessener Höhe und Qualität zur jederzeitigen Liquidierung sicherstellen</w:t>
            </w:r>
            <w:r>
              <w:rPr>
                <w:rFonts w:ascii="Arial" w:hAnsi="Arial" w:cs="Arial"/>
                <w:sz w:val="18"/>
                <w:szCs w:val="18"/>
              </w:rPr>
              <w:t xml:space="preserve"> und </w:t>
            </w:r>
            <w:r w:rsidRPr="00C3479D">
              <w:rPr>
                <w:rFonts w:ascii="Arial" w:hAnsi="Arial" w:cs="Arial"/>
                <w:sz w:val="18"/>
                <w:szCs w:val="18"/>
              </w:rPr>
              <w:t>eine angemessene Allokati</w:t>
            </w:r>
            <w:r w:rsidRPr="00CB3EE6">
              <w:rPr>
                <w:rFonts w:ascii="Arial" w:hAnsi="Arial" w:cs="Arial"/>
                <w:sz w:val="18"/>
                <w:szCs w:val="18"/>
              </w:rPr>
              <w:t>on der Liquidität</w:t>
            </w:r>
            <w:r w:rsidRPr="00C3479D">
              <w:rPr>
                <w:rFonts w:ascii="Arial" w:hAnsi="Arial" w:cs="Arial"/>
                <w:sz w:val="18"/>
                <w:szCs w:val="18"/>
              </w:rPr>
              <w:t>, welche im Einklang mit der Risikotragfähigkeit</w:t>
            </w:r>
            <w:r w:rsidRPr="00CB3EE6">
              <w:rPr>
                <w:rFonts w:ascii="Arial" w:hAnsi="Arial" w:cs="Arial"/>
                <w:sz w:val="18"/>
                <w:szCs w:val="18"/>
              </w:rPr>
              <w:t>s</w:t>
            </w:r>
            <w:r w:rsidRPr="00C3479D">
              <w:rPr>
                <w:rFonts w:ascii="Arial" w:hAnsi="Arial" w:cs="Arial"/>
                <w:sz w:val="18"/>
                <w:szCs w:val="18"/>
              </w:rPr>
              <w:t>rec</w:t>
            </w:r>
            <w:r w:rsidRPr="00CB3EE6">
              <w:rPr>
                <w:rFonts w:ascii="Arial" w:hAnsi="Arial" w:cs="Arial"/>
                <w:sz w:val="18"/>
                <w:szCs w:val="18"/>
              </w:rPr>
              <w:t>h</w:t>
            </w:r>
            <w:r w:rsidRPr="00C3479D">
              <w:rPr>
                <w:rFonts w:ascii="Arial" w:hAnsi="Arial" w:cs="Arial"/>
                <w:sz w:val="18"/>
                <w:szCs w:val="18"/>
              </w:rPr>
              <w:t>nung steht, gewährleisten</w:t>
            </w:r>
            <w:r w:rsidRPr="00CB3EE6">
              <w:rPr>
                <w:rFonts w:ascii="Arial" w:hAnsi="Arial" w:cs="Arial"/>
                <w:sz w:val="18"/>
                <w:szCs w:val="18"/>
              </w:rPr>
              <w:t xml:space="preserve">. </w:t>
            </w:r>
          </w:p>
        </w:tc>
        <w:tc>
          <w:tcPr>
            <w:tcW w:w="3382" w:type="dxa"/>
          </w:tcPr>
          <w:p w14:paraId="557558DA" w14:textId="09E324EA" w:rsidR="00063CE6" w:rsidRPr="00CB3EE6" w:rsidRDefault="0047398B" w:rsidP="00063CE6">
            <w:pPr>
              <w:jc w:val="both"/>
              <w:rPr>
                <w:rFonts w:ascii="Arial" w:hAnsi="Arial" w:cs="Arial"/>
                <w:i/>
                <w:sz w:val="18"/>
                <w:szCs w:val="18"/>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C3479D" w14:paraId="677F623B" w14:textId="77777777" w:rsidTr="00063CE6">
        <w:tc>
          <w:tcPr>
            <w:tcW w:w="5798" w:type="dxa"/>
            <w:gridSpan w:val="3"/>
            <w:shd w:val="clear" w:color="auto" w:fill="auto"/>
          </w:tcPr>
          <w:p w14:paraId="23B9A28A" w14:textId="77777777" w:rsidR="00063CE6" w:rsidRPr="00020E5A" w:rsidRDefault="00063CE6" w:rsidP="00063CE6">
            <w:pPr>
              <w:jc w:val="both"/>
              <w:rPr>
                <w:rFonts w:ascii="Arial" w:hAnsi="Arial" w:cs="Arial"/>
                <w:sz w:val="18"/>
                <w:szCs w:val="18"/>
              </w:rPr>
            </w:pPr>
            <w:r w:rsidRPr="00020E5A">
              <w:rPr>
                <w:rFonts w:ascii="Arial" w:hAnsi="Arial" w:cs="Arial"/>
                <w:sz w:val="18"/>
                <w:szCs w:val="18"/>
              </w:rPr>
              <w:t xml:space="preserve">Bestätigung, dass die internen Verfahren eine angemessene Stabilität und Diversifizierung der Refinanzierungsbasis sicherstellen. </w:t>
            </w:r>
          </w:p>
        </w:tc>
        <w:tc>
          <w:tcPr>
            <w:tcW w:w="3382" w:type="dxa"/>
          </w:tcPr>
          <w:p w14:paraId="239D602D" w14:textId="70369E26" w:rsidR="00063CE6" w:rsidRPr="00C3479D"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C3479D" w:rsidDel="00054592" w14:paraId="7AC84920" w14:textId="77777777" w:rsidTr="00063CE6">
        <w:tc>
          <w:tcPr>
            <w:tcW w:w="5798" w:type="dxa"/>
            <w:gridSpan w:val="3"/>
            <w:shd w:val="clear" w:color="auto" w:fill="auto"/>
          </w:tcPr>
          <w:p w14:paraId="1CE86101" w14:textId="77777777" w:rsidR="00063CE6" w:rsidRPr="00020E5A" w:rsidDel="00054592" w:rsidRDefault="00063CE6" w:rsidP="00063CE6">
            <w:pPr>
              <w:jc w:val="both"/>
              <w:rPr>
                <w:rFonts w:ascii="Arial" w:hAnsi="Arial" w:cs="Arial"/>
                <w:sz w:val="18"/>
                <w:szCs w:val="18"/>
              </w:rPr>
            </w:pPr>
            <w:r w:rsidRPr="00020E5A">
              <w:rPr>
                <w:rFonts w:ascii="Arial" w:hAnsi="Arial" w:cs="Arial"/>
                <w:sz w:val="18"/>
                <w:szCs w:val="18"/>
              </w:rPr>
              <w:t xml:space="preserve">Bestätigung, dass die internen Verfahren einen Liquiditätspuffer in angemessener Höhe und angemessen diversifiziert zur Verhinderung von Währungsinkongruenzen sicherstellen und dass der Risikoappetit der Risikotragfähigkeitsberechnung sowohl in der ökonomischen als auch der regulatorischen Perspektive den Liquiditätspuffer nicht übersteigt </w:t>
            </w:r>
            <w:r w:rsidRPr="00020E5A">
              <w:rPr>
                <w:rFonts w:ascii="Arial" w:hAnsi="Arial"/>
                <w:sz w:val="18"/>
              </w:rPr>
              <w:t>und auch unter gewissen Stressszenarien nicht übersteigen kann,</w:t>
            </w:r>
            <w:r w:rsidRPr="00020E5A">
              <w:rPr>
                <w:rFonts w:ascii="Arial" w:hAnsi="Arial" w:cs="Arial"/>
                <w:sz w:val="18"/>
                <w:szCs w:val="18"/>
              </w:rPr>
              <w:t xml:space="preserve"> und eine angemessene Allokation der Liquidität gewährleistet ist</w:t>
            </w:r>
          </w:p>
        </w:tc>
        <w:tc>
          <w:tcPr>
            <w:tcW w:w="3382" w:type="dxa"/>
          </w:tcPr>
          <w:p w14:paraId="19DE289A" w14:textId="051F89D2" w:rsidR="00063CE6" w:rsidRPr="00C3479D" w:rsidDel="00054592"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C3210E" w14:paraId="2B22977F" w14:textId="77777777" w:rsidTr="00063CE6">
        <w:tc>
          <w:tcPr>
            <w:tcW w:w="5798" w:type="dxa"/>
            <w:gridSpan w:val="3"/>
          </w:tcPr>
          <w:p w14:paraId="70AA3EC4" w14:textId="77777777" w:rsidR="00063CE6" w:rsidRPr="00C3210E" w:rsidRDefault="00063CE6" w:rsidP="00063CE6">
            <w:pPr>
              <w:jc w:val="both"/>
              <w:rPr>
                <w:rFonts w:ascii="Arial" w:hAnsi="Arial" w:cs="Arial"/>
                <w:b/>
                <w:bCs/>
                <w:sz w:val="18"/>
                <w:szCs w:val="18"/>
                <w:lang w:val="en-US"/>
              </w:rPr>
            </w:pPr>
            <w:r w:rsidRPr="00C3210E">
              <w:rPr>
                <w:rFonts w:ascii="Arial" w:hAnsi="Arial" w:cs="Arial"/>
                <w:b/>
                <w:bCs/>
                <w:sz w:val="18"/>
                <w:szCs w:val="18"/>
                <w:lang w:val="en-US"/>
              </w:rPr>
              <w:t>Intervention 2</w:t>
            </w:r>
            <w:r>
              <w:rPr>
                <w:rFonts w:ascii="Arial" w:hAnsi="Arial" w:cs="Arial"/>
                <w:b/>
                <w:bCs/>
                <w:sz w:val="18"/>
                <w:szCs w:val="18"/>
                <w:lang w:val="en-US"/>
              </w:rPr>
              <w:t xml:space="preserve"> </w:t>
            </w:r>
            <w:r>
              <w:rPr>
                <w:rFonts w:ascii="Arial" w:hAnsi="Arial" w:cs="Arial"/>
                <w:b/>
                <w:bCs/>
                <w:sz w:val="18"/>
                <w:szCs w:val="18"/>
              </w:rPr>
              <w:t>–</w:t>
            </w:r>
            <w:r w:rsidRPr="00C3210E">
              <w:rPr>
                <w:rFonts w:ascii="Arial" w:hAnsi="Arial" w:cs="Arial"/>
                <w:b/>
                <w:bCs/>
                <w:sz w:val="18"/>
                <w:szCs w:val="18"/>
                <w:lang w:val="en-US"/>
              </w:rPr>
              <w:t xml:space="preserve"> Governance, Limitenwesen und internes Risikoreporting:</w:t>
            </w:r>
          </w:p>
        </w:tc>
        <w:tc>
          <w:tcPr>
            <w:tcW w:w="3382" w:type="dxa"/>
          </w:tcPr>
          <w:p w14:paraId="4E36E601" w14:textId="77777777" w:rsidR="00063CE6" w:rsidRPr="00C3210E" w:rsidRDefault="00063CE6" w:rsidP="00063CE6">
            <w:pPr>
              <w:jc w:val="both"/>
              <w:rPr>
                <w:rFonts w:ascii="Arial" w:hAnsi="Arial" w:cs="Arial"/>
                <w:i/>
                <w:sz w:val="18"/>
                <w:szCs w:val="18"/>
                <w:highlight w:val="yellow"/>
                <w:lang w:val="en-US"/>
              </w:rPr>
            </w:pPr>
          </w:p>
        </w:tc>
      </w:tr>
      <w:tr w:rsidR="00063CE6" w:rsidRPr="009872F3" w14:paraId="6AC57BC2" w14:textId="77777777" w:rsidTr="00063CE6">
        <w:tc>
          <w:tcPr>
            <w:tcW w:w="5798" w:type="dxa"/>
            <w:gridSpan w:val="3"/>
          </w:tcPr>
          <w:p w14:paraId="691AA286" w14:textId="77777777" w:rsidR="00063CE6" w:rsidRDefault="00063CE6" w:rsidP="00063CE6">
            <w:pPr>
              <w:jc w:val="both"/>
              <w:rPr>
                <w:rFonts w:ascii="Arial" w:hAnsi="Arial" w:cs="Arial"/>
                <w:sz w:val="18"/>
                <w:szCs w:val="18"/>
              </w:rPr>
            </w:pPr>
            <w:r>
              <w:rPr>
                <w:rFonts w:ascii="Arial" w:hAnsi="Arial" w:cs="Arial"/>
                <w:sz w:val="18"/>
                <w:szCs w:val="18"/>
              </w:rPr>
              <w:t xml:space="preserve">Bestätigung, dass </w:t>
            </w:r>
            <w:r w:rsidRPr="003D31C0">
              <w:rPr>
                <w:rFonts w:ascii="Arial" w:hAnsi="Arial" w:cs="Arial"/>
                <w:sz w:val="18"/>
                <w:szCs w:val="18"/>
              </w:rPr>
              <w:t>eine kohärente</w:t>
            </w:r>
            <w:r>
              <w:rPr>
                <w:rFonts w:ascii="Arial" w:hAnsi="Arial" w:cs="Arial"/>
                <w:sz w:val="18"/>
                <w:szCs w:val="18"/>
              </w:rPr>
              <w:t xml:space="preserve"> und angemessene</w:t>
            </w:r>
            <w:r w:rsidRPr="003D31C0">
              <w:rPr>
                <w:rFonts w:ascii="Arial" w:hAnsi="Arial" w:cs="Arial"/>
                <w:sz w:val="18"/>
                <w:szCs w:val="18"/>
              </w:rPr>
              <w:t xml:space="preserve"> Governance </w:t>
            </w:r>
            <w:r>
              <w:rPr>
                <w:rFonts w:ascii="Arial" w:hAnsi="Arial" w:cs="Arial"/>
                <w:sz w:val="18"/>
                <w:szCs w:val="18"/>
              </w:rPr>
              <w:t>in Bezug auf</w:t>
            </w:r>
            <w:r w:rsidRPr="003D31C0">
              <w:rPr>
                <w:rFonts w:ascii="Arial" w:hAnsi="Arial" w:cs="Arial"/>
                <w:sz w:val="18"/>
                <w:szCs w:val="18"/>
              </w:rPr>
              <w:t xml:space="preserve"> Weisungswesen, Risikoappetit, Limiten</w:t>
            </w:r>
            <w:r>
              <w:rPr>
                <w:rFonts w:ascii="Arial" w:hAnsi="Arial" w:cs="Arial"/>
                <w:sz w:val="18"/>
                <w:szCs w:val="18"/>
              </w:rPr>
              <w:t>, Stresstesting (Zuständigkeiten, Rapport, Kohärenz zum Limitenwesen)</w:t>
            </w:r>
            <w:r w:rsidRPr="003D31C0">
              <w:rPr>
                <w:rFonts w:ascii="Arial" w:hAnsi="Arial" w:cs="Arial"/>
                <w:sz w:val="18"/>
                <w:szCs w:val="18"/>
              </w:rPr>
              <w:t xml:space="preserve"> und Frühwarnindikatoren sowie interne</w:t>
            </w:r>
            <w:r>
              <w:rPr>
                <w:rFonts w:ascii="Arial" w:hAnsi="Arial" w:cs="Arial"/>
                <w:sz w:val="18"/>
                <w:szCs w:val="18"/>
              </w:rPr>
              <w:t xml:space="preserve"> Risikoberichterstattung (Adressaten, Periodizität) </w:t>
            </w:r>
            <w:r w:rsidRPr="0052531C">
              <w:rPr>
                <w:rFonts w:ascii="Arial" w:hAnsi="Arial" w:cs="Arial"/>
                <w:sz w:val="18"/>
                <w:szCs w:val="18"/>
              </w:rPr>
              <w:t>sichergestellt wird.</w:t>
            </w:r>
          </w:p>
        </w:tc>
        <w:tc>
          <w:tcPr>
            <w:tcW w:w="3382" w:type="dxa"/>
          </w:tcPr>
          <w:p w14:paraId="3DD9E225" w14:textId="007EB4BE" w:rsidR="00063CE6" w:rsidRPr="00C3479D"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9872F3" w14:paraId="64D11E58" w14:textId="77777777" w:rsidTr="00063CE6">
        <w:tc>
          <w:tcPr>
            <w:tcW w:w="5798" w:type="dxa"/>
            <w:gridSpan w:val="3"/>
          </w:tcPr>
          <w:p w14:paraId="3529A4E8" w14:textId="77777777" w:rsidR="00063CE6" w:rsidRPr="00F9743B" w:rsidRDefault="00063CE6" w:rsidP="00063CE6">
            <w:pPr>
              <w:jc w:val="both"/>
              <w:rPr>
                <w:rFonts w:ascii="Arial" w:hAnsi="Arial" w:cs="Arial"/>
                <w:sz w:val="18"/>
                <w:szCs w:val="18"/>
                <w:highlight w:val="yellow"/>
              </w:rPr>
            </w:pPr>
            <w:r>
              <w:rPr>
                <w:rFonts w:ascii="Arial" w:hAnsi="Arial" w:cs="Arial"/>
                <w:sz w:val="18"/>
                <w:szCs w:val="18"/>
              </w:rPr>
              <w:t xml:space="preserve">Bestätigung, dass die </w:t>
            </w:r>
            <w:r w:rsidRPr="00E674C6">
              <w:rPr>
                <w:rFonts w:ascii="Arial" w:hAnsi="Arial" w:cs="Arial"/>
                <w:sz w:val="18"/>
                <w:szCs w:val="18"/>
              </w:rPr>
              <w:t xml:space="preserve">Bewertungen aus der </w:t>
            </w:r>
            <w:r>
              <w:rPr>
                <w:rFonts w:ascii="Arial" w:hAnsi="Arial" w:cs="Arial"/>
                <w:sz w:val="18"/>
                <w:szCs w:val="18"/>
              </w:rPr>
              <w:t xml:space="preserve">regulatorischen Perspektive sowie aus der </w:t>
            </w:r>
            <w:r w:rsidRPr="00E674C6">
              <w:rPr>
                <w:rFonts w:ascii="Arial" w:hAnsi="Arial" w:cs="Arial"/>
                <w:sz w:val="18"/>
                <w:szCs w:val="18"/>
              </w:rPr>
              <w:t xml:space="preserve">ökonomisch internen Perspektive in die interne Berichterstattung, </w:t>
            </w:r>
            <w:r>
              <w:rPr>
                <w:rFonts w:ascii="Arial" w:hAnsi="Arial" w:cs="Arial"/>
                <w:sz w:val="18"/>
                <w:szCs w:val="18"/>
              </w:rPr>
              <w:t xml:space="preserve">das </w:t>
            </w:r>
            <w:r w:rsidRPr="00E674C6">
              <w:rPr>
                <w:rFonts w:ascii="Arial" w:hAnsi="Arial" w:cs="Arial"/>
                <w:sz w:val="18"/>
                <w:szCs w:val="18"/>
              </w:rPr>
              <w:t xml:space="preserve">Limitenwesen und </w:t>
            </w:r>
            <w:r>
              <w:rPr>
                <w:rFonts w:ascii="Arial" w:hAnsi="Arial" w:cs="Arial"/>
                <w:sz w:val="18"/>
                <w:szCs w:val="18"/>
              </w:rPr>
              <w:t xml:space="preserve">das </w:t>
            </w:r>
            <w:r w:rsidRPr="00E674C6">
              <w:rPr>
                <w:rFonts w:ascii="Arial" w:hAnsi="Arial" w:cs="Arial"/>
                <w:sz w:val="18"/>
                <w:szCs w:val="18"/>
              </w:rPr>
              <w:t>Risikoappetitrahmenwerk e</w:t>
            </w:r>
            <w:r>
              <w:rPr>
                <w:rFonts w:ascii="Arial" w:hAnsi="Arial" w:cs="Arial"/>
                <w:sz w:val="18"/>
                <w:szCs w:val="18"/>
              </w:rPr>
              <w:t>infliessen.</w:t>
            </w:r>
          </w:p>
        </w:tc>
        <w:tc>
          <w:tcPr>
            <w:tcW w:w="3382" w:type="dxa"/>
          </w:tcPr>
          <w:p w14:paraId="19A8339F" w14:textId="667BEF85" w:rsidR="00063CE6" w:rsidRPr="00C3479D"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481B57" w14:paraId="7EC08662" w14:textId="77777777" w:rsidTr="00063CE6">
        <w:tc>
          <w:tcPr>
            <w:tcW w:w="5798" w:type="dxa"/>
            <w:gridSpan w:val="3"/>
          </w:tcPr>
          <w:p w14:paraId="45861007" w14:textId="77777777" w:rsidR="00063CE6" w:rsidRPr="00481B57" w:rsidRDefault="00063CE6" w:rsidP="00063CE6">
            <w:pPr>
              <w:jc w:val="both"/>
              <w:rPr>
                <w:rFonts w:ascii="Arial" w:hAnsi="Arial" w:cs="Arial"/>
                <w:b/>
                <w:bCs/>
                <w:sz w:val="18"/>
                <w:szCs w:val="18"/>
              </w:rPr>
            </w:pPr>
            <w:r w:rsidRPr="00481B57">
              <w:rPr>
                <w:rFonts w:ascii="Arial" w:hAnsi="Arial" w:cs="Arial"/>
                <w:b/>
                <w:bCs/>
                <w:sz w:val="18"/>
                <w:szCs w:val="18"/>
              </w:rPr>
              <w:t>Intervention 3 – Stresstesting und Plan-Szenarien:</w:t>
            </w:r>
          </w:p>
        </w:tc>
        <w:tc>
          <w:tcPr>
            <w:tcW w:w="3382" w:type="dxa"/>
          </w:tcPr>
          <w:p w14:paraId="4321B243" w14:textId="77777777" w:rsidR="00063CE6" w:rsidRPr="00481B57" w:rsidRDefault="00063CE6" w:rsidP="00063CE6">
            <w:pPr>
              <w:jc w:val="both"/>
              <w:rPr>
                <w:rFonts w:ascii="Arial" w:hAnsi="Arial" w:cs="Arial"/>
                <w:i/>
                <w:sz w:val="18"/>
                <w:szCs w:val="18"/>
                <w:highlight w:val="yellow"/>
              </w:rPr>
            </w:pPr>
          </w:p>
        </w:tc>
      </w:tr>
      <w:tr w:rsidR="00063CE6" w:rsidRPr="00E109DF" w14:paraId="3FF31D27" w14:textId="77777777" w:rsidTr="00063CE6">
        <w:tc>
          <w:tcPr>
            <w:tcW w:w="5798" w:type="dxa"/>
            <w:gridSpan w:val="3"/>
          </w:tcPr>
          <w:p w14:paraId="3AF059D5" w14:textId="64DE456C" w:rsidR="00063CE6" w:rsidRDefault="00063CE6" w:rsidP="00063CE6">
            <w:pPr>
              <w:jc w:val="both"/>
              <w:rPr>
                <w:rFonts w:ascii="Arial" w:hAnsi="Arial" w:cs="Arial"/>
                <w:sz w:val="18"/>
                <w:szCs w:val="18"/>
              </w:rPr>
            </w:pPr>
            <w:r>
              <w:rPr>
                <w:rFonts w:ascii="Arial" w:hAnsi="Arial" w:cs="Arial"/>
                <w:sz w:val="18"/>
                <w:szCs w:val="18"/>
              </w:rPr>
              <w:t xml:space="preserve">Bestätigung, dass die internen Verfahren sicherstellen, dass das Stresstesting hinsichtlich Art, Umfang und Komplexität der Geschäftstätigkeit der </w:t>
            </w:r>
            <w:r w:rsidR="006179DA" w:rsidRPr="00BF6946">
              <w:rPr>
                <w:rFonts w:ascii="Arial" w:hAnsi="Arial" w:cs="Arial"/>
                <w:sz w:val="18"/>
                <w:szCs w:val="18"/>
              </w:rPr>
              <w:t>Bank/Wertpapierfirma bzw. der Gruppe</w:t>
            </w:r>
            <w:r w:rsidR="006179DA" w:rsidDel="006179DA">
              <w:rPr>
                <w:rFonts w:ascii="Arial" w:hAnsi="Arial" w:cs="Arial"/>
                <w:sz w:val="18"/>
                <w:szCs w:val="18"/>
              </w:rPr>
              <w:t xml:space="preserve"> </w:t>
            </w:r>
            <w:r>
              <w:rPr>
                <w:rFonts w:ascii="Arial" w:hAnsi="Arial" w:cs="Arial"/>
                <w:sz w:val="18"/>
                <w:szCs w:val="18"/>
              </w:rPr>
              <w:t>angemessen (inkl. Schweregrad der Szenarien), vollständig und konsistent ist.</w:t>
            </w:r>
          </w:p>
        </w:tc>
        <w:tc>
          <w:tcPr>
            <w:tcW w:w="3382" w:type="dxa"/>
          </w:tcPr>
          <w:p w14:paraId="31B32083" w14:textId="4DD55B99" w:rsidR="00063CE6" w:rsidRPr="00E109DF" w:rsidRDefault="0047398B" w:rsidP="00063CE6">
            <w:pPr>
              <w:jc w:val="both"/>
              <w:rPr>
                <w:rFonts w:ascii="Arial" w:hAnsi="Arial" w:cs="Arial"/>
                <w:i/>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E109DF" w14:paraId="12DFE96A" w14:textId="77777777" w:rsidTr="00063CE6">
        <w:tc>
          <w:tcPr>
            <w:tcW w:w="5798" w:type="dxa"/>
            <w:gridSpan w:val="3"/>
          </w:tcPr>
          <w:p w14:paraId="6CB239A8" w14:textId="77777777" w:rsidR="00063CE6" w:rsidRDefault="00063CE6" w:rsidP="00063CE6">
            <w:pPr>
              <w:jc w:val="both"/>
              <w:rPr>
                <w:rFonts w:ascii="Arial" w:hAnsi="Arial" w:cs="Arial"/>
                <w:sz w:val="18"/>
                <w:szCs w:val="18"/>
              </w:rPr>
            </w:pPr>
            <w:r>
              <w:rPr>
                <w:rFonts w:ascii="Arial" w:hAnsi="Arial" w:cs="Arial"/>
                <w:sz w:val="18"/>
                <w:szCs w:val="18"/>
              </w:rPr>
              <w:t>Bestätigung, dass die</w:t>
            </w:r>
            <w:r w:rsidRPr="00103A3E">
              <w:rPr>
                <w:rFonts w:ascii="Arial" w:hAnsi="Arial" w:cs="Arial"/>
                <w:sz w:val="18"/>
                <w:szCs w:val="18"/>
              </w:rPr>
              <w:t xml:space="preserve"> internen Verfahren sicher</w:t>
            </w:r>
            <w:r>
              <w:rPr>
                <w:rFonts w:ascii="Arial" w:hAnsi="Arial" w:cs="Arial"/>
                <w:sz w:val="18"/>
                <w:szCs w:val="18"/>
              </w:rPr>
              <w:t>stellen</w:t>
            </w:r>
            <w:r w:rsidRPr="00103A3E">
              <w:rPr>
                <w:rFonts w:ascii="Arial" w:hAnsi="Arial" w:cs="Arial"/>
                <w:sz w:val="18"/>
                <w:szCs w:val="18"/>
              </w:rPr>
              <w:t xml:space="preserve">, dass angemessene </w:t>
            </w:r>
            <w:r>
              <w:rPr>
                <w:rFonts w:ascii="Arial" w:hAnsi="Arial" w:cs="Arial"/>
                <w:sz w:val="18"/>
                <w:szCs w:val="18"/>
              </w:rPr>
              <w:t xml:space="preserve">nachvollziehbare </w:t>
            </w:r>
            <w:r w:rsidRPr="00103A3E">
              <w:rPr>
                <w:rFonts w:ascii="Arial" w:hAnsi="Arial" w:cs="Arial"/>
                <w:sz w:val="18"/>
                <w:szCs w:val="18"/>
              </w:rPr>
              <w:t>Sensitivitätsanalysen und Szenarioanalysen</w:t>
            </w:r>
            <w:r>
              <w:rPr>
                <w:rFonts w:ascii="Arial" w:hAnsi="Arial" w:cs="Arial"/>
                <w:sz w:val="18"/>
                <w:szCs w:val="18"/>
              </w:rPr>
              <w:t xml:space="preserve"> </w:t>
            </w:r>
            <w:r>
              <w:rPr>
                <w:rFonts w:ascii="Arial" w:hAnsi="Arial" w:cs="Arial"/>
                <w:sz w:val="18"/>
                <w:szCs w:val="18"/>
              </w:rPr>
              <w:lastRenderedPageBreak/>
              <w:t xml:space="preserve">sowie </w:t>
            </w:r>
            <w:r w:rsidRPr="00103A3E">
              <w:rPr>
                <w:rFonts w:ascii="Arial" w:hAnsi="Arial" w:cs="Arial"/>
                <w:sz w:val="18"/>
                <w:szCs w:val="18"/>
              </w:rPr>
              <w:t>inverse Stresstests und inverse Stresstest-Szenarien im Stresstest-Programm berücksichtigt und effektiv angewandt werden</w:t>
            </w:r>
            <w:r>
              <w:rPr>
                <w:rFonts w:ascii="Arial" w:hAnsi="Arial" w:cs="Arial"/>
                <w:sz w:val="18"/>
                <w:szCs w:val="18"/>
              </w:rPr>
              <w:t>.</w:t>
            </w:r>
          </w:p>
        </w:tc>
        <w:tc>
          <w:tcPr>
            <w:tcW w:w="3382" w:type="dxa"/>
          </w:tcPr>
          <w:p w14:paraId="0C5ACFBB" w14:textId="4EF780C6" w:rsidR="00063CE6" w:rsidRPr="00E109DF" w:rsidRDefault="0047398B" w:rsidP="00063CE6">
            <w:pPr>
              <w:jc w:val="both"/>
              <w:rPr>
                <w:rFonts w:ascii="Arial" w:hAnsi="Arial" w:cs="Arial"/>
                <w:i/>
                <w:sz w:val="18"/>
                <w:szCs w:val="18"/>
                <w:highlight w:val="yellow"/>
              </w:rPr>
            </w:pPr>
            <w:r w:rsidRPr="00F246D4">
              <w:rPr>
                <w:rFonts w:ascii="Arial" w:hAnsi="Arial"/>
                <w:i/>
                <w:sz w:val="18"/>
                <w:highlight w:val="yellow"/>
              </w:rPr>
              <w:lastRenderedPageBreak/>
              <w:t>Ja (Detailprüfung</w:t>
            </w:r>
            <w:r>
              <w:rPr>
                <w:rFonts w:ascii="Arial" w:hAnsi="Arial"/>
                <w:i/>
                <w:sz w:val="18"/>
                <w:highlight w:val="yellow"/>
              </w:rPr>
              <w:t xml:space="preserve">) </w:t>
            </w:r>
            <w:r w:rsidRPr="00F246D4">
              <w:rPr>
                <w:rFonts w:ascii="Arial" w:hAnsi="Arial"/>
                <w:i/>
                <w:sz w:val="18"/>
                <w:highlight w:val="yellow"/>
              </w:rPr>
              <w:t>/ Nein</w:t>
            </w:r>
          </w:p>
        </w:tc>
      </w:tr>
      <w:tr w:rsidR="00063CE6" w:rsidRPr="00103A3E" w14:paraId="67DD598A" w14:textId="77777777" w:rsidTr="00063CE6">
        <w:tc>
          <w:tcPr>
            <w:tcW w:w="5798" w:type="dxa"/>
            <w:gridSpan w:val="3"/>
          </w:tcPr>
          <w:p w14:paraId="330A4EFE" w14:textId="77777777" w:rsidR="00063CE6" w:rsidRDefault="00063CE6" w:rsidP="00063CE6">
            <w:pPr>
              <w:jc w:val="both"/>
              <w:rPr>
                <w:rFonts w:ascii="Arial" w:hAnsi="Arial" w:cs="Arial"/>
                <w:sz w:val="18"/>
                <w:szCs w:val="18"/>
              </w:rPr>
            </w:pPr>
            <w:r w:rsidRPr="00020E5A">
              <w:rPr>
                <w:rFonts w:ascii="Arial" w:hAnsi="Arial" w:cs="Arial"/>
                <w:sz w:val="18"/>
                <w:szCs w:val="18"/>
              </w:rPr>
              <w:t>Bestätigung, dass ein angemessener Planungshorizont für die regulatorische und ökonomische Perspektive besteht und ein Abgleich zwischen Budget-, Liquiditäts- und Risikoplanung getätigt wird.</w:t>
            </w:r>
            <w:r w:rsidRPr="00DB5FF8">
              <w:rPr>
                <w:rFonts w:ascii="Arial" w:hAnsi="Arial" w:cs="Arial"/>
                <w:sz w:val="18"/>
                <w:szCs w:val="18"/>
              </w:rPr>
              <w:t xml:space="preserve">  </w:t>
            </w:r>
          </w:p>
        </w:tc>
        <w:tc>
          <w:tcPr>
            <w:tcW w:w="3382" w:type="dxa"/>
          </w:tcPr>
          <w:p w14:paraId="2D8524B1" w14:textId="02F1CAF5" w:rsidR="00063CE6" w:rsidRPr="00103A3E" w:rsidRDefault="0047398B" w:rsidP="00063CE6">
            <w:pPr>
              <w:jc w:val="both"/>
              <w:rPr>
                <w:rFonts w:ascii="Arial" w:hAnsi="Arial" w:cs="Arial"/>
                <w:sz w:val="18"/>
                <w:szCs w:val="18"/>
                <w:highlight w:val="yellow"/>
              </w:rPr>
            </w:pPr>
            <w:r w:rsidRPr="00F246D4">
              <w:rPr>
                <w:rFonts w:ascii="Arial" w:hAnsi="Arial"/>
                <w:i/>
                <w:sz w:val="18"/>
                <w:highlight w:val="yellow"/>
              </w:rPr>
              <w:t>Ja (Detailprüfung</w:t>
            </w:r>
            <w:r>
              <w:rPr>
                <w:rFonts w:ascii="Arial" w:hAnsi="Arial"/>
                <w:i/>
                <w:sz w:val="18"/>
                <w:highlight w:val="yellow"/>
              </w:rPr>
              <w:t xml:space="preserve">) </w:t>
            </w:r>
            <w:r w:rsidRPr="00F246D4">
              <w:rPr>
                <w:rFonts w:ascii="Arial" w:hAnsi="Arial"/>
                <w:i/>
                <w:sz w:val="18"/>
                <w:highlight w:val="yellow"/>
              </w:rPr>
              <w:t>/ Nein</w:t>
            </w:r>
          </w:p>
        </w:tc>
      </w:tr>
    </w:tbl>
    <w:p w14:paraId="7D1C0039" w14:textId="31C0E8A9" w:rsidR="00063CE6" w:rsidRDefault="00063CE6" w:rsidP="00CB3EE6">
      <w:pPr>
        <w:jc w:val="both"/>
        <w:rPr>
          <w:rFonts w:ascii="Arial" w:hAnsi="Arial" w:cs="Arial"/>
          <w:sz w:val="18"/>
          <w:szCs w:val="18"/>
        </w:rPr>
      </w:pPr>
    </w:p>
    <w:tbl>
      <w:tblPr>
        <w:tblStyle w:val="Tabellenraster"/>
        <w:tblW w:w="0" w:type="auto"/>
        <w:tblLook w:val="04A0" w:firstRow="1" w:lastRow="0" w:firstColumn="1" w:lastColumn="0" w:noHBand="0" w:noVBand="1"/>
      </w:tblPr>
      <w:tblGrid>
        <w:gridCol w:w="2077"/>
        <w:gridCol w:w="2251"/>
        <w:gridCol w:w="5186"/>
      </w:tblGrid>
      <w:tr w:rsidR="005317BD" w:rsidRPr="00481B57" w14:paraId="3E39B85E" w14:textId="77777777" w:rsidTr="006D41E2">
        <w:tc>
          <w:tcPr>
            <w:tcW w:w="4328" w:type="dxa"/>
            <w:gridSpan w:val="2"/>
          </w:tcPr>
          <w:p w14:paraId="781E2021" w14:textId="77777777" w:rsidR="005317BD" w:rsidRPr="00481B57" w:rsidRDefault="005317BD" w:rsidP="006D41E2">
            <w:pPr>
              <w:jc w:val="both"/>
              <w:rPr>
                <w:rFonts w:ascii="Arial" w:hAnsi="Arial" w:cs="Arial"/>
                <w:b/>
                <w:i/>
                <w:sz w:val="20"/>
                <w:szCs w:val="20"/>
              </w:rPr>
            </w:pPr>
            <w:r w:rsidRPr="00481B57">
              <w:rPr>
                <w:rFonts w:ascii="Arial" w:hAnsi="Arial" w:cs="Arial"/>
                <w:b/>
                <w:i/>
                <w:sz w:val="20"/>
                <w:szCs w:val="20"/>
              </w:rPr>
              <w:t>Jährliche Prüfelemente</w:t>
            </w:r>
          </w:p>
          <w:p w14:paraId="36C385C1" w14:textId="77777777" w:rsidR="005317BD" w:rsidRPr="00481B57" w:rsidRDefault="005317BD" w:rsidP="006D41E2">
            <w:pPr>
              <w:jc w:val="both"/>
              <w:rPr>
                <w:rFonts w:ascii="Arial" w:hAnsi="Arial" w:cs="Arial"/>
                <w:b/>
                <w:i/>
                <w:sz w:val="20"/>
                <w:szCs w:val="20"/>
              </w:rPr>
            </w:pPr>
          </w:p>
        </w:tc>
        <w:tc>
          <w:tcPr>
            <w:tcW w:w="5186" w:type="dxa"/>
          </w:tcPr>
          <w:p w14:paraId="05EF0905" w14:textId="77777777" w:rsidR="005317BD" w:rsidRPr="00481B57" w:rsidRDefault="005317BD" w:rsidP="006D41E2">
            <w:pPr>
              <w:jc w:val="both"/>
              <w:rPr>
                <w:rFonts w:ascii="Arial" w:hAnsi="Arial" w:cs="Arial"/>
                <w:b/>
                <w:i/>
                <w:sz w:val="20"/>
                <w:szCs w:val="20"/>
              </w:rPr>
            </w:pPr>
            <w:r w:rsidRPr="00481B57">
              <w:rPr>
                <w:rFonts w:ascii="Arial" w:hAnsi="Arial" w:cs="Arial"/>
                <w:b/>
                <w:i/>
                <w:sz w:val="20"/>
                <w:szCs w:val="20"/>
              </w:rPr>
              <w:t>Mindestprüfinhalte</w:t>
            </w:r>
          </w:p>
        </w:tc>
      </w:tr>
      <w:tr w:rsidR="005317BD" w14:paraId="1265BD45" w14:textId="77777777" w:rsidTr="006D41E2">
        <w:tc>
          <w:tcPr>
            <w:tcW w:w="4328" w:type="dxa"/>
            <w:gridSpan w:val="2"/>
          </w:tcPr>
          <w:p w14:paraId="4762C6CA" w14:textId="77777777" w:rsidR="005317BD" w:rsidRDefault="005317BD" w:rsidP="006D41E2">
            <w:pPr>
              <w:jc w:val="both"/>
              <w:rPr>
                <w:rFonts w:ascii="Arial" w:hAnsi="Arial" w:cs="Arial"/>
                <w:b/>
                <w:i/>
                <w:sz w:val="20"/>
                <w:szCs w:val="20"/>
                <w:highlight w:val="lightGray"/>
              </w:rPr>
            </w:pPr>
            <w:r w:rsidRPr="002D29FE">
              <w:rPr>
                <w:rFonts w:ascii="Arial" w:hAnsi="Arial" w:cs="Arial"/>
                <w:i/>
                <w:sz w:val="20"/>
                <w:szCs w:val="20"/>
              </w:rPr>
              <w:t>Antrag Risikotragfähigkeitsrechnung an Verwaltungsrat (Existenz, Vollständigkeit, Tragfähigkeit der Risiken, Veränderungen)</w:t>
            </w:r>
          </w:p>
        </w:tc>
        <w:tc>
          <w:tcPr>
            <w:tcW w:w="5186" w:type="dxa"/>
          </w:tcPr>
          <w:p w14:paraId="337108A7" w14:textId="77777777" w:rsidR="005317BD" w:rsidRDefault="005317BD" w:rsidP="006D41E2">
            <w:pPr>
              <w:jc w:val="both"/>
              <w:rPr>
                <w:rFonts w:ascii="Arial" w:hAnsi="Arial" w:cs="Arial"/>
                <w:b/>
                <w:i/>
                <w:sz w:val="20"/>
                <w:szCs w:val="20"/>
                <w:highlight w:val="lightGray"/>
              </w:rPr>
            </w:pPr>
            <w:r w:rsidRPr="000E23AF">
              <w:rPr>
                <w:rFonts w:ascii="Arial" w:hAnsi="Arial" w:cs="Arial"/>
                <w:i/>
                <w:iCs/>
                <w:sz w:val="20"/>
                <w:szCs w:val="20"/>
              </w:rPr>
              <w:t>Die Kernelemente des I</w:t>
            </w:r>
            <w:r>
              <w:rPr>
                <w:rFonts w:ascii="Arial" w:hAnsi="Arial" w:cs="Arial"/>
                <w:i/>
                <w:iCs/>
                <w:sz w:val="20"/>
                <w:szCs w:val="20"/>
              </w:rPr>
              <w:t>L</w:t>
            </w:r>
            <w:r w:rsidRPr="000E23AF">
              <w:rPr>
                <w:rFonts w:ascii="Arial" w:hAnsi="Arial" w:cs="Arial"/>
                <w:i/>
                <w:iCs/>
                <w:sz w:val="20"/>
                <w:szCs w:val="20"/>
              </w:rPr>
              <w:t>AAP und somit die Methodik und Struktur zur Risikotragfähigkeitsberechnung wie</w:t>
            </w:r>
            <w:r>
              <w:rPr>
                <w:rFonts w:ascii="Arial" w:hAnsi="Arial" w:cs="Arial"/>
                <w:i/>
                <w:iCs/>
                <w:sz w:val="20"/>
                <w:szCs w:val="20"/>
              </w:rPr>
              <w:t xml:space="preserve"> </w:t>
            </w:r>
            <w:r w:rsidRPr="000E23AF">
              <w:rPr>
                <w:rFonts w:ascii="Arial" w:hAnsi="Arial" w:cs="Arial"/>
                <w:i/>
                <w:sz w:val="20"/>
                <w:szCs w:val="20"/>
              </w:rPr>
              <w:t xml:space="preserve">Governance-Struktur, Dokumentationsanforderungen, Umfang im Hinblick auf die abgebildeten Risiken und deren Abgrenzung, Zeithorizont, wichtige Annahmen und Parameter zur Risikomessung) werden jährlich erstellt und vollständig dem Verwaltungsrat zur Genehmigung eingereicht. </w:t>
            </w:r>
          </w:p>
        </w:tc>
      </w:tr>
      <w:tr w:rsidR="005317BD" w14:paraId="233EB7BA" w14:textId="77777777" w:rsidTr="006D41E2">
        <w:tc>
          <w:tcPr>
            <w:tcW w:w="4328" w:type="dxa"/>
            <w:gridSpan w:val="2"/>
          </w:tcPr>
          <w:p w14:paraId="641AC84C" w14:textId="77777777" w:rsidR="005317BD" w:rsidRDefault="005317BD" w:rsidP="006D41E2">
            <w:pPr>
              <w:jc w:val="both"/>
              <w:rPr>
                <w:rFonts w:ascii="Arial" w:hAnsi="Arial" w:cs="Arial"/>
                <w:b/>
                <w:i/>
                <w:sz w:val="20"/>
                <w:szCs w:val="20"/>
                <w:highlight w:val="lightGray"/>
              </w:rPr>
            </w:pPr>
            <w:r w:rsidRPr="00AE1F7D">
              <w:rPr>
                <w:rFonts w:ascii="Arial" w:hAnsi="Arial" w:cs="Arial"/>
                <w:i/>
                <w:sz w:val="20"/>
                <w:szCs w:val="20"/>
              </w:rPr>
              <w:t>Änderungen am Limitensystem</w:t>
            </w:r>
          </w:p>
        </w:tc>
        <w:tc>
          <w:tcPr>
            <w:tcW w:w="5186" w:type="dxa"/>
          </w:tcPr>
          <w:p w14:paraId="7282E958" w14:textId="77777777" w:rsidR="005317BD" w:rsidRDefault="005317BD" w:rsidP="006D41E2">
            <w:pPr>
              <w:jc w:val="both"/>
              <w:rPr>
                <w:rFonts w:ascii="Arial" w:hAnsi="Arial" w:cs="Arial"/>
                <w:b/>
                <w:i/>
                <w:sz w:val="20"/>
                <w:szCs w:val="20"/>
                <w:highlight w:val="lightGray"/>
              </w:rPr>
            </w:pPr>
            <w:r w:rsidRPr="000E23AF">
              <w:rPr>
                <w:rFonts w:ascii="Arial" w:hAnsi="Arial" w:cs="Arial"/>
                <w:i/>
                <w:sz w:val="20"/>
                <w:szCs w:val="20"/>
              </w:rPr>
              <w:t>Genehmigung der Limitenänderungen aller Risikoarten durch den Verwaltungsrat (Überprüfung des Limitensystems mindestens einmal jährlich).</w:t>
            </w:r>
            <w:r w:rsidRPr="000E23AF">
              <w:rPr>
                <w:rFonts w:ascii="Arial" w:hAnsi="Arial" w:cs="Arial"/>
                <w:i/>
                <w:iCs/>
                <w:sz w:val="20"/>
                <w:szCs w:val="20"/>
              </w:rPr>
              <w:t xml:space="preserve"> </w:t>
            </w:r>
          </w:p>
        </w:tc>
      </w:tr>
      <w:tr w:rsidR="005317BD" w:rsidRPr="00837B10" w14:paraId="2C9B798E" w14:textId="77777777" w:rsidTr="006D41E2">
        <w:tc>
          <w:tcPr>
            <w:tcW w:w="4328" w:type="dxa"/>
            <w:gridSpan w:val="2"/>
          </w:tcPr>
          <w:p w14:paraId="381B1DA2" w14:textId="77777777" w:rsidR="005317BD" w:rsidRPr="00837B10" w:rsidRDefault="005317BD" w:rsidP="006D41E2">
            <w:pPr>
              <w:jc w:val="both"/>
              <w:rPr>
                <w:rFonts w:ascii="Arial" w:hAnsi="Arial" w:cs="Arial"/>
                <w:b/>
                <w:sz w:val="20"/>
                <w:szCs w:val="20"/>
              </w:rPr>
            </w:pPr>
            <w:r w:rsidRPr="00837B10">
              <w:rPr>
                <w:rFonts w:ascii="Arial" w:hAnsi="Arial" w:cs="Arial"/>
                <w:b/>
                <w:sz w:val="20"/>
                <w:szCs w:val="20"/>
              </w:rPr>
              <w:t>Rotierende Prüfelemente</w:t>
            </w:r>
          </w:p>
        </w:tc>
        <w:tc>
          <w:tcPr>
            <w:tcW w:w="5186" w:type="dxa"/>
          </w:tcPr>
          <w:p w14:paraId="034C9923" w14:textId="77777777" w:rsidR="005317BD" w:rsidRPr="00837B10" w:rsidRDefault="005317BD" w:rsidP="006D41E2">
            <w:pPr>
              <w:jc w:val="both"/>
              <w:rPr>
                <w:rFonts w:ascii="Arial" w:hAnsi="Arial" w:cs="Arial"/>
                <w:b/>
                <w:sz w:val="20"/>
                <w:szCs w:val="20"/>
              </w:rPr>
            </w:pPr>
            <w:r w:rsidRPr="00837B10">
              <w:rPr>
                <w:rFonts w:ascii="Arial" w:hAnsi="Arial" w:cs="Arial"/>
                <w:b/>
                <w:sz w:val="20"/>
                <w:szCs w:val="20"/>
              </w:rPr>
              <w:t>Mindestprüfinhalte</w:t>
            </w:r>
          </w:p>
        </w:tc>
      </w:tr>
      <w:tr w:rsidR="005317BD" w:rsidRPr="00CF5162" w14:paraId="275977BA" w14:textId="77777777" w:rsidTr="006D41E2">
        <w:tc>
          <w:tcPr>
            <w:tcW w:w="2077" w:type="dxa"/>
          </w:tcPr>
          <w:p w14:paraId="63930C03" w14:textId="77777777" w:rsidR="005317BD" w:rsidDel="00ED354D" w:rsidRDefault="005317BD" w:rsidP="006D41E2">
            <w:pPr>
              <w:jc w:val="both"/>
              <w:rPr>
                <w:rFonts w:ascii="Arial" w:hAnsi="Arial" w:cs="Arial"/>
                <w:i/>
                <w:sz w:val="20"/>
                <w:szCs w:val="20"/>
                <w:highlight w:val="lightGray"/>
              </w:rPr>
            </w:pPr>
            <w:r w:rsidRPr="00481B57">
              <w:rPr>
                <w:rFonts w:ascii="Arial" w:hAnsi="Arial" w:cs="Arial"/>
                <w:i/>
                <w:sz w:val="20"/>
                <w:szCs w:val="20"/>
              </w:rPr>
              <w:t>Intervention 1</w:t>
            </w:r>
          </w:p>
        </w:tc>
        <w:tc>
          <w:tcPr>
            <w:tcW w:w="2251" w:type="dxa"/>
          </w:tcPr>
          <w:p w14:paraId="1B40AE40" w14:textId="77777777" w:rsidR="005317BD" w:rsidRDefault="005317BD" w:rsidP="006D41E2">
            <w:pPr>
              <w:jc w:val="both"/>
              <w:rPr>
                <w:rFonts w:ascii="Arial" w:hAnsi="Arial" w:cs="Arial"/>
                <w:i/>
                <w:sz w:val="20"/>
                <w:szCs w:val="20"/>
                <w:highlight w:val="lightGray"/>
              </w:rPr>
            </w:pPr>
            <w:r w:rsidRPr="00F9743B">
              <w:rPr>
                <w:rFonts w:ascii="Arial" w:hAnsi="Arial" w:cs="Arial"/>
                <w:i/>
                <w:sz w:val="20"/>
                <w:szCs w:val="20"/>
              </w:rPr>
              <w:t xml:space="preserve"> Risikoprofil, Risikoaggregation (Risikotragfähigkeit) und Co</w:t>
            </w:r>
            <w:r>
              <w:rPr>
                <w:rFonts w:ascii="Arial" w:hAnsi="Arial" w:cs="Arial"/>
                <w:i/>
                <w:sz w:val="20"/>
                <w:szCs w:val="20"/>
              </w:rPr>
              <w:t>u</w:t>
            </w:r>
            <w:r w:rsidRPr="00F9743B">
              <w:rPr>
                <w:rFonts w:ascii="Arial" w:hAnsi="Arial" w:cs="Arial"/>
                <w:i/>
                <w:sz w:val="20"/>
                <w:szCs w:val="20"/>
              </w:rPr>
              <w:t>nterbalancing Capacity (CBC) / Liquiditätspuffer</w:t>
            </w:r>
          </w:p>
        </w:tc>
        <w:tc>
          <w:tcPr>
            <w:tcW w:w="5186" w:type="dxa"/>
          </w:tcPr>
          <w:p w14:paraId="1B699AF4" w14:textId="617B3A99" w:rsidR="005317BD" w:rsidRPr="00481B57" w:rsidRDefault="005317BD" w:rsidP="006D41E2">
            <w:pPr>
              <w:pStyle w:val="Listenabsatz"/>
              <w:numPr>
                <w:ilvl w:val="1"/>
                <w:numId w:val="17"/>
              </w:numPr>
              <w:ind w:left="317" w:hanging="283"/>
              <w:jc w:val="both"/>
              <w:rPr>
                <w:rFonts w:cs="Arial"/>
                <w:i/>
                <w:szCs w:val="20"/>
              </w:rPr>
            </w:pPr>
            <w:r>
              <w:rPr>
                <w:rFonts w:cs="Arial"/>
                <w:i/>
                <w:szCs w:val="20"/>
              </w:rPr>
              <w:t>D</w:t>
            </w:r>
            <w:r w:rsidRPr="00481B57">
              <w:rPr>
                <w:rFonts w:cs="Arial"/>
                <w:i/>
                <w:szCs w:val="20"/>
              </w:rPr>
              <w:t xml:space="preserve">ie internen Verfahren stellen die </w:t>
            </w:r>
            <w:r>
              <w:rPr>
                <w:rFonts w:cs="Arial"/>
                <w:i/>
                <w:szCs w:val="20"/>
              </w:rPr>
              <w:t xml:space="preserve">angemessene </w:t>
            </w:r>
            <w:r w:rsidRPr="00481B57">
              <w:rPr>
                <w:rFonts w:cs="Arial"/>
                <w:i/>
                <w:szCs w:val="20"/>
              </w:rPr>
              <w:t xml:space="preserve">quantitative </w:t>
            </w:r>
            <w:r>
              <w:rPr>
                <w:rFonts w:cs="Arial"/>
                <w:i/>
                <w:szCs w:val="20"/>
              </w:rPr>
              <w:t>Berücksichtigung</w:t>
            </w:r>
            <w:r w:rsidRPr="00481B57">
              <w:rPr>
                <w:rFonts w:cs="Arial"/>
                <w:i/>
                <w:szCs w:val="20"/>
              </w:rPr>
              <w:t xml:space="preserve"> alle</w:t>
            </w:r>
            <w:r>
              <w:rPr>
                <w:rFonts w:cs="Arial"/>
                <w:i/>
                <w:szCs w:val="20"/>
              </w:rPr>
              <w:t>r</w:t>
            </w:r>
            <w:r w:rsidRPr="00481B57">
              <w:rPr>
                <w:rFonts w:cs="Arial"/>
                <w:i/>
                <w:szCs w:val="20"/>
              </w:rPr>
              <w:t xml:space="preserve"> für das </w:t>
            </w:r>
            <w:r w:rsidRPr="00EA3017">
              <w:rPr>
                <w:rFonts w:cs="Arial"/>
                <w:i/>
                <w:szCs w:val="20"/>
              </w:rPr>
              <w:t>G</w:t>
            </w:r>
            <w:r w:rsidRPr="00481B57">
              <w:rPr>
                <w:rFonts w:cs="Arial"/>
                <w:i/>
                <w:szCs w:val="20"/>
              </w:rPr>
              <w:t xml:space="preserve">eschäftsmodell der </w:t>
            </w:r>
            <w:r w:rsidR="006179DA">
              <w:rPr>
                <w:rFonts w:cs="Arial"/>
                <w:i/>
                <w:szCs w:val="20"/>
                <w:highlight w:val="lightGray"/>
              </w:rPr>
              <w:t xml:space="preserve">Bank/Wertpapierfirma bzw. </w:t>
            </w:r>
            <w:r w:rsidR="006179DA" w:rsidRPr="00CE3194">
              <w:rPr>
                <w:rFonts w:cs="Arial"/>
                <w:i/>
                <w:szCs w:val="20"/>
                <w:highlight w:val="lightGray"/>
              </w:rPr>
              <w:t>der Gruppe</w:t>
            </w:r>
            <w:r w:rsidR="006179DA" w:rsidRPr="00481B57" w:rsidDel="006179DA">
              <w:rPr>
                <w:rFonts w:cs="Arial"/>
                <w:i/>
                <w:szCs w:val="20"/>
              </w:rPr>
              <w:t xml:space="preserve"> </w:t>
            </w:r>
            <w:r w:rsidRPr="00481B57">
              <w:rPr>
                <w:rFonts w:cs="Arial"/>
                <w:i/>
                <w:szCs w:val="20"/>
              </w:rPr>
              <w:t>wesentlichen Risikoarten, separat für Kapital- und Liquiditäts- und Refinanzierungsrisiken, sicher</w:t>
            </w:r>
          </w:p>
          <w:p w14:paraId="3D6A43FB" w14:textId="77777777" w:rsidR="005317BD" w:rsidRPr="00481B57" w:rsidRDefault="005317BD" w:rsidP="006D41E2">
            <w:pPr>
              <w:pStyle w:val="Listenabsatz"/>
              <w:numPr>
                <w:ilvl w:val="1"/>
                <w:numId w:val="17"/>
              </w:numPr>
              <w:ind w:left="317" w:hanging="283"/>
              <w:jc w:val="both"/>
              <w:rPr>
                <w:rFonts w:cs="Arial"/>
                <w:i/>
                <w:szCs w:val="20"/>
              </w:rPr>
            </w:pPr>
            <w:r w:rsidRPr="00EA3017">
              <w:rPr>
                <w:rFonts w:cs="Arial"/>
                <w:i/>
                <w:szCs w:val="20"/>
              </w:rPr>
              <w:t>Die internen Verfahren stellen die Berücksichtigung von neuen Produkten/Märkten in die Risikotragfähigkeitsrechnu</w:t>
            </w:r>
            <w:r w:rsidRPr="00DD219B">
              <w:rPr>
                <w:rFonts w:cs="Arial"/>
                <w:i/>
                <w:szCs w:val="20"/>
              </w:rPr>
              <w:t>ng inkl. Simulationsplanung sicher.</w:t>
            </w:r>
          </w:p>
          <w:p w14:paraId="30BEB6A5" w14:textId="77777777" w:rsidR="005317BD" w:rsidRPr="00481B57" w:rsidRDefault="005317BD" w:rsidP="006D41E2">
            <w:pPr>
              <w:pStyle w:val="Listenabsatz"/>
              <w:numPr>
                <w:ilvl w:val="1"/>
                <w:numId w:val="17"/>
              </w:numPr>
              <w:ind w:left="317" w:hanging="283"/>
              <w:jc w:val="both"/>
              <w:rPr>
                <w:rFonts w:cs="Arial"/>
                <w:i/>
                <w:szCs w:val="20"/>
              </w:rPr>
            </w:pPr>
            <w:r w:rsidRPr="00481B57">
              <w:rPr>
                <w:rFonts w:cs="Arial"/>
                <w:i/>
                <w:szCs w:val="20"/>
              </w:rPr>
              <w:t>Die internen Verfahren stellen die Berücksichtigung wesentlicher Korrelationen, Konzentrationen und Diversifikationsmöglichkeiten zwischen den Risikoarten sicher</w:t>
            </w:r>
          </w:p>
          <w:p w14:paraId="1F71B634" w14:textId="77777777" w:rsidR="005317BD" w:rsidRPr="00BB1531" w:rsidRDefault="005317BD" w:rsidP="006D41E2">
            <w:pPr>
              <w:pStyle w:val="Listenabsatz"/>
              <w:numPr>
                <w:ilvl w:val="1"/>
                <w:numId w:val="17"/>
              </w:numPr>
              <w:ind w:left="317" w:hanging="283"/>
              <w:jc w:val="both"/>
              <w:rPr>
                <w:rFonts w:cs="Arial"/>
                <w:i/>
                <w:szCs w:val="20"/>
              </w:rPr>
            </w:pPr>
            <w:r w:rsidRPr="00481B57">
              <w:rPr>
                <w:rFonts w:cs="Arial"/>
                <w:i/>
                <w:szCs w:val="20"/>
              </w:rPr>
              <w:t>Die internen Verfahren stellen die angemessene Berechnung der Risikotragfähigkeit für alle wesentlichen Risiken auf aggregierter Eb</w:t>
            </w:r>
            <w:r w:rsidRPr="00F22BD4">
              <w:rPr>
                <w:rFonts w:cs="Arial"/>
                <w:i/>
                <w:szCs w:val="20"/>
              </w:rPr>
              <w:t xml:space="preserve">ene zu einem Gesamtrisiko sicher. </w:t>
            </w:r>
            <w:r w:rsidRPr="00BB1531">
              <w:rPr>
                <w:rFonts w:cs="Arial"/>
                <w:i/>
                <w:szCs w:val="20"/>
              </w:rPr>
              <w:t>Die ökonomische interne Perspektive ist komplementär zur normativen internen Perspektive.</w:t>
            </w:r>
          </w:p>
          <w:p w14:paraId="6867AFB2" w14:textId="3BCFC916" w:rsidR="005317BD" w:rsidRPr="00EA3017" w:rsidRDefault="005317BD" w:rsidP="006D41E2">
            <w:pPr>
              <w:pStyle w:val="Listenabsatz"/>
              <w:numPr>
                <w:ilvl w:val="1"/>
                <w:numId w:val="17"/>
              </w:numPr>
              <w:ind w:left="317" w:hanging="283"/>
              <w:jc w:val="both"/>
              <w:rPr>
                <w:rFonts w:cs="Arial"/>
                <w:i/>
                <w:szCs w:val="20"/>
              </w:rPr>
            </w:pPr>
            <w:r w:rsidRPr="00BB1531">
              <w:rPr>
                <w:rFonts w:cs="Arial"/>
                <w:i/>
                <w:szCs w:val="20"/>
              </w:rPr>
              <w:t xml:space="preserve">Die internen Verfahren gewährleisten eine angemessene Allokation der Liquidität innerhalb der </w:t>
            </w:r>
            <w:r w:rsidR="006179DA">
              <w:rPr>
                <w:rFonts w:cs="Arial"/>
                <w:i/>
                <w:szCs w:val="20"/>
                <w:highlight w:val="lightGray"/>
              </w:rPr>
              <w:t xml:space="preserve">Bank/Wertpapierfirma bzw. </w:t>
            </w:r>
            <w:r w:rsidR="006179DA" w:rsidRPr="00CE3194">
              <w:rPr>
                <w:rFonts w:cs="Arial"/>
                <w:i/>
                <w:szCs w:val="20"/>
                <w:highlight w:val="lightGray"/>
              </w:rPr>
              <w:t>der Gruppe</w:t>
            </w:r>
            <w:r w:rsidRPr="00BB1531">
              <w:rPr>
                <w:rFonts w:cs="Arial"/>
                <w:i/>
                <w:szCs w:val="20"/>
              </w:rPr>
              <w:t>; diese stehen in Einklang mit der Risikotragfähigkeitsrechnung</w:t>
            </w:r>
          </w:p>
          <w:p w14:paraId="6CCC3274" w14:textId="77777777" w:rsidR="005317BD" w:rsidRPr="00BB1531" w:rsidRDefault="005317BD" w:rsidP="006D41E2">
            <w:pPr>
              <w:pStyle w:val="Listenabsatz"/>
              <w:numPr>
                <w:ilvl w:val="1"/>
                <w:numId w:val="17"/>
              </w:numPr>
              <w:ind w:left="317" w:hanging="283"/>
              <w:jc w:val="both"/>
              <w:rPr>
                <w:rFonts w:cs="Arial"/>
                <w:i/>
                <w:szCs w:val="20"/>
              </w:rPr>
            </w:pPr>
            <w:r w:rsidRPr="00BB1531">
              <w:rPr>
                <w:rFonts w:cs="Arial"/>
                <w:i/>
                <w:szCs w:val="20"/>
              </w:rPr>
              <w:t>Die CBC und der Liquiditätspuffer sind angemessen hoch und liquide komponiert und stehen zur jederzeitigen Liquidierung zur Verfügung</w:t>
            </w:r>
          </w:p>
          <w:p w14:paraId="70B87078" w14:textId="77777777" w:rsidR="005317BD" w:rsidRPr="00BB1531" w:rsidRDefault="005317BD" w:rsidP="006D41E2">
            <w:pPr>
              <w:pStyle w:val="Listenabsatz"/>
              <w:numPr>
                <w:ilvl w:val="1"/>
                <w:numId w:val="17"/>
              </w:numPr>
              <w:ind w:left="317" w:hanging="283"/>
              <w:jc w:val="both"/>
              <w:rPr>
                <w:rFonts w:cs="Arial"/>
                <w:i/>
                <w:szCs w:val="20"/>
              </w:rPr>
            </w:pPr>
            <w:r w:rsidRPr="00BB1531">
              <w:rPr>
                <w:rFonts w:cs="Arial"/>
                <w:i/>
                <w:szCs w:val="20"/>
              </w:rPr>
              <w:t>Die internen Verfahren gewährleisten eine angemessene Diversifizierung des Liquiditätspuffers und der Verhinderung von übermässigen Währungsinkongruenzen</w:t>
            </w:r>
            <w:r w:rsidRPr="00EA3017">
              <w:rPr>
                <w:rFonts w:cs="Arial"/>
                <w:i/>
                <w:szCs w:val="20"/>
              </w:rPr>
              <w:t xml:space="preserve"> und Risikokonzentrationen</w:t>
            </w:r>
          </w:p>
          <w:p w14:paraId="6EBF8DD2" w14:textId="77777777" w:rsidR="005317BD" w:rsidRDefault="005317BD" w:rsidP="006D41E2">
            <w:pPr>
              <w:pStyle w:val="Listenabsatz"/>
              <w:numPr>
                <w:ilvl w:val="1"/>
                <w:numId w:val="17"/>
              </w:numPr>
              <w:ind w:left="317" w:hanging="283"/>
              <w:jc w:val="both"/>
              <w:rPr>
                <w:rFonts w:cs="Arial"/>
                <w:i/>
                <w:szCs w:val="20"/>
              </w:rPr>
            </w:pPr>
            <w:r w:rsidRPr="00BB1531">
              <w:rPr>
                <w:rFonts w:cs="Arial"/>
                <w:i/>
                <w:szCs w:val="20"/>
              </w:rPr>
              <w:t xml:space="preserve">Die internen Verfahren gewährleisten eine jederzeitige Unterscheidung von belasteten und unbelasteten Vermögenswerten </w:t>
            </w:r>
            <w:r w:rsidRPr="00C96F57">
              <w:rPr>
                <w:i/>
              </w:rPr>
              <w:t xml:space="preserve">Die internen Verfahren </w:t>
            </w:r>
            <w:r w:rsidRPr="00C96F57">
              <w:rPr>
                <w:rFonts w:cs="Arial"/>
                <w:i/>
                <w:szCs w:val="20"/>
              </w:rPr>
              <w:t xml:space="preserve">stellen sicher, </w:t>
            </w:r>
            <w:r>
              <w:rPr>
                <w:rFonts w:cs="Arial"/>
                <w:i/>
                <w:szCs w:val="20"/>
              </w:rPr>
              <w:t xml:space="preserve">dass der Risikoappetit der </w:t>
            </w:r>
            <w:r>
              <w:rPr>
                <w:rFonts w:cs="Arial"/>
                <w:i/>
                <w:szCs w:val="20"/>
              </w:rPr>
              <w:lastRenderedPageBreak/>
              <w:t xml:space="preserve">Risikotragfähigkeitsberechnung sowohl in der ökonomischen als auch der regulatorischen Perspektive den Liquiditätspuffer nicht übersteigt. </w:t>
            </w:r>
          </w:p>
          <w:p w14:paraId="45B0B696" w14:textId="29F82037" w:rsidR="005317BD" w:rsidRPr="00CF5162" w:rsidRDefault="005317BD" w:rsidP="006D41E2">
            <w:pPr>
              <w:pStyle w:val="Listenabsatz"/>
              <w:numPr>
                <w:ilvl w:val="1"/>
                <w:numId w:val="17"/>
              </w:numPr>
              <w:ind w:left="317" w:hanging="283"/>
              <w:jc w:val="both"/>
              <w:rPr>
                <w:rFonts w:cs="Arial"/>
                <w:i/>
                <w:szCs w:val="20"/>
              </w:rPr>
            </w:pPr>
            <w:r>
              <w:rPr>
                <w:rFonts w:cs="Arial"/>
                <w:i/>
                <w:szCs w:val="20"/>
              </w:rPr>
              <w:t xml:space="preserve">Die internen Verfahren stellen sicher, </w:t>
            </w:r>
            <w:r w:rsidRPr="00C96F57">
              <w:rPr>
                <w:rFonts w:cs="Arial"/>
                <w:i/>
                <w:szCs w:val="20"/>
              </w:rPr>
              <w:t xml:space="preserve">dass </w:t>
            </w:r>
            <w:r>
              <w:rPr>
                <w:rFonts w:cs="Arial"/>
                <w:i/>
                <w:szCs w:val="20"/>
              </w:rPr>
              <w:t xml:space="preserve">der Liquiditätspuffer sowohl unter realistischen als auch unter gewissen (nicht adversen) Stressbedingungen nicht überschritten werden kann. </w:t>
            </w:r>
            <w:r w:rsidRPr="00CF5162">
              <w:rPr>
                <w:rFonts w:cs="Arial"/>
                <w:i/>
                <w:szCs w:val="20"/>
              </w:rPr>
              <w:t xml:space="preserve">Die </w:t>
            </w:r>
            <w:r w:rsidR="006179DA">
              <w:rPr>
                <w:rFonts w:cs="Arial"/>
                <w:i/>
                <w:szCs w:val="20"/>
                <w:highlight w:val="lightGray"/>
              </w:rPr>
              <w:t xml:space="preserve">Bank/Wertpapierfirma bzw. </w:t>
            </w:r>
            <w:r w:rsidR="006179DA" w:rsidRPr="00CE3194">
              <w:rPr>
                <w:rFonts w:cs="Arial"/>
                <w:i/>
                <w:szCs w:val="20"/>
                <w:highlight w:val="lightGray"/>
              </w:rPr>
              <w:t>d</w:t>
            </w:r>
            <w:r w:rsidR="006179DA">
              <w:rPr>
                <w:rFonts w:cs="Arial"/>
                <w:i/>
                <w:szCs w:val="20"/>
                <w:highlight w:val="lightGray"/>
              </w:rPr>
              <w:t>ie</w:t>
            </w:r>
            <w:r w:rsidR="006179DA" w:rsidRPr="00CE3194">
              <w:rPr>
                <w:rFonts w:cs="Arial"/>
                <w:i/>
                <w:szCs w:val="20"/>
                <w:highlight w:val="lightGray"/>
              </w:rPr>
              <w:t xml:space="preserve"> Gruppe</w:t>
            </w:r>
            <w:r w:rsidRPr="00CF5162">
              <w:rPr>
                <w:rFonts w:cs="Arial"/>
                <w:i/>
                <w:szCs w:val="20"/>
              </w:rPr>
              <w:t xml:space="preserve"> zeigt den Zusammenhang zwischen ILAAP Stress-Szenarien und Limitensystem auf.</w:t>
            </w:r>
          </w:p>
        </w:tc>
      </w:tr>
      <w:tr w:rsidR="005317BD" w:rsidRPr="00667026" w14:paraId="12776BD8" w14:textId="77777777" w:rsidTr="006D41E2">
        <w:tc>
          <w:tcPr>
            <w:tcW w:w="2077" w:type="dxa"/>
          </w:tcPr>
          <w:p w14:paraId="2E52EF3E" w14:textId="77777777" w:rsidR="005317BD" w:rsidDel="00ED354D" w:rsidRDefault="005317BD" w:rsidP="006D41E2">
            <w:pPr>
              <w:jc w:val="both"/>
              <w:rPr>
                <w:rFonts w:ascii="Arial" w:hAnsi="Arial" w:cs="Arial"/>
                <w:i/>
                <w:sz w:val="20"/>
                <w:szCs w:val="20"/>
                <w:highlight w:val="lightGray"/>
              </w:rPr>
            </w:pPr>
            <w:r w:rsidRPr="009D7A55">
              <w:rPr>
                <w:rFonts w:ascii="Arial" w:hAnsi="Arial" w:cs="Arial"/>
                <w:i/>
                <w:sz w:val="20"/>
                <w:szCs w:val="20"/>
              </w:rPr>
              <w:lastRenderedPageBreak/>
              <w:t>Intervention 2</w:t>
            </w:r>
          </w:p>
        </w:tc>
        <w:tc>
          <w:tcPr>
            <w:tcW w:w="2251" w:type="dxa"/>
          </w:tcPr>
          <w:p w14:paraId="3EB0DABE" w14:textId="77777777" w:rsidR="005317BD" w:rsidRDefault="005317BD" w:rsidP="006D41E2">
            <w:pPr>
              <w:jc w:val="both"/>
              <w:rPr>
                <w:rFonts w:ascii="Arial" w:hAnsi="Arial" w:cs="Arial"/>
                <w:i/>
                <w:sz w:val="20"/>
                <w:szCs w:val="20"/>
                <w:highlight w:val="lightGray"/>
              </w:rPr>
            </w:pPr>
            <w:r w:rsidRPr="00F9743B">
              <w:rPr>
                <w:rFonts w:ascii="Arial" w:hAnsi="Arial" w:cs="Arial"/>
                <w:i/>
                <w:sz w:val="20"/>
                <w:szCs w:val="20"/>
              </w:rPr>
              <w:t>Governance, Limitenwesen und internes Risikoreporting</w:t>
            </w:r>
          </w:p>
        </w:tc>
        <w:tc>
          <w:tcPr>
            <w:tcW w:w="5186" w:type="dxa"/>
          </w:tcPr>
          <w:p w14:paraId="21C46DDD" w14:textId="77777777" w:rsidR="005317BD" w:rsidRPr="006752FD" w:rsidRDefault="005317BD" w:rsidP="006D41E2">
            <w:pPr>
              <w:pStyle w:val="Listenabsatz"/>
              <w:numPr>
                <w:ilvl w:val="1"/>
                <w:numId w:val="17"/>
              </w:numPr>
              <w:ind w:left="317" w:hanging="283"/>
              <w:jc w:val="both"/>
              <w:rPr>
                <w:rFonts w:cs="Arial"/>
                <w:i/>
                <w:szCs w:val="20"/>
              </w:rPr>
            </w:pPr>
            <w:r w:rsidRPr="00F246D4">
              <w:rPr>
                <w:i/>
              </w:rPr>
              <w:t xml:space="preserve">Die internen Verfahren </w:t>
            </w:r>
            <w:r w:rsidRPr="006752FD">
              <w:rPr>
                <w:rFonts w:cs="Arial"/>
                <w:i/>
                <w:szCs w:val="20"/>
              </w:rPr>
              <w:t>stellen</w:t>
            </w:r>
            <w:r w:rsidRPr="00F246D4">
              <w:rPr>
                <w:i/>
              </w:rPr>
              <w:t xml:space="preserve"> eine </w:t>
            </w:r>
            <w:r w:rsidRPr="006752FD">
              <w:rPr>
                <w:rFonts w:cs="Arial"/>
                <w:i/>
                <w:szCs w:val="20"/>
              </w:rPr>
              <w:t>kohärente Governance – vor allem in Bezug auf Weisungswesen, Risikoappetit, Limiten</w:t>
            </w:r>
            <w:r>
              <w:rPr>
                <w:rFonts w:cs="Arial"/>
                <w:i/>
                <w:szCs w:val="20"/>
              </w:rPr>
              <w:t>, Stresstesting (Zuständigkeiten, Rapport, Kohärenz zum Limitenwesen)</w:t>
            </w:r>
            <w:r w:rsidRPr="006752FD">
              <w:rPr>
                <w:rFonts w:cs="Arial"/>
                <w:i/>
                <w:szCs w:val="20"/>
              </w:rPr>
              <w:t xml:space="preserve"> und Frühwarnindikatoren sowie internes Risikoreporting</w:t>
            </w:r>
            <w:r>
              <w:rPr>
                <w:rFonts w:cs="Arial"/>
                <w:i/>
                <w:szCs w:val="20"/>
              </w:rPr>
              <w:t xml:space="preserve"> (Adressanten, Periodizität)</w:t>
            </w:r>
            <w:r w:rsidRPr="006752FD">
              <w:rPr>
                <w:rFonts w:cs="Arial"/>
                <w:i/>
                <w:szCs w:val="20"/>
              </w:rPr>
              <w:t xml:space="preserve"> – sicher.</w:t>
            </w:r>
          </w:p>
          <w:p w14:paraId="07B76BAA" w14:textId="77777777" w:rsidR="005317BD" w:rsidRDefault="005317BD" w:rsidP="006D41E2">
            <w:pPr>
              <w:pStyle w:val="Listenabsatz"/>
              <w:numPr>
                <w:ilvl w:val="1"/>
                <w:numId w:val="17"/>
              </w:numPr>
              <w:ind w:left="317" w:hanging="283"/>
              <w:jc w:val="both"/>
              <w:rPr>
                <w:rFonts w:cs="Arial"/>
                <w:i/>
                <w:szCs w:val="20"/>
              </w:rPr>
            </w:pPr>
            <w:r w:rsidRPr="006752FD">
              <w:rPr>
                <w:rFonts w:cs="Arial"/>
                <w:i/>
                <w:szCs w:val="20"/>
              </w:rPr>
              <w:t>I</w:t>
            </w:r>
            <w:r>
              <w:rPr>
                <w:rFonts w:cs="Arial"/>
                <w:i/>
                <w:szCs w:val="20"/>
              </w:rPr>
              <w:t>L</w:t>
            </w:r>
            <w:r w:rsidRPr="006752FD">
              <w:rPr>
                <w:rFonts w:cs="Arial"/>
                <w:i/>
                <w:szCs w:val="20"/>
              </w:rPr>
              <w:t>AAP-bezogene Ergebnisse werden in angemessenen Zeitabständen in die interne Berichterstattung aufgenommen. Dies erfolgt mindestens jährlich</w:t>
            </w:r>
            <w:r>
              <w:rPr>
                <w:rFonts w:cs="Arial"/>
                <w:i/>
                <w:szCs w:val="20"/>
              </w:rPr>
              <w:t>.</w:t>
            </w:r>
          </w:p>
          <w:p w14:paraId="22AA0AF6" w14:textId="77777777" w:rsidR="005317BD" w:rsidRPr="00D86278" w:rsidRDefault="005317BD" w:rsidP="006D41E2">
            <w:pPr>
              <w:pStyle w:val="Listenabsatz"/>
              <w:numPr>
                <w:ilvl w:val="1"/>
                <w:numId w:val="17"/>
              </w:numPr>
              <w:ind w:left="317" w:hanging="283"/>
              <w:jc w:val="both"/>
              <w:rPr>
                <w:i/>
              </w:rPr>
            </w:pPr>
            <w:r w:rsidRPr="00885D31">
              <w:rPr>
                <w:rFonts w:cs="Arial"/>
                <w:i/>
                <w:szCs w:val="20"/>
              </w:rPr>
              <w:t>Die normative interne Perspektive ist komplementär zur ökonomisch internen Perspektive</w:t>
            </w:r>
            <w:r w:rsidRPr="00753A69">
              <w:rPr>
                <w:rFonts w:cs="Arial"/>
                <w:i/>
                <w:szCs w:val="20"/>
              </w:rPr>
              <w:t xml:space="preserve">. </w:t>
            </w:r>
            <w:r w:rsidRPr="006752FD">
              <w:rPr>
                <w:rFonts w:cs="Arial"/>
                <w:i/>
                <w:szCs w:val="20"/>
              </w:rPr>
              <w:t>Bewertungen aus</w:t>
            </w:r>
            <w:r w:rsidRPr="00F246D4">
              <w:rPr>
                <w:i/>
              </w:rPr>
              <w:t xml:space="preserve"> der </w:t>
            </w:r>
            <w:r w:rsidRPr="006752FD">
              <w:rPr>
                <w:rFonts w:cs="Arial"/>
                <w:i/>
                <w:szCs w:val="20"/>
              </w:rPr>
              <w:t>ökonomischen internen Perspektive fliessen in angemessener Weise in die interne Berichterstattung, das Limitenwesen und das Risikoappetitrahmenwerk ein.</w:t>
            </w:r>
          </w:p>
          <w:p w14:paraId="70734DAA" w14:textId="77777777" w:rsidR="005317BD" w:rsidRPr="00667026" w:rsidRDefault="005317BD" w:rsidP="006D41E2">
            <w:pPr>
              <w:pStyle w:val="Listenabsatz"/>
              <w:numPr>
                <w:ilvl w:val="1"/>
                <w:numId w:val="17"/>
              </w:numPr>
              <w:ind w:left="317" w:hanging="283"/>
              <w:jc w:val="both"/>
              <w:rPr>
                <w:rFonts w:cs="Arial"/>
                <w:i/>
                <w:szCs w:val="20"/>
                <w:highlight w:val="lightGray"/>
              </w:rPr>
            </w:pPr>
            <w:r w:rsidRPr="00EA3017">
              <w:rPr>
                <w:rFonts w:cs="Arial"/>
                <w:i/>
                <w:szCs w:val="20"/>
              </w:rPr>
              <w:t>Die internen Verfahren stellen sicher, dass das Limitensystem von der jährlichen Risikotragfähigkeitsberechn</w:t>
            </w:r>
            <w:r w:rsidRPr="00DD219B">
              <w:rPr>
                <w:rFonts w:cs="Arial"/>
                <w:i/>
                <w:szCs w:val="20"/>
              </w:rPr>
              <w:t>ung sämtlicher Risikoarten, die</w:t>
            </w:r>
            <w:r w:rsidRPr="00F9743B">
              <w:rPr>
                <w:rFonts w:cs="Arial"/>
                <w:i/>
                <w:szCs w:val="20"/>
              </w:rPr>
              <w:t xml:space="preserve"> für das Geschäftsmodell wesentlich sind, abgeleitet werden.</w:t>
            </w:r>
          </w:p>
        </w:tc>
      </w:tr>
      <w:tr w:rsidR="005317BD" w:rsidRPr="003F2BF8" w14:paraId="744EE29F" w14:textId="77777777" w:rsidTr="006D41E2">
        <w:tc>
          <w:tcPr>
            <w:tcW w:w="2077" w:type="dxa"/>
          </w:tcPr>
          <w:p w14:paraId="0A710554" w14:textId="77777777" w:rsidR="005317BD" w:rsidRPr="009D7A55" w:rsidDel="00ED354D" w:rsidRDefault="005317BD" w:rsidP="006D41E2">
            <w:pPr>
              <w:jc w:val="both"/>
              <w:rPr>
                <w:rFonts w:ascii="Arial" w:hAnsi="Arial" w:cs="Arial"/>
                <w:i/>
                <w:sz w:val="20"/>
                <w:szCs w:val="20"/>
              </w:rPr>
            </w:pPr>
            <w:r w:rsidRPr="009D7A55">
              <w:rPr>
                <w:rFonts w:ascii="Arial" w:hAnsi="Arial" w:cs="Arial"/>
                <w:i/>
                <w:sz w:val="20"/>
                <w:szCs w:val="20"/>
              </w:rPr>
              <w:t>Intervention 3</w:t>
            </w:r>
          </w:p>
        </w:tc>
        <w:tc>
          <w:tcPr>
            <w:tcW w:w="2251" w:type="dxa"/>
          </w:tcPr>
          <w:p w14:paraId="2CE62269" w14:textId="77777777" w:rsidR="005317BD" w:rsidRPr="009D7A55" w:rsidRDefault="005317BD" w:rsidP="006D41E2">
            <w:pPr>
              <w:jc w:val="both"/>
              <w:rPr>
                <w:rFonts w:ascii="Arial" w:hAnsi="Arial" w:cs="Arial"/>
                <w:i/>
                <w:sz w:val="20"/>
                <w:szCs w:val="20"/>
              </w:rPr>
            </w:pPr>
            <w:r w:rsidRPr="009D7A55">
              <w:rPr>
                <w:rFonts w:ascii="Arial" w:hAnsi="Arial" w:cs="Arial"/>
                <w:i/>
                <w:sz w:val="20"/>
                <w:szCs w:val="20"/>
              </w:rPr>
              <w:t>Stresstests und Plan-Szenarien</w:t>
            </w:r>
          </w:p>
        </w:tc>
        <w:tc>
          <w:tcPr>
            <w:tcW w:w="5186" w:type="dxa"/>
          </w:tcPr>
          <w:p w14:paraId="13C2E725" w14:textId="77777777" w:rsidR="005317BD" w:rsidRPr="00455ACE" w:rsidRDefault="005317BD" w:rsidP="006D41E2">
            <w:pPr>
              <w:pStyle w:val="Listenabsatz"/>
              <w:numPr>
                <w:ilvl w:val="1"/>
                <w:numId w:val="17"/>
              </w:numPr>
              <w:ind w:left="317" w:hanging="283"/>
              <w:jc w:val="both"/>
              <w:rPr>
                <w:rFonts w:cs="Arial"/>
                <w:i/>
                <w:szCs w:val="20"/>
              </w:rPr>
            </w:pPr>
            <w:r w:rsidRPr="009D7A55">
              <w:rPr>
                <w:rFonts w:cs="Arial"/>
                <w:i/>
                <w:szCs w:val="20"/>
              </w:rPr>
              <w:t>Das Stress</w:t>
            </w:r>
            <w:r>
              <w:rPr>
                <w:rFonts w:cs="Arial"/>
                <w:i/>
                <w:szCs w:val="20"/>
              </w:rPr>
              <w:t>t</w:t>
            </w:r>
            <w:r w:rsidRPr="00455ACE">
              <w:rPr>
                <w:rFonts w:cs="Arial"/>
                <w:i/>
                <w:szCs w:val="20"/>
              </w:rPr>
              <w:t>esting bezieht sich auf sämtliche wesentliche Risikoarten und Geschäftsfelder sowie Gruppenentitäten</w:t>
            </w:r>
          </w:p>
          <w:p w14:paraId="372A377B" w14:textId="77777777" w:rsidR="005317BD" w:rsidRPr="00455ACE" w:rsidRDefault="005317BD" w:rsidP="006D41E2">
            <w:pPr>
              <w:pStyle w:val="Listenabsatz"/>
              <w:numPr>
                <w:ilvl w:val="1"/>
                <w:numId w:val="17"/>
              </w:numPr>
              <w:ind w:left="317" w:hanging="283"/>
              <w:jc w:val="both"/>
              <w:rPr>
                <w:rFonts w:cs="Arial"/>
                <w:i/>
                <w:szCs w:val="20"/>
              </w:rPr>
            </w:pPr>
            <w:r w:rsidRPr="00455ACE">
              <w:rPr>
                <w:rFonts w:cs="Arial"/>
                <w:i/>
                <w:szCs w:val="20"/>
              </w:rPr>
              <w:t>Die internen Verfahren stellen sicher, dass angemessene Stresstests auf einer institutsweiten Ebene resp. Gruppenebene durchgeführt werden</w:t>
            </w:r>
          </w:p>
          <w:p w14:paraId="699F36A2" w14:textId="77777777" w:rsidR="005317BD" w:rsidRPr="00455ACE" w:rsidRDefault="005317BD" w:rsidP="006D41E2">
            <w:pPr>
              <w:pStyle w:val="Listenabsatz"/>
              <w:numPr>
                <w:ilvl w:val="1"/>
                <w:numId w:val="17"/>
              </w:numPr>
              <w:ind w:left="317" w:hanging="283"/>
              <w:jc w:val="both"/>
              <w:rPr>
                <w:rFonts w:cs="Arial"/>
                <w:i/>
                <w:szCs w:val="20"/>
              </w:rPr>
            </w:pPr>
            <w:r w:rsidRPr="00455ACE">
              <w:rPr>
                <w:rFonts w:cs="Arial"/>
                <w:i/>
                <w:szCs w:val="20"/>
              </w:rPr>
              <w:t>Die internen Verfahren stellen sicher, dass angemessene nachvollziehbare Sensitivitätsanalysen und Szenarioanalysen im Stresstest-Programm berücksichtigt und effektiv angewandt werden</w:t>
            </w:r>
          </w:p>
          <w:p w14:paraId="1BFFD399" w14:textId="77777777" w:rsidR="005317BD" w:rsidRPr="00455ACE" w:rsidRDefault="005317BD" w:rsidP="006D41E2">
            <w:pPr>
              <w:pStyle w:val="Listenabsatz"/>
              <w:numPr>
                <w:ilvl w:val="1"/>
                <w:numId w:val="17"/>
              </w:numPr>
              <w:ind w:left="317" w:hanging="283"/>
              <w:jc w:val="both"/>
              <w:rPr>
                <w:rFonts w:cs="Arial"/>
                <w:i/>
                <w:szCs w:val="20"/>
              </w:rPr>
            </w:pPr>
            <w:r w:rsidRPr="00455ACE">
              <w:rPr>
                <w:rFonts w:cs="Arial"/>
                <w:i/>
                <w:szCs w:val="20"/>
              </w:rPr>
              <w:t>Die internen Verfahren stellen sicher, dass nachvollziehbare inverse Stresstests in den Stresstest-Programmen berücksichtigt und effektiv angewandt werden</w:t>
            </w:r>
          </w:p>
          <w:p w14:paraId="406559E4" w14:textId="77777777" w:rsidR="005317BD" w:rsidRDefault="005317BD" w:rsidP="006D41E2">
            <w:pPr>
              <w:pStyle w:val="Listenabsatz"/>
              <w:numPr>
                <w:ilvl w:val="1"/>
                <w:numId w:val="17"/>
              </w:numPr>
              <w:ind w:left="317" w:hanging="283"/>
              <w:jc w:val="both"/>
              <w:rPr>
                <w:rFonts w:cs="Arial"/>
                <w:i/>
                <w:szCs w:val="20"/>
              </w:rPr>
            </w:pPr>
            <w:r w:rsidRPr="00455ACE">
              <w:rPr>
                <w:rFonts w:cs="Arial"/>
                <w:i/>
                <w:szCs w:val="20"/>
              </w:rPr>
              <w:t>Die internen Verfahren stellen eine regelmässige Durchführung von Stresstests (u.a. Berechnung und Simulation sämtlicher Szenarien) sicher</w:t>
            </w:r>
          </w:p>
          <w:p w14:paraId="0B365A58" w14:textId="77777777" w:rsidR="005317BD" w:rsidRPr="00487EE4" w:rsidRDefault="005317BD" w:rsidP="006D41E2">
            <w:pPr>
              <w:pStyle w:val="Listenabsatz"/>
              <w:numPr>
                <w:ilvl w:val="1"/>
                <w:numId w:val="17"/>
              </w:numPr>
              <w:ind w:left="317" w:hanging="283"/>
              <w:jc w:val="both"/>
              <w:rPr>
                <w:rFonts w:cs="Arial"/>
                <w:i/>
                <w:szCs w:val="20"/>
              </w:rPr>
            </w:pPr>
            <w:r w:rsidRPr="00487EE4">
              <w:rPr>
                <w:rFonts w:cs="Arial"/>
                <w:i/>
                <w:szCs w:val="20"/>
              </w:rPr>
              <w:t>Die interne</w:t>
            </w:r>
            <w:r>
              <w:rPr>
                <w:rFonts w:cs="Arial"/>
                <w:i/>
                <w:szCs w:val="20"/>
              </w:rPr>
              <w:t>n</w:t>
            </w:r>
            <w:r w:rsidRPr="00487EE4">
              <w:rPr>
                <w:rFonts w:cs="Arial"/>
                <w:i/>
                <w:szCs w:val="20"/>
              </w:rPr>
              <w:t xml:space="preserve"> Verfahren stellen die Berücksichtigung eines </w:t>
            </w:r>
            <w:r w:rsidRPr="00225F94">
              <w:rPr>
                <w:rFonts w:cs="Arial"/>
                <w:i/>
                <w:szCs w:val="20"/>
              </w:rPr>
              <w:t>angemessenen Planungshorizonts</w:t>
            </w:r>
            <w:r w:rsidRPr="00487EE4">
              <w:rPr>
                <w:rFonts w:cs="Arial"/>
                <w:i/>
                <w:szCs w:val="20"/>
              </w:rPr>
              <w:t xml:space="preserve"> hinsichtlich der regulatorischen sowie der ökonomischen Perspektive sicher. </w:t>
            </w:r>
          </w:p>
          <w:p w14:paraId="3F34A5A1" w14:textId="77777777" w:rsidR="005317BD" w:rsidRPr="00455ACE" w:rsidRDefault="005317BD" w:rsidP="006D41E2">
            <w:pPr>
              <w:pStyle w:val="Listenabsatz"/>
              <w:numPr>
                <w:ilvl w:val="1"/>
                <w:numId w:val="17"/>
              </w:numPr>
              <w:ind w:left="317" w:hanging="283"/>
              <w:jc w:val="both"/>
              <w:rPr>
                <w:rFonts w:cs="Arial"/>
                <w:i/>
                <w:szCs w:val="20"/>
              </w:rPr>
            </w:pPr>
            <w:r w:rsidRPr="00455ACE">
              <w:rPr>
                <w:rFonts w:cs="Arial"/>
                <w:i/>
                <w:szCs w:val="20"/>
              </w:rPr>
              <w:t xml:space="preserve">Die internen Verfahren stellen sicher, dass ein Abgleich zwischen Budget-, Liquiditäts- und Risikoplanung getätigt wird. </w:t>
            </w:r>
          </w:p>
          <w:p w14:paraId="61C2EC26" w14:textId="77777777" w:rsidR="005317BD" w:rsidRPr="00EA4DE3" w:rsidRDefault="005317BD" w:rsidP="006D41E2">
            <w:pPr>
              <w:pStyle w:val="Listenabsatz"/>
              <w:numPr>
                <w:ilvl w:val="1"/>
                <w:numId w:val="17"/>
              </w:numPr>
              <w:ind w:left="317" w:hanging="283"/>
              <w:jc w:val="both"/>
              <w:rPr>
                <w:rFonts w:cs="Arial"/>
                <w:i/>
                <w:szCs w:val="20"/>
              </w:rPr>
            </w:pPr>
            <w:r w:rsidRPr="00EA4DE3">
              <w:rPr>
                <w:rFonts w:cs="Arial"/>
                <w:i/>
                <w:szCs w:val="20"/>
              </w:rPr>
              <w:lastRenderedPageBreak/>
              <w:t>Der Schweregrad der Stress-Szenarien ist angemessen und proportional zur Komplexität und Grösse des Instituts (Art, Umfang und Komplexität der betriebenen Geschäfte)</w:t>
            </w:r>
          </w:p>
          <w:p w14:paraId="0DEA65C5" w14:textId="77777777" w:rsidR="005317BD" w:rsidRPr="003F2BF8" w:rsidRDefault="005317BD" w:rsidP="006D41E2">
            <w:pPr>
              <w:pStyle w:val="Listenabsatz"/>
              <w:numPr>
                <w:ilvl w:val="1"/>
                <w:numId w:val="17"/>
              </w:numPr>
              <w:ind w:left="317" w:hanging="283"/>
              <w:jc w:val="both"/>
              <w:rPr>
                <w:rFonts w:cs="Arial"/>
                <w:i/>
                <w:szCs w:val="20"/>
                <w:highlight w:val="lightGray"/>
              </w:rPr>
            </w:pPr>
            <w:r w:rsidRPr="00EA4DE3">
              <w:rPr>
                <w:rFonts w:cs="Arial"/>
                <w:i/>
                <w:szCs w:val="20"/>
              </w:rPr>
              <w:t>Die internen Verfahren stellen die vollständige und ordnungsgemässe Dokumentation des Stresstest-Programm für alle Arten von Stresstests, die auf Ebene der einzelnen Risiken u/o Portfolioebene sowie auf Unternehmensebene durchgeführt werden sicher.</w:t>
            </w:r>
          </w:p>
        </w:tc>
      </w:tr>
    </w:tbl>
    <w:p w14:paraId="50AA79F4" w14:textId="77777777" w:rsidR="00063CE6" w:rsidRDefault="00063CE6" w:rsidP="00CB3EE6">
      <w:pPr>
        <w:jc w:val="both"/>
        <w:rPr>
          <w:rFonts w:ascii="Arial" w:hAnsi="Arial" w:cs="Arial"/>
          <w:sz w:val="18"/>
          <w:szCs w:val="18"/>
        </w:rPr>
      </w:pPr>
    </w:p>
    <w:p w14:paraId="0FA43410" w14:textId="77777777" w:rsidR="00063CE6" w:rsidRDefault="00063CE6" w:rsidP="00CB3EE6">
      <w:pPr>
        <w:jc w:val="both"/>
        <w:rPr>
          <w:rFonts w:ascii="Arial" w:hAnsi="Arial"/>
          <w:sz w:val="20"/>
        </w:rPr>
      </w:pPr>
    </w:p>
    <w:p w14:paraId="5F036E65" w14:textId="2B94C378" w:rsidR="00E94778" w:rsidRPr="005B66F8" w:rsidRDefault="00E94778" w:rsidP="00CB3EE6">
      <w:pPr>
        <w:jc w:val="both"/>
        <w:rPr>
          <w:rFonts w:ascii="Arial" w:hAnsi="Arial" w:cs="Arial"/>
          <w:i/>
          <w:sz w:val="20"/>
          <w:szCs w:val="20"/>
          <w:highlight w:val="yellow"/>
        </w:rPr>
      </w:pPr>
      <w:r w:rsidRPr="00276C60">
        <w:rPr>
          <w:rFonts w:ascii="Arial" w:hAnsi="Arial" w:cs="Arial"/>
          <w:i/>
          <w:sz w:val="20"/>
          <w:szCs w:val="20"/>
          <w:highlight w:val="yellow"/>
        </w:rPr>
        <w:t>Text</w:t>
      </w:r>
    </w:p>
    <w:p w14:paraId="21AF02A4" w14:textId="390B05C3" w:rsidR="003F2BF8" w:rsidRDefault="003F2BF8" w:rsidP="00897485">
      <w:pPr>
        <w:pStyle w:val="Listenabsatz"/>
        <w:ind w:left="792"/>
        <w:jc w:val="both"/>
      </w:pPr>
    </w:p>
    <w:p w14:paraId="52052146" w14:textId="77777777" w:rsidR="003F2BF8" w:rsidRDefault="003F2BF8" w:rsidP="00897485">
      <w:pPr>
        <w:pStyle w:val="Listenabsatz"/>
        <w:ind w:left="792"/>
        <w:jc w:val="both"/>
      </w:pPr>
    </w:p>
    <w:p w14:paraId="29DA5026" w14:textId="77777777" w:rsidR="009C6380" w:rsidRDefault="009C6380" w:rsidP="006F7AB5">
      <w:pPr>
        <w:pStyle w:val="FINMAGliederungEbene2"/>
      </w:pPr>
      <w:bookmarkStart w:id="78" w:name="_Toc147849928"/>
      <w:r>
        <w:t>Andere Vorschriften</w:t>
      </w:r>
      <w:bookmarkEnd w:id="78"/>
    </w:p>
    <w:p w14:paraId="374193DA" w14:textId="77777777" w:rsidR="00801D7B" w:rsidRDefault="00801D7B" w:rsidP="00CB3EE6">
      <w:pPr>
        <w:pStyle w:val="Listenabsatz"/>
        <w:ind w:left="792"/>
        <w:jc w:val="both"/>
      </w:pPr>
    </w:p>
    <w:p w14:paraId="69D1E810" w14:textId="77777777" w:rsidR="009C6380" w:rsidRDefault="009C6380" w:rsidP="006F7AB5">
      <w:pPr>
        <w:pStyle w:val="FINMAGliederungEbene3"/>
      </w:pPr>
      <w:bookmarkStart w:id="79" w:name="_Toc147849929"/>
      <w:r>
        <w:t>Konsolidierung nach CRR (And-1)</w:t>
      </w:r>
      <w:bookmarkEnd w:id="79"/>
    </w:p>
    <w:p w14:paraId="34C08DCC" w14:textId="77777777" w:rsidR="001B7BDD" w:rsidRDefault="001B7BDD" w:rsidP="00CB3EE6">
      <w:pPr>
        <w:jc w:val="both"/>
      </w:pPr>
    </w:p>
    <w:tbl>
      <w:tblPr>
        <w:tblStyle w:val="Tabellenraster"/>
        <w:tblW w:w="0" w:type="auto"/>
        <w:tblLook w:val="04A0" w:firstRow="1" w:lastRow="0" w:firstColumn="1" w:lastColumn="0" w:noHBand="0" w:noVBand="1"/>
      </w:tblPr>
      <w:tblGrid>
        <w:gridCol w:w="1932"/>
        <w:gridCol w:w="2145"/>
        <w:gridCol w:w="1721"/>
        <w:gridCol w:w="3382"/>
      </w:tblGrid>
      <w:tr w:rsidR="00801D7B" w:rsidRPr="009872F3" w14:paraId="37FC3B4C" w14:textId="77777777" w:rsidTr="008C7535">
        <w:trPr>
          <w:trHeight w:val="563"/>
        </w:trPr>
        <w:tc>
          <w:tcPr>
            <w:tcW w:w="1932" w:type="dxa"/>
          </w:tcPr>
          <w:p w14:paraId="5A0C98BC"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Nettorisiko</w:t>
            </w:r>
          </w:p>
        </w:tc>
        <w:tc>
          <w:tcPr>
            <w:tcW w:w="2145" w:type="dxa"/>
          </w:tcPr>
          <w:p w14:paraId="304C4508"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79010A7C"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801D7B" w:rsidRPr="009872F3" w14:paraId="035F38BF" w14:textId="77777777" w:rsidTr="008C7535">
        <w:trPr>
          <w:trHeight w:val="698"/>
        </w:trPr>
        <w:tc>
          <w:tcPr>
            <w:tcW w:w="1932" w:type="dxa"/>
          </w:tcPr>
          <w:p w14:paraId="627B9D03" w14:textId="36FC09CC" w:rsidR="00801D7B" w:rsidRPr="006749F0" w:rsidRDefault="00801D7B" w:rsidP="008C753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3B436417" w14:textId="77777777" w:rsidR="00801D7B" w:rsidRPr="006749F0" w:rsidRDefault="00801D7B" w:rsidP="008C7535">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2363A4B1" w14:textId="77777777" w:rsidR="00801D7B" w:rsidRPr="009872F3" w:rsidRDefault="00801D7B" w:rsidP="008C7535">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40B1E814" w14:textId="77777777" w:rsidR="00801D7B" w:rsidRDefault="00801D7B" w:rsidP="008C7535">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04210F93" w14:textId="77777777" w:rsidR="00801D7B" w:rsidRPr="006749F0" w:rsidRDefault="00801D7B" w:rsidP="008C7535">
            <w:pPr>
              <w:jc w:val="both"/>
              <w:rPr>
                <w:rFonts w:ascii="Arial" w:hAnsi="Arial" w:cs="Arial"/>
                <w:i/>
                <w:sz w:val="18"/>
                <w:szCs w:val="18"/>
              </w:rPr>
            </w:pPr>
            <w:r w:rsidRPr="006749F0">
              <w:rPr>
                <w:rFonts w:ascii="Arial" w:hAnsi="Arial" w:cs="Arial"/>
                <w:i/>
                <w:sz w:val="18"/>
                <w:szCs w:val="18"/>
                <w:highlight w:val="yellow"/>
              </w:rPr>
              <w:t>Jahr</w:t>
            </w:r>
          </w:p>
        </w:tc>
      </w:tr>
      <w:tr w:rsidR="00801D7B" w:rsidRPr="009872F3" w14:paraId="323E06A3" w14:textId="77777777" w:rsidTr="008C7535">
        <w:trPr>
          <w:trHeight w:val="133"/>
        </w:trPr>
        <w:tc>
          <w:tcPr>
            <w:tcW w:w="9180" w:type="dxa"/>
            <w:gridSpan w:val="4"/>
          </w:tcPr>
          <w:p w14:paraId="7710AFA8" w14:textId="77777777" w:rsidR="00801D7B" w:rsidRDefault="00801D7B" w:rsidP="008C7535">
            <w:pPr>
              <w:jc w:val="both"/>
              <w:rPr>
                <w:rFonts w:ascii="Arial" w:hAnsi="Arial" w:cs="Arial"/>
                <w:sz w:val="18"/>
                <w:szCs w:val="18"/>
              </w:rPr>
            </w:pPr>
          </w:p>
          <w:p w14:paraId="562FA9AE" w14:textId="77777777" w:rsidR="00801D7B" w:rsidRPr="00F60909" w:rsidRDefault="00801D7B" w:rsidP="008C7535">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7D8D568B" w14:textId="62D951D0" w:rsidR="00801D7B" w:rsidRPr="009872F3" w:rsidRDefault="00801D7B" w:rsidP="00801D7B">
            <w:pPr>
              <w:jc w:val="both"/>
              <w:rPr>
                <w:rFonts w:ascii="Arial" w:hAnsi="Arial" w:cs="Arial"/>
                <w:sz w:val="18"/>
                <w:szCs w:val="18"/>
              </w:rPr>
            </w:pPr>
            <w:r w:rsidRPr="000B7DF6">
              <w:rPr>
                <w:rFonts w:ascii="Arial" w:hAnsi="Arial" w:cs="Arial"/>
                <w:sz w:val="18"/>
                <w:szCs w:val="18"/>
                <w:highlight w:val="yellow"/>
              </w:rPr>
              <w:t xml:space="preserve">Art 7a bis 7d BankG; </w:t>
            </w:r>
            <w:r w:rsidR="00751CF7">
              <w:rPr>
                <w:rFonts w:ascii="Arial" w:hAnsi="Arial" w:cs="Arial"/>
                <w:sz w:val="18"/>
                <w:szCs w:val="18"/>
                <w:highlight w:val="yellow"/>
              </w:rPr>
              <w:t xml:space="preserve">Art. </w:t>
            </w:r>
            <w:r w:rsidR="00920F67">
              <w:rPr>
                <w:rFonts w:ascii="Arial" w:hAnsi="Arial" w:cs="Arial"/>
                <w:sz w:val="18"/>
                <w:szCs w:val="18"/>
                <w:highlight w:val="yellow"/>
              </w:rPr>
              <w:t xml:space="preserve">41a ff BankG; </w:t>
            </w:r>
            <w:r w:rsidRPr="000B7DF6">
              <w:rPr>
                <w:rFonts w:ascii="Arial" w:hAnsi="Arial" w:cs="Arial"/>
                <w:sz w:val="18"/>
                <w:szCs w:val="18"/>
                <w:highlight w:val="yellow"/>
              </w:rPr>
              <w:t xml:space="preserve">FMA-Mitteilung 2017/4; FMA-Mitteilung 2017/6; </w:t>
            </w:r>
            <w:r w:rsidR="00920F67">
              <w:rPr>
                <w:rFonts w:ascii="Arial" w:hAnsi="Arial" w:cs="Arial"/>
                <w:sz w:val="18"/>
                <w:szCs w:val="18"/>
                <w:highlight w:val="yellow"/>
              </w:rPr>
              <w:t xml:space="preserve">VO (EU) Nr. 575/2013 </w:t>
            </w:r>
            <w:r w:rsidRPr="000B7DF6">
              <w:rPr>
                <w:rFonts w:ascii="Arial" w:hAnsi="Arial" w:cs="Arial"/>
                <w:sz w:val="18"/>
                <w:szCs w:val="18"/>
                <w:highlight w:val="yellow"/>
              </w:rPr>
              <w:t>Art</w:t>
            </w:r>
            <w:r w:rsidR="00751CF7">
              <w:rPr>
                <w:rFonts w:ascii="Arial" w:hAnsi="Arial" w:cs="Arial"/>
                <w:sz w:val="18"/>
                <w:szCs w:val="18"/>
                <w:highlight w:val="yellow"/>
              </w:rPr>
              <w:t>. 6</w:t>
            </w:r>
            <w:r w:rsidRPr="000B7DF6">
              <w:rPr>
                <w:rFonts w:ascii="Arial" w:hAnsi="Arial" w:cs="Arial"/>
                <w:sz w:val="18"/>
                <w:szCs w:val="18"/>
                <w:highlight w:val="yellow"/>
              </w:rPr>
              <w:t xml:space="preserve"> bis </w:t>
            </w:r>
            <w:r w:rsidR="00751CF7">
              <w:rPr>
                <w:rFonts w:ascii="Arial" w:hAnsi="Arial" w:cs="Arial"/>
                <w:sz w:val="18"/>
                <w:szCs w:val="18"/>
                <w:highlight w:val="yellow"/>
              </w:rPr>
              <w:t>24</w:t>
            </w:r>
            <w:r w:rsidR="00920F67">
              <w:rPr>
                <w:rFonts w:ascii="Arial" w:hAnsi="Arial" w:cs="Arial"/>
                <w:sz w:val="18"/>
                <w:szCs w:val="18"/>
                <w:highlight w:val="yellow"/>
              </w:rPr>
              <w:t xml:space="preserve">; </w:t>
            </w:r>
          </w:p>
        </w:tc>
      </w:tr>
      <w:tr w:rsidR="00801D7B" w:rsidRPr="009872F3" w14:paraId="34A989C3" w14:textId="77777777" w:rsidTr="008C7535">
        <w:trPr>
          <w:trHeight w:val="294"/>
        </w:trPr>
        <w:tc>
          <w:tcPr>
            <w:tcW w:w="9180" w:type="dxa"/>
            <w:gridSpan w:val="4"/>
          </w:tcPr>
          <w:p w14:paraId="109163AC" w14:textId="77777777" w:rsidR="00801D7B" w:rsidRPr="009872F3" w:rsidRDefault="00801D7B" w:rsidP="008C7535">
            <w:pPr>
              <w:jc w:val="both"/>
              <w:rPr>
                <w:rFonts w:ascii="Arial" w:hAnsi="Arial" w:cs="Arial"/>
                <w:sz w:val="18"/>
                <w:szCs w:val="18"/>
              </w:rPr>
            </w:pPr>
          </w:p>
        </w:tc>
      </w:tr>
      <w:tr w:rsidR="00F73268" w:rsidRPr="009872F3" w14:paraId="242A5386" w14:textId="77777777" w:rsidTr="008C7535">
        <w:tc>
          <w:tcPr>
            <w:tcW w:w="5798" w:type="dxa"/>
            <w:gridSpan w:val="3"/>
          </w:tcPr>
          <w:p w14:paraId="6716D43B" w14:textId="77777777" w:rsidR="00F73268" w:rsidRDefault="00F73268" w:rsidP="00F73268">
            <w:pPr>
              <w:jc w:val="both"/>
              <w:rPr>
                <w:rFonts w:ascii="Arial" w:hAnsi="Arial" w:cs="Arial"/>
                <w:sz w:val="18"/>
                <w:szCs w:val="18"/>
              </w:rPr>
            </w:pPr>
            <w:r>
              <w:rPr>
                <w:rFonts w:ascii="Arial" w:hAnsi="Arial" w:cs="Arial"/>
                <w:sz w:val="18"/>
                <w:szCs w:val="18"/>
              </w:rPr>
              <w:t>Bestätigung, dass die internen Verfahren den vollständigen Datenaustausch zwischen den Gruppenentitäten im In- und Ausland sicherstellen</w:t>
            </w:r>
          </w:p>
        </w:tc>
        <w:tc>
          <w:tcPr>
            <w:tcW w:w="3382" w:type="dxa"/>
          </w:tcPr>
          <w:p w14:paraId="71D8C5D4" w14:textId="77777777" w:rsidR="00F73268" w:rsidRPr="00C3479D" w:rsidRDefault="00F73268"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01D7B" w:rsidRPr="009872F3" w14:paraId="460FCD49" w14:textId="77777777" w:rsidTr="008C7535">
        <w:tc>
          <w:tcPr>
            <w:tcW w:w="5798" w:type="dxa"/>
            <w:gridSpan w:val="3"/>
          </w:tcPr>
          <w:p w14:paraId="06D2F8C0" w14:textId="0472CF79" w:rsidR="00801D7B" w:rsidRPr="009872F3" w:rsidRDefault="00801D7B" w:rsidP="00F73268">
            <w:pPr>
              <w:jc w:val="both"/>
              <w:rPr>
                <w:rFonts w:ascii="Arial" w:hAnsi="Arial" w:cs="Arial"/>
                <w:sz w:val="18"/>
                <w:szCs w:val="18"/>
              </w:rPr>
            </w:pPr>
            <w:r>
              <w:rPr>
                <w:rFonts w:ascii="Arial" w:hAnsi="Arial" w:cs="Arial"/>
                <w:sz w:val="18"/>
                <w:szCs w:val="18"/>
              </w:rPr>
              <w:t xml:space="preserve">Bestätigung, dass </w:t>
            </w:r>
            <w:r w:rsidR="00F73268">
              <w:rPr>
                <w:rFonts w:ascii="Arial" w:hAnsi="Arial" w:cs="Arial"/>
                <w:sz w:val="18"/>
                <w:szCs w:val="18"/>
              </w:rPr>
              <w:t xml:space="preserve">die internen Verfahren sicherstellen, dass der CRR-Konsolidierungskreis </w:t>
            </w:r>
            <w:r w:rsidR="00920F67">
              <w:rPr>
                <w:rFonts w:ascii="Arial" w:hAnsi="Arial" w:cs="Arial"/>
                <w:sz w:val="18"/>
                <w:szCs w:val="18"/>
              </w:rPr>
              <w:t xml:space="preserve">gemäss den </w:t>
            </w:r>
            <w:r w:rsidR="00DA5A61">
              <w:rPr>
                <w:rFonts w:ascii="Arial" w:hAnsi="Arial" w:cs="Arial"/>
                <w:sz w:val="18"/>
                <w:szCs w:val="18"/>
              </w:rPr>
              <w:t>einschlägigen</w:t>
            </w:r>
            <w:r w:rsidR="00920F67">
              <w:rPr>
                <w:rFonts w:ascii="Arial" w:hAnsi="Arial" w:cs="Arial"/>
                <w:sz w:val="18"/>
                <w:szCs w:val="18"/>
              </w:rPr>
              <w:t xml:space="preserve"> Bestimmungen </w:t>
            </w:r>
            <w:r w:rsidR="00F73268">
              <w:rPr>
                <w:rFonts w:ascii="Arial" w:hAnsi="Arial" w:cs="Arial"/>
                <w:sz w:val="18"/>
                <w:szCs w:val="18"/>
              </w:rPr>
              <w:t>korrekt angewendet wird</w:t>
            </w:r>
          </w:p>
        </w:tc>
        <w:tc>
          <w:tcPr>
            <w:tcW w:w="3382" w:type="dxa"/>
          </w:tcPr>
          <w:p w14:paraId="669D92A6" w14:textId="77777777" w:rsidR="00801D7B" w:rsidRPr="00E109DF" w:rsidRDefault="00801D7B" w:rsidP="008C7535">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801D7B" w:rsidRPr="009872F3" w14:paraId="7E96310F" w14:textId="77777777" w:rsidTr="008C7535">
        <w:tc>
          <w:tcPr>
            <w:tcW w:w="5798" w:type="dxa"/>
            <w:gridSpan w:val="3"/>
          </w:tcPr>
          <w:p w14:paraId="67434155" w14:textId="77777777" w:rsidR="00801D7B" w:rsidRDefault="00F73268" w:rsidP="008C7535">
            <w:pPr>
              <w:jc w:val="both"/>
              <w:rPr>
                <w:rFonts w:ascii="Arial" w:hAnsi="Arial" w:cs="Arial"/>
                <w:sz w:val="18"/>
                <w:szCs w:val="18"/>
              </w:rPr>
            </w:pPr>
            <w:r>
              <w:rPr>
                <w:rFonts w:ascii="Arial" w:hAnsi="Arial" w:cs="Arial"/>
                <w:sz w:val="18"/>
                <w:szCs w:val="18"/>
              </w:rPr>
              <w:t>Bestätigung, dass die internen Verfahren eine angemessene Allokation der Eigenmittel und der Liquidität innerhalb der Gruppe sicherstellen</w:t>
            </w:r>
          </w:p>
        </w:tc>
        <w:tc>
          <w:tcPr>
            <w:tcW w:w="3382" w:type="dxa"/>
          </w:tcPr>
          <w:p w14:paraId="1A2E5597" w14:textId="77777777" w:rsidR="00801D7B" w:rsidRPr="00E109DF" w:rsidRDefault="00801D7B"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62E4F6EC" w14:textId="77777777" w:rsidR="00801D7B" w:rsidRDefault="00801D7B" w:rsidP="00801D7B">
      <w:pPr>
        <w:jc w:val="both"/>
      </w:pPr>
    </w:p>
    <w:tbl>
      <w:tblPr>
        <w:tblStyle w:val="Tabellenraster"/>
        <w:tblW w:w="0" w:type="auto"/>
        <w:tblLook w:val="04A0" w:firstRow="1" w:lastRow="0" w:firstColumn="1" w:lastColumn="0" w:noHBand="0" w:noVBand="1"/>
      </w:tblPr>
      <w:tblGrid>
        <w:gridCol w:w="2785"/>
        <w:gridCol w:w="6520"/>
      </w:tblGrid>
      <w:tr w:rsidR="00801D7B" w:rsidRPr="00CE3194" w14:paraId="2A0181F4" w14:textId="77777777" w:rsidTr="008C7535">
        <w:tc>
          <w:tcPr>
            <w:tcW w:w="2785" w:type="dxa"/>
          </w:tcPr>
          <w:p w14:paraId="04E199EC" w14:textId="77777777" w:rsidR="00801D7B" w:rsidRPr="00CE3194" w:rsidRDefault="00801D7B" w:rsidP="008C753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5DDAB292" w14:textId="77777777" w:rsidR="00801D7B" w:rsidRPr="00CE3194" w:rsidRDefault="00801D7B" w:rsidP="008C7535">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801D7B" w:rsidRPr="00CE3194" w14:paraId="70208AAA" w14:textId="77777777" w:rsidTr="008C7535">
        <w:tc>
          <w:tcPr>
            <w:tcW w:w="2785" w:type="dxa"/>
          </w:tcPr>
          <w:p w14:paraId="16E32B3C" w14:textId="77777777" w:rsidR="00801D7B" w:rsidRDefault="00F73268" w:rsidP="008C7535">
            <w:pPr>
              <w:jc w:val="both"/>
              <w:rPr>
                <w:rFonts w:ascii="Arial" w:hAnsi="Arial" w:cs="Arial"/>
                <w:i/>
                <w:sz w:val="20"/>
                <w:szCs w:val="20"/>
                <w:highlight w:val="lightGray"/>
              </w:rPr>
            </w:pPr>
            <w:r>
              <w:rPr>
                <w:rFonts w:ascii="Arial" w:hAnsi="Arial" w:cs="Arial"/>
                <w:i/>
                <w:sz w:val="20"/>
                <w:szCs w:val="20"/>
                <w:highlight w:val="lightGray"/>
              </w:rPr>
              <w:t>Datenaustausch</w:t>
            </w:r>
          </w:p>
        </w:tc>
        <w:tc>
          <w:tcPr>
            <w:tcW w:w="6520" w:type="dxa"/>
          </w:tcPr>
          <w:p w14:paraId="23FE5C1D" w14:textId="77777777" w:rsidR="00801D7B" w:rsidRPr="00F73268" w:rsidRDefault="00801D7B" w:rsidP="00F73268">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vollständigen Datenaustausch zwischen den Gruppenentitäten im In- und Ausland sicher</w:t>
            </w:r>
          </w:p>
        </w:tc>
      </w:tr>
      <w:tr w:rsidR="00F73268" w:rsidRPr="00CE3194" w14:paraId="2847CE05" w14:textId="77777777" w:rsidTr="008C7535">
        <w:tc>
          <w:tcPr>
            <w:tcW w:w="2785" w:type="dxa"/>
          </w:tcPr>
          <w:p w14:paraId="2B749C90" w14:textId="77777777" w:rsidR="00F73268" w:rsidRDefault="00F73268" w:rsidP="008C7535">
            <w:pPr>
              <w:jc w:val="both"/>
              <w:rPr>
                <w:rFonts w:ascii="Arial" w:hAnsi="Arial" w:cs="Arial"/>
                <w:i/>
                <w:sz w:val="20"/>
                <w:szCs w:val="20"/>
                <w:highlight w:val="lightGray"/>
              </w:rPr>
            </w:pPr>
            <w:r>
              <w:rPr>
                <w:rFonts w:ascii="Arial" w:hAnsi="Arial" w:cs="Arial"/>
                <w:i/>
                <w:sz w:val="20"/>
                <w:szCs w:val="20"/>
                <w:highlight w:val="lightGray"/>
              </w:rPr>
              <w:t>Konsolidierungskreis</w:t>
            </w:r>
          </w:p>
        </w:tc>
        <w:tc>
          <w:tcPr>
            <w:tcW w:w="6520" w:type="dxa"/>
          </w:tcPr>
          <w:p w14:paraId="33A6FD15" w14:textId="3D955D16" w:rsidR="00F73268" w:rsidRPr="00F73268" w:rsidRDefault="00F73268" w:rsidP="00F73268">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gewährleisten die Korrektheit des CRR-Konsolidierungskreises </w:t>
            </w:r>
            <w:r w:rsidR="00920F67">
              <w:rPr>
                <w:rFonts w:cs="Arial"/>
                <w:i/>
                <w:szCs w:val="20"/>
                <w:highlight w:val="lightGray"/>
              </w:rPr>
              <w:t xml:space="preserve">gemäss den </w:t>
            </w:r>
            <w:r w:rsidR="00CF6326">
              <w:rPr>
                <w:rFonts w:cs="Arial"/>
                <w:i/>
                <w:szCs w:val="20"/>
                <w:highlight w:val="lightGray"/>
              </w:rPr>
              <w:t>einschlägigen</w:t>
            </w:r>
            <w:r w:rsidR="00920F67">
              <w:rPr>
                <w:rFonts w:cs="Arial"/>
                <w:i/>
                <w:szCs w:val="20"/>
                <w:highlight w:val="lightGray"/>
              </w:rPr>
              <w:t xml:space="preserve"> Bestimmungen</w:t>
            </w:r>
          </w:p>
        </w:tc>
      </w:tr>
      <w:tr w:rsidR="00F73268" w:rsidRPr="00CE3194" w14:paraId="7BDFEE5D" w14:textId="77777777" w:rsidTr="008C7535">
        <w:tc>
          <w:tcPr>
            <w:tcW w:w="2785" w:type="dxa"/>
          </w:tcPr>
          <w:p w14:paraId="65B762EA" w14:textId="77777777" w:rsidR="00F73268" w:rsidRDefault="00F73268" w:rsidP="008C7535">
            <w:pPr>
              <w:jc w:val="both"/>
              <w:rPr>
                <w:rFonts w:ascii="Arial" w:hAnsi="Arial" w:cs="Arial"/>
                <w:i/>
                <w:sz w:val="20"/>
                <w:szCs w:val="20"/>
                <w:highlight w:val="lightGray"/>
              </w:rPr>
            </w:pPr>
            <w:r>
              <w:rPr>
                <w:rFonts w:ascii="Arial" w:hAnsi="Arial" w:cs="Arial"/>
                <w:i/>
                <w:sz w:val="20"/>
                <w:szCs w:val="20"/>
                <w:highlight w:val="lightGray"/>
              </w:rPr>
              <w:t>Allokation der Eigenmittel und Liquidität</w:t>
            </w:r>
          </w:p>
        </w:tc>
        <w:tc>
          <w:tcPr>
            <w:tcW w:w="6520" w:type="dxa"/>
          </w:tcPr>
          <w:p w14:paraId="475AA7B0" w14:textId="77777777" w:rsidR="00F73268" w:rsidRDefault="00F73268" w:rsidP="008C7535">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angemessene Allokation der Eigenmittel und Liquidität innerhalb der Gruppe sicher</w:t>
            </w:r>
          </w:p>
        </w:tc>
      </w:tr>
    </w:tbl>
    <w:p w14:paraId="58C86769" w14:textId="77777777" w:rsidR="001B7BDD" w:rsidRDefault="001B7BDD" w:rsidP="00CB3EE6">
      <w:pPr>
        <w:jc w:val="both"/>
      </w:pPr>
    </w:p>
    <w:p w14:paraId="1B340A47" w14:textId="77777777" w:rsidR="00801D7B" w:rsidRPr="00667026" w:rsidRDefault="00801D7B" w:rsidP="00801D7B">
      <w:pPr>
        <w:jc w:val="both"/>
        <w:rPr>
          <w:rFonts w:ascii="Arial" w:hAnsi="Arial" w:cs="Arial"/>
          <w:i/>
          <w:sz w:val="20"/>
          <w:szCs w:val="20"/>
        </w:rPr>
      </w:pPr>
      <w:r w:rsidRPr="00276C60">
        <w:rPr>
          <w:rFonts w:ascii="Arial" w:hAnsi="Arial" w:cs="Arial"/>
          <w:i/>
          <w:sz w:val="20"/>
          <w:szCs w:val="20"/>
          <w:highlight w:val="yellow"/>
        </w:rPr>
        <w:t>Text</w:t>
      </w:r>
    </w:p>
    <w:p w14:paraId="367B052F" w14:textId="77777777" w:rsidR="001B7BDD" w:rsidRDefault="001B7BDD" w:rsidP="00CB3EE6">
      <w:pPr>
        <w:jc w:val="both"/>
      </w:pPr>
    </w:p>
    <w:p w14:paraId="2882A92D" w14:textId="77777777" w:rsidR="009C6380" w:rsidRDefault="009C6380" w:rsidP="006F7AB5">
      <w:pPr>
        <w:pStyle w:val="FINMAGliederungEbene3"/>
      </w:pPr>
      <w:bookmarkStart w:id="80" w:name="_Toc147849930"/>
      <w:r>
        <w:t xml:space="preserve">Wertpapier- </w:t>
      </w:r>
      <w:r w:rsidR="0084034D">
        <w:t>und Nebendienstleistungen</w:t>
      </w:r>
      <w:r w:rsidR="00AA6E3C">
        <w:t xml:space="preserve"> (MiFID II)</w:t>
      </w:r>
      <w:r w:rsidR="0084034D">
        <w:t xml:space="preserve"> (And-2</w:t>
      </w:r>
      <w:r>
        <w:t>)</w:t>
      </w:r>
      <w:bookmarkEnd w:id="80"/>
    </w:p>
    <w:p w14:paraId="37A0F9AA" w14:textId="77777777" w:rsidR="001B7BDD" w:rsidRDefault="001B7BDD" w:rsidP="00CB3EE6">
      <w:pPr>
        <w:jc w:val="both"/>
      </w:pPr>
    </w:p>
    <w:tbl>
      <w:tblPr>
        <w:tblStyle w:val="Tabellenraster"/>
        <w:tblW w:w="0" w:type="auto"/>
        <w:tblLook w:val="04A0" w:firstRow="1" w:lastRow="0" w:firstColumn="1" w:lastColumn="0" w:noHBand="0" w:noVBand="1"/>
      </w:tblPr>
      <w:tblGrid>
        <w:gridCol w:w="1476"/>
        <w:gridCol w:w="2220"/>
        <w:gridCol w:w="2083"/>
        <w:gridCol w:w="3735"/>
      </w:tblGrid>
      <w:tr w:rsidR="00CC5892" w:rsidRPr="009872F3" w14:paraId="5719C89E" w14:textId="77777777" w:rsidTr="00093B3E">
        <w:trPr>
          <w:trHeight w:val="563"/>
        </w:trPr>
        <w:tc>
          <w:tcPr>
            <w:tcW w:w="1504" w:type="dxa"/>
          </w:tcPr>
          <w:p w14:paraId="3596D230" w14:textId="77777777" w:rsidR="00CC5892" w:rsidRPr="009872F3" w:rsidRDefault="00CC5892" w:rsidP="008C7535">
            <w:pPr>
              <w:jc w:val="both"/>
              <w:rPr>
                <w:rFonts w:ascii="Arial" w:hAnsi="Arial" w:cs="Arial"/>
                <w:sz w:val="18"/>
                <w:szCs w:val="18"/>
              </w:rPr>
            </w:pPr>
            <w:r w:rsidRPr="009872F3">
              <w:rPr>
                <w:rFonts w:ascii="Arial" w:hAnsi="Arial" w:cs="Arial"/>
                <w:sz w:val="18"/>
                <w:szCs w:val="18"/>
              </w:rPr>
              <w:lastRenderedPageBreak/>
              <w:t>Nettorisiko</w:t>
            </w:r>
          </w:p>
        </w:tc>
        <w:tc>
          <w:tcPr>
            <w:tcW w:w="4409" w:type="dxa"/>
            <w:gridSpan w:val="2"/>
          </w:tcPr>
          <w:p w14:paraId="760A56B2" w14:textId="77777777" w:rsidR="00CC5892" w:rsidRPr="009872F3" w:rsidRDefault="00CC5892" w:rsidP="008C7535">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05ACF403" w14:textId="4766B009" w:rsidR="00CC5892" w:rsidRPr="009872F3" w:rsidRDefault="00243B63" w:rsidP="008C7535">
            <w:pPr>
              <w:jc w:val="both"/>
              <w:rPr>
                <w:rFonts w:ascii="Arial" w:hAnsi="Arial" w:cs="Arial"/>
                <w:sz w:val="18"/>
                <w:szCs w:val="18"/>
              </w:rPr>
            </w:pPr>
            <w:r>
              <w:rPr>
                <w:rFonts w:ascii="Arial" w:hAnsi="Arial" w:cs="Arial"/>
                <w:sz w:val="18"/>
                <w:szCs w:val="18"/>
              </w:rPr>
              <w:t xml:space="preserve">In den vorangegangenen fünf Jahren im Rahmen der </w:t>
            </w:r>
            <w:r w:rsidR="00CC5892">
              <w:rPr>
                <w:rFonts w:ascii="Arial" w:hAnsi="Arial" w:cs="Arial"/>
                <w:sz w:val="18"/>
                <w:szCs w:val="18"/>
              </w:rPr>
              <w:t xml:space="preserve">graduellen Abdeckung abgedeckte Prüfelemente mit Angabe der jeweiligen Prüftiefe und des Prüfjahrs </w:t>
            </w:r>
          </w:p>
        </w:tc>
      </w:tr>
      <w:tr w:rsidR="00CC5892" w:rsidRPr="009872F3" w14:paraId="65119C28" w14:textId="77777777" w:rsidTr="00093B3E">
        <w:trPr>
          <w:trHeight w:val="698"/>
        </w:trPr>
        <w:tc>
          <w:tcPr>
            <w:tcW w:w="1504" w:type="dxa"/>
          </w:tcPr>
          <w:p w14:paraId="133231B7" w14:textId="7E10B13F" w:rsidR="00CC5892" w:rsidRPr="006749F0" w:rsidRDefault="00CC5892" w:rsidP="008C7535">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4409" w:type="dxa"/>
            <w:gridSpan w:val="2"/>
          </w:tcPr>
          <w:p w14:paraId="07A9E491" w14:textId="77777777" w:rsidR="00CC5892" w:rsidRPr="00CB3EE6" w:rsidRDefault="00CC5892" w:rsidP="008C7535">
            <w:pPr>
              <w:jc w:val="both"/>
              <w:rPr>
                <w:rFonts w:ascii="Arial" w:hAnsi="Arial" w:cs="Arial"/>
                <w:sz w:val="18"/>
                <w:szCs w:val="18"/>
                <w:highlight w:val="yellow"/>
              </w:rPr>
            </w:pPr>
            <w:r>
              <w:rPr>
                <w:rFonts w:ascii="Arial" w:hAnsi="Arial" w:cs="Arial"/>
                <w:sz w:val="18"/>
                <w:szCs w:val="18"/>
                <w:highlight w:val="yellow"/>
              </w:rPr>
              <w:t>Beispiel für Berichtsjahr 2018:</w:t>
            </w:r>
          </w:p>
          <w:p w14:paraId="1BB2532A" w14:textId="77777777" w:rsidR="00CC5892" w:rsidRPr="00CB3EE6" w:rsidRDefault="00CC5892" w:rsidP="00CB3EE6">
            <w:pPr>
              <w:pStyle w:val="Listenabsatz"/>
              <w:numPr>
                <w:ilvl w:val="1"/>
                <w:numId w:val="17"/>
              </w:numPr>
              <w:ind w:left="197" w:hanging="197"/>
              <w:jc w:val="both"/>
              <w:rPr>
                <w:rFonts w:cs="Arial"/>
                <w:sz w:val="18"/>
                <w:szCs w:val="18"/>
                <w:highlight w:val="yellow"/>
              </w:rPr>
            </w:pPr>
            <w:r w:rsidRPr="00CB3EE6">
              <w:rPr>
                <w:rFonts w:cs="Arial"/>
                <w:sz w:val="18"/>
                <w:szCs w:val="18"/>
                <w:highlight w:val="yellow"/>
              </w:rPr>
              <w:t>Anlageberat</w:t>
            </w:r>
            <w:r w:rsidRPr="00CC5892">
              <w:rPr>
                <w:rFonts w:cs="Arial"/>
                <w:sz w:val="18"/>
                <w:szCs w:val="18"/>
                <w:highlight w:val="yellow"/>
              </w:rPr>
              <w:t>ung</w:t>
            </w:r>
            <w:r>
              <w:rPr>
                <w:rFonts w:cs="Arial"/>
                <w:sz w:val="18"/>
                <w:szCs w:val="18"/>
                <w:highlight w:val="yellow"/>
              </w:rPr>
              <w:t xml:space="preserve"> (Detailprüfung)</w:t>
            </w:r>
          </w:p>
          <w:p w14:paraId="232D267C" w14:textId="77777777" w:rsidR="00CC5892" w:rsidRPr="00CB3EE6" w:rsidRDefault="00CC5892" w:rsidP="00CB3EE6">
            <w:pPr>
              <w:pStyle w:val="Listenabsatz"/>
              <w:numPr>
                <w:ilvl w:val="1"/>
                <w:numId w:val="17"/>
              </w:numPr>
              <w:ind w:left="197" w:hanging="197"/>
              <w:jc w:val="both"/>
              <w:rPr>
                <w:rFonts w:cs="Arial"/>
                <w:sz w:val="18"/>
                <w:szCs w:val="18"/>
                <w:highlight w:val="yellow"/>
              </w:rPr>
            </w:pPr>
            <w:r w:rsidRPr="00CB3EE6">
              <w:rPr>
                <w:rFonts w:cs="Arial"/>
                <w:sz w:val="18"/>
                <w:szCs w:val="18"/>
                <w:highlight w:val="yellow"/>
              </w:rPr>
              <w:t>Zuwendungen (Kritische Beurteilung)</w:t>
            </w:r>
          </w:p>
          <w:p w14:paraId="162A2DAE" w14:textId="77777777" w:rsidR="00067398" w:rsidRPr="00CB3EE6" w:rsidRDefault="00067398" w:rsidP="00CB3EE6">
            <w:pPr>
              <w:pStyle w:val="Listenabsatz"/>
              <w:numPr>
                <w:ilvl w:val="1"/>
                <w:numId w:val="17"/>
              </w:numPr>
              <w:ind w:left="197" w:hanging="197"/>
              <w:jc w:val="both"/>
              <w:rPr>
                <w:rFonts w:cs="Arial"/>
                <w:sz w:val="18"/>
                <w:szCs w:val="18"/>
              </w:rPr>
            </w:pPr>
            <w:r w:rsidRPr="00CB3EE6">
              <w:rPr>
                <w:rFonts w:cs="Arial"/>
                <w:sz w:val="18"/>
                <w:szCs w:val="18"/>
                <w:highlight w:val="yellow"/>
              </w:rPr>
              <w:t>Cross-Selling (Kritische Beurteilung)</w:t>
            </w:r>
          </w:p>
        </w:tc>
        <w:tc>
          <w:tcPr>
            <w:tcW w:w="3827" w:type="dxa"/>
          </w:tcPr>
          <w:p w14:paraId="6B271C63" w14:textId="77777777" w:rsidR="00CC5892" w:rsidRPr="00B037A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Beispiel:</w:t>
            </w:r>
          </w:p>
          <w:p w14:paraId="5678FA4C" w14:textId="77777777" w:rsidR="00CC5892" w:rsidRPr="00CB3EE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2013: Bestmögliche Ausführung von Kundenaufträgen (Detailprüfung)</w:t>
            </w:r>
          </w:p>
          <w:p w14:paraId="7A272B05" w14:textId="77777777" w:rsidR="00CC5892" w:rsidRPr="00CB3EE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2014: Eignung und Angemessenheit (Detailprüfung)</w:t>
            </w:r>
          </w:p>
          <w:p w14:paraId="4BAA50DB" w14:textId="77777777" w:rsidR="00CC5892" w:rsidRPr="00CB3EE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2015: Dokumentations- und Informationspflichten (Kritische Beurteilung)</w:t>
            </w:r>
          </w:p>
          <w:p w14:paraId="5FECCD14" w14:textId="77777777" w:rsidR="00CC5892" w:rsidRPr="00CB3EE6" w:rsidRDefault="00CC5892" w:rsidP="008C7535">
            <w:pPr>
              <w:jc w:val="both"/>
              <w:rPr>
                <w:rFonts w:ascii="Arial" w:hAnsi="Arial" w:cs="Arial"/>
                <w:i/>
                <w:sz w:val="18"/>
                <w:szCs w:val="18"/>
                <w:highlight w:val="yellow"/>
              </w:rPr>
            </w:pPr>
            <w:r w:rsidRPr="00CB3EE6">
              <w:rPr>
                <w:rFonts w:ascii="Arial" w:hAnsi="Arial" w:cs="Arial"/>
                <w:i/>
                <w:sz w:val="18"/>
                <w:szCs w:val="18"/>
                <w:highlight w:val="yellow"/>
              </w:rPr>
              <w:t xml:space="preserve">2016: </w:t>
            </w:r>
            <w:r w:rsidR="00067398" w:rsidRPr="00CB3EE6">
              <w:rPr>
                <w:rFonts w:ascii="Arial" w:hAnsi="Arial" w:cs="Arial"/>
                <w:i/>
                <w:sz w:val="18"/>
                <w:szCs w:val="18"/>
                <w:highlight w:val="yellow"/>
              </w:rPr>
              <w:t>Produktgenehmigungs-</w:t>
            </w:r>
            <w:r w:rsidRPr="00CB3EE6">
              <w:rPr>
                <w:rFonts w:ascii="Arial" w:hAnsi="Arial" w:cs="Arial"/>
                <w:i/>
                <w:sz w:val="18"/>
                <w:szCs w:val="18"/>
                <w:highlight w:val="yellow"/>
              </w:rPr>
              <w:t xml:space="preserve"> und </w:t>
            </w:r>
            <w:r w:rsidR="00067398" w:rsidRPr="00CB3EE6">
              <w:rPr>
                <w:rFonts w:ascii="Arial" w:hAnsi="Arial" w:cs="Arial"/>
                <w:i/>
                <w:sz w:val="18"/>
                <w:szCs w:val="18"/>
                <w:highlight w:val="yellow"/>
              </w:rPr>
              <w:t>Überwachungsverfahren (Detailprüfung)</w:t>
            </w:r>
          </w:p>
          <w:p w14:paraId="1A846B35" w14:textId="616CAB6E" w:rsidR="00067398" w:rsidRPr="00B037A6" w:rsidRDefault="00067398" w:rsidP="00067398">
            <w:pPr>
              <w:jc w:val="both"/>
              <w:rPr>
                <w:rFonts w:ascii="Arial" w:hAnsi="Arial" w:cs="Arial"/>
                <w:i/>
                <w:sz w:val="18"/>
                <w:szCs w:val="18"/>
                <w:highlight w:val="yellow"/>
              </w:rPr>
            </w:pPr>
            <w:r w:rsidRPr="00CB3EE6">
              <w:rPr>
                <w:rFonts w:ascii="Arial" w:hAnsi="Arial" w:cs="Arial"/>
                <w:i/>
                <w:sz w:val="18"/>
                <w:szCs w:val="18"/>
                <w:highlight w:val="yellow"/>
              </w:rPr>
              <w:t xml:space="preserve">2017: Systematischer </w:t>
            </w:r>
            <w:r w:rsidR="00296DCC" w:rsidRPr="00B037A6">
              <w:rPr>
                <w:rFonts w:ascii="Arial" w:hAnsi="Arial" w:cs="Arial"/>
                <w:i/>
                <w:sz w:val="18"/>
                <w:szCs w:val="18"/>
                <w:highlight w:val="yellow"/>
              </w:rPr>
              <w:t xml:space="preserve"> Internalisierer</w:t>
            </w:r>
            <w:r w:rsidRPr="00CB3EE6">
              <w:rPr>
                <w:rFonts w:ascii="Arial" w:hAnsi="Arial" w:cs="Arial"/>
                <w:i/>
                <w:sz w:val="18"/>
                <w:szCs w:val="18"/>
                <w:highlight w:val="yellow"/>
              </w:rPr>
              <w:t xml:space="preserve"> (Kritische Beurteilung)</w:t>
            </w:r>
            <w:r w:rsidR="0029354E">
              <w:rPr>
                <w:rFonts w:ascii="Arial" w:hAnsi="Arial" w:cs="Arial"/>
                <w:i/>
                <w:sz w:val="18"/>
                <w:szCs w:val="18"/>
                <w:highlight w:val="yellow"/>
              </w:rPr>
              <w:t xml:space="preserve"> &amp; Schutz des Kundenvermögens (Detailprüfung)</w:t>
            </w:r>
          </w:p>
        </w:tc>
      </w:tr>
      <w:tr w:rsidR="00CC5892" w:rsidRPr="009872F3" w14:paraId="7D56399A" w14:textId="77777777" w:rsidTr="00093B3E">
        <w:trPr>
          <w:trHeight w:val="133"/>
        </w:trPr>
        <w:tc>
          <w:tcPr>
            <w:tcW w:w="9740" w:type="dxa"/>
            <w:gridSpan w:val="4"/>
          </w:tcPr>
          <w:p w14:paraId="6FA08471" w14:textId="77777777" w:rsidR="00CC5892" w:rsidRDefault="00CC5892" w:rsidP="008C7535">
            <w:pPr>
              <w:jc w:val="both"/>
              <w:rPr>
                <w:rFonts w:ascii="Arial" w:hAnsi="Arial" w:cs="Arial"/>
                <w:sz w:val="18"/>
                <w:szCs w:val="18"/>
              </w:rPr>
            </w:pPr>
          </w:p>
          <w:p w14:paraId="7C05E20D" w14:textId="77777777" w:rsidR="00CC5892" w:rsidRPr="00F60909" w:rsidRDefault="00CC5892" w:rsidP="008C7535">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8BE086F" w14:textId="2620FAE6" w:rsidR="00CC5892" w:rsidRPr="009872F3" w:rsidRDefault="00CC5892" w:rsidP="008C7535">
            <w:pPr>
              <w:jc w:val="both"/>
              <w:rPr>
                <w:rFonts w:ascii="Arial" w:hAnsi="Arial" w:cs="Arial"/>
                <w:sz w:val="18"/>
                <w:szCs w:val="18"/>
              </w:rPr>
            </w:pPr>
            <w:r w:rsidRPr="00CB3EE6">
              <w:rPr>
                <w:rFonts w:ascii="Arial" w:hAnsi="Arial" w:cs="Arial"/>
                <w:sz w:val="18"/>
                <w:szCs w:val="18"/>
                <w:highlight w:val="yellow"/>
              </w:rPr>
              <w:t xml:space="preserve">Art. 8a ff. BankG; Anhang 1 BankG; Anhang 2 BankG; </w:t>
            </w:r>
            <w:r w:rsidR="00FB092F">
              <w:rPr>
                <w:rFonts w:ascii="Arial" w:hAnsi="Arial" w:cs="Arial"/>
                <w:sz w:val="18"/>
                <w:szCs w:val="18"/>
                <w:highlight w:val="yellow"/>
              </w:rPr>
              <w:t>Art. 25 Abs. 4 BankV</w:t>
            </w:r>
            <w:r w:rsidR="00646418">
              <w:rPr>
                <w:rFonts w:ascii="Arial" w:hAnsi="Arial" w:cs="Arial"/>
                <w:sz w:val="18"/>
                <w:szCs w:val="18"/>
                <w:highlight w:val="yellow"/>
              </w:rPr>
              <w:t>;</w:t>
            </w:r>
            <w:r w:rsidR="00FB092F">
              <w:rPr>
                <w:rFonts w:ascii="Arial" w:hAnsi="Arial" w:cs="Arial"/>
                <w:sz w:val="18"/>
                <w:szCs w:val="18"/>
                <w:highlight w:val="yellow"/>
              </w:rPr>
              <w:t xml:space="preserve"> </w:t>
            </w:r>
            <w:r w:rsidR="00646418">
              <w:rPr>
                <w:rFonts w:ascii="Arial" w:hAnsi="Arial" w:cs="Arial"/>
                <w:sz w:val="18"/>
                <w:szCs w:val="18"/>
                <w:highlight w:val="yellow"/>
              </w:rPr>
              <w:t xml:space="preserve">Art. 27b BankV; </w:t>
            </w:r>
            <w:r w:rsidRPr="00CB3EE6">
              <w:rPr>
                <w:rFonts w:ascii="Arial" w:hAnsi="Arial" w:cs="Arial"/>
                <w:sz w:val="18"/>
                <w:szCs w:val="18"/>
                <w:highlight w:val="yellow"/>
              </w:rPr>
              <w:t>Anhang 7.1 BankV</w:t>
            </w:r>
            <w:r w:rsidR="00DA5A61">
              <w:rPr>
                <w:rFonts w:ascii="Arial" w:hAnsi="Arial" w:cs="Arial"/>
                <w:sz w:val="18"/>
                <w:szCs w:val="18"/>
                <w:highlight w:val="yellow"/>
              </w:rPr>
              <w:t>;</w:t>
            </w:r>
            <w:r w:rsidRPr="00CB3EE6">
              <w:rPr>
                <w:rFonts w:ascii="Arial" w:hAnsi="Arial" w:cs="Arial"/>
                <w:sz w:val="18"/>
                <w:szCs w:val="18"/>
                <w:highlight w:val="yellow"/>
              </w:rPr>
              <w:t xml:space="preserve"> FMA-Wegleitung 2018/8</w:t>
            </w:r>
            <w:r w:rsidR="00812236">
              <w:rPr>
                <w:rFonts w:ascii="Arial" w:hAnsi="Arial" w:cs="Arial"/>
                <w:sz w:val="18"/>
                <w:szCs w:val="18"/>
                <w:highlight w:val="yellow"/>
              </w:rPr>
              <w:t>; ESMA-35-43-3006 (Leitlinie)</w:t>
            </w:r>
          </w:p>
        </w:tc>
      </w:tr>
      <w:tr w:rsidR="00CC5892" w:rsidRPr="009872F3" w14:paraId="7C6FCD10" w14:textId="77777777" w:rsidTr="00CB3EE6">
        <w:trPr>
          <w:trHeight w:val="294"/>
        </w:trPr>
        <w:tc>
          <w:tcPr>
            <w:tcW w:w="3775" w:type="dxa"/>
            <w:gridSpan w:val="2"/>
          </w:tcPr>
          <w:p w14:paraId="6FECBA62" w14:textId="77777777" w:rsidR="00CC5892" w:rsidRPr="009872F3" w:rsidRDefault="00CC5892" w:rsidP="008C7535">
            <w:pPr>
              <w:jc w:val="both"/>
              <w:rPr>
                <w:rFonts w:ascii="Arial" w:hAnsi="Arial" w:cs="Arial"/>
                <w:sz w:val="18"/>
                <w:szCs w:val="18"/>
              </w:rPr>
            </w:pPr>
          </w:p>
        </w:tc>
        <w:tc>
          <w:tcPr>
            <w:tcW w:w="5965" w:type="dxa"/>
            <w:gridSpan w:val="2"/>
          </w:tcPr>
          <w:p w14:paraId="67B7421A" w14:textId="77777777" w:rsidR="00CC5892" w:rsidRPr="009872F3" w:rsidRDefault="00CC5892" w:rsidP="008C7535">
            <w:pPr>
              <w:jc w:val="both"/>
              <w:rPr>
                <w:rFonts w:ascii="Arial" w:hAnsi="Arial" w:cs="Arial"/>
                <w:sz w:val="18"/>
                <w:szCs w:val="18"/>
              </w:rPr>
            </w:pPr>
          </w:p>
        </w:tc>
      </w:tr>
      <w:tr w:rsidR="004B12AF" w:rsidRPr="009872F3" w14:paraId="1700574D" w14:textId="77777777" w:rsidTr="00CB3EE6">
        <w:tc>
          <w:tcPr>
            <w:tcW w:w="5913" w:type="dxa"/>
            <w:gridSpan w:val="3"/>
          </w:tcPr>
          <w:p w14:paraId="681AD50C" w14:textId="77777777" w:rsidR="004B12AF" w:rsidRPr="00CB3EE6" w:rsidRDefault="00130556" w:rsidP="00130556">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686C1F79" w14:textId="77777777" w:rsidR="004B12AF" w:rsidRPr="00C3479D" w:rsidRDefault="004B12AF"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4B12AF" w:rsidRPr="009872F3" w14:paraId="02DC47E5" w14:textId="77777777" w:rsidTr="00093B3E">
        <w:tc>
          <w:tcPr>
            <w:tcW w:w="5913" w:type="dxa"/>
            <w:gridSpan w:val="3"/>
          </w:tcPr>
          <w:p w14:paraId="0321DF7F" w14:textId="77777777" w:rsidR="004B12AF" w:rsidRPr="009872F3" w:rsidRDefault="00130556" w:rsidP="008C7535">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587B94B" w14:textId="77777777" w:rsidR="004B12AF" w:rsidRPr="00E109DF" w:rsidRDefault="004B12AF" w:rsidP="008C7535">
            <w:pPr>
              <w:jc w:val="both"/>
              <w:rPr>
                <w:rFonts w:ascii="Arial" w:hAnsi="Arial" w:cs="Arial"/>
                <w:i/>
                <w:sz w:val="18"/>
                <w:szCs w:val="18"/>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4B12AF" w:rsidRPr="009872F3" w14:paraId="43CD701D" w14:textId="77777777" w:rsidTr="00093B3E">
        <w:tc>
          <w:tcPr>
            <w:tcW w:w="5913" w:type="dxa"/>
            <w:gridSpan w:val="3"/>
          </w:tcPr>
          <w:p w14:paraId="57BED7E8" w14:textId="77777777" w:rsidR="004B12AF" w:rsidRDefault="00130556" w:rsidP="008C7535">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F6DD692" w14:textId="77777777" w:rsidR="004B12AF" w:rsidRPr="00E109DF" w:rsidRDefault="004B12AF" w:rsidP="008C7535">
            <w:pPr>
              <w:jc w:val="both"/>
              <w:rPr>
                <w:rFonts w:ascii="Arial" w:hAnsi="Arial" w:cs="Arial"/>
                <w:i/>
                <w:sz w:val="18"/>
                <w:szCs w:val="18"/>
                <w:highlight w:val="yellow"/>
              </w:rPr>
            </w:pPr>
            <w:r w:rsidRPr="00C3479D">
              <w:rPr>
                <w:rFonts w:ascii="Arial" w:hAnsi="Arial" w:cs="Arial"/>
                <w:i/>
                <w:sz w:val="18"/>
                <w:szCs w:val="18"/>
                <w:highlight w:val="yellow"/>
              </w:rPr>
              <w:t>Ja (</w:t>
            </w:r>
            <w:r w:rsidR="0071465F">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3B52D08B" w14:textId="77777777" w:rsidR="001B7BDD" w:rsidRDefault="001B7BDD" w:rsidP="00CB3EE6">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130556" w:rsidRPr="00CE3194" w14:paraId="3A8E6520" w14:textId="77777777" w:rsidTr="00CB3EE6">
        <w:tc>
          <w:tcPr>
            <w:tcW w:w="1668" w:type="dxa"/>
          </w:tcPr>
          <w:p w14:paraId="73172D53" w14:textId="77777777" w:rsidR="00130556" w:rsidRPr="00CE3194" w:rsidRDefault="00130556" w:rsidP="008C7535">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5B32B845" w14:textId="77777777" w:rsidR="00130556" w:rsidRPr="00CE3194" w:rsidRDefault="00130556" w:rsidP="008C7535">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43D4174B" w14:textId="77777777" w:rsidR="00130556" w:rsidRDefault="00130556" w:rsidP="008C7535">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130556" w:rsidRPr="00CE3194" w14:paraId="1374F5B2" w14:textId="77777777" w:rsidTr="00CB3EE6">
        <w:tc>
          <w:tcPr>
            <w:tcW w:w="1668" w:type="dxa"/>
          </w:tcPr>
          <w:p w14:paraId="03CA3E0B" w14:textId="77777777"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Anlageberatung</w:t>
            </w:r>
          </w:p>
        </w:tc>
        <w:tc>
          <w:tcPr>
            <w:tcW w:w="5313" w:type="dxa"/>
          </w:tcPr>
          <w:p w14:paraId="00BACF11" w14:textId="77777777" w:rsidR="00130556" w:rsidRPr="005905B2" w:rsidRDefault="00130556" w:rsidP="00CB3EE6">
            <w:pPr>
              <w:pStyle w:val="Listenabsatz"/>
              <w:ind w:left="50"/>
              <w:jc w:val="both"/>
              <w:rPr>
                <w:rFonts w:cs="Arial"/>
                <w:i/>
                <w:szCs w:val="20"/>
                <w:highlight w:val="lightGray"/>
              </w:rPr>
            </w:pPr>
            <w:r w:rsidRPr="005905B2">
              <w:rPr>
                <w:rFonts w:cs="Arial"/>
                <w:i/>
                <w:szCs w:val="20"/>
                <w:highlight w:val="lightGray"/>
              </w:rPr>
              <w:t xml:space="preserve">Die internen Verfahren stellen Folgendes sicher: </w:t>
            </w:r>
          </w:p>
          <w:p w14:paraId="19A672F4"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Rechtzeitige Aufklärung der Kunden (ex post/ ex ante) über die Erbringung der Anlageberatung</w:t>
            </w:r>
          </w:p>
          <w:p w14:paraId="2194C1D3"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Erfüllung der Kriterien der unabhängigen Anlageberatung</w:t>
            </w:r>
          </w:p>
          <w:p w14:paraId="62DC900F"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Angemessene organisatorische Anforderungen (insbesondere bei der gleichzeitigen Erbringung von unabhängiger und nicht-unabhängiger Anlageberatung)</w:t>
            </w:r>
          </w:p>
        </w:tc>
        <w:tc>
          <w:tcPr>
            <w:tcW w:w="2759" w:type="dxa"/>
          </w:tcPr>
          <w:p w14:paraId="428F6DD2" w14:textId="77777777" w:rsidR="00130556" w:rsidRPr="000C756C" w:rsidRDefault="005905B2">
            <w:pPr>
              <w:pStyle w:val="Listenabsatz"/>
              <w:ind w:left="50"/>
              <w:jc w:val="both"/>
              <w:rPr>
                <w:rFonts w:cs="Arial"/>
                <w:i/>
                <w:szCs w:val="20"/>
                <w:highlight w:val="lightGray"/>
              </w:rPr>
            </w:pPr>
            <w:r w:rsidRPr="000C756C">
              <w:rPr>
                <w:rFonts w:cs="Arial"/>
                <w:i/>
                <w:szCs w:val="20"/>
                <w:highlight w:val="lightGray"/>
              </w:rPr>
              <w:t>Bestätigung, dass die internen Verfahren sicherstellen, dass die</w:t>
            </w:r>
            <w:r>
              <w:rPr>
                <w:rFonts w:cs="Arial"/>
                <w:i/>
                <w:szCs w:val="20"/>
                <w:highlight w:val="lightGray"/>
              </w:rPr>
              <w:t xml:space="preserve"> gesetzlichen Bestimmungen</w:t>
            </w:r>
            <w:r w:rsidRPr="000C756C">
              <w:rPr>
                <w:rFonts w:cs="Arial"/>
                <w:i/>
                <w:szCs w:val="20"/>
                <w:highlight w:val="lightGray"/>
              </w:rPr>
              <w:t xml:space="preserve"> für die Anlageberatung eingehalten werden</w:t>
            </w:r>
            <w:r w:rsidRPr="000C756C" w:rsidDel="005905B2">
              <w:rPr>
                <w:rFonts w:cs="Arial"/>
                <w:i/>
                <w:szCs w:val="20"/>
                <w:highlight w:val="lightGray"/>
              </w:rPr>
              <w:t xml:space="preserve"> </w:t>
            </w:r>
          </w:p>
        </w:tc>
      </w:tr>
      <w:tr w:rsidR="00130556" w:rsidRPr="00CE3194" w14:paraId="3838E445" w14:textId="77777777" w:rsidTr="00CB3EE6">
        <w:tc>
          <w:tcPr>
            <w:tcW w:w="1668" w:type="dxa"/>
          </w:tcPr>
          <w:p w14:paraId="0902706E" w14:textId="77777777"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Bestmögliche Ausführung von Kundenaufträgen</w:t>
            </w:r>
          </w:p>
        </w:tc>
        <w:tc>
          <w:tcPr>
            <w:tcW w:w="5313" w:type="dxa"/>
          </w:tcPr>
          <w:p w14:paraId="3D9FD95E" w14:textId="166EA7F0" w:rsidR="00130556" w:rsidRPr="005905B2" w:rsidRDefault="006179DA" w:rsidP="00CB3EE6">
            <w:pPr>
              <w:pStyle w:val="Listenabsatz"/>
              <w:numPr>
                <w:ilvl w:val="1"/>
                <w:numId w:val="17"/>
              </w:numPr>
              <w:ind w:left="317" w:hanging="283"/>
              <w:jc w:val="both"/>
              <w:rPr>
                <w:rFonts w:cs="Arial"/>
                <w:i/>
                <w:szCs w:val="20"/>
                <w:highlight w:val="lightGray"/>
              </w:rPr>
            </w:pPr>
            <w:r>
              <w:rPr>
                <w:rFonts w:cs="Arial"/>
                <w:i/>
                <w:szCs w:val="20"/>
                <w:highlight w:val="lightGray"/>
              </w:rPr>
              <w:t xml:space="preserve">Bank/Wertpapierfirma bzw. </w:t>
            </w:r>
            <w:r w:rsidRPr="00CE3194">
              <w:rPr>
                <w:rFonts w:cs="Arial"/>
                <w:i/>
                <w:szCs w:val="20"/>
                <w:highlight w:val="lightGray"/>
              </w:rPr>
              <w:t>d</w:t>
            </w:r>
            <w:r>
              <w:rPr>
                <w:rFonts w:cs="Arial"/>
                <w:i/>
                <w:szCs w:val="20"/>
                <w:highlight w:val="lightGray"/>
              </w:rPr>
              <w:t xml:space="preserve">ie </w:t>
            </w:r>
            <w:r w:rsidRPr="00CE3194">
              <w:rPr>
                <w:rFonts w:cs="Arial"/>
                <w:i/>
                <w:szCs w:val="20"/>
                <w:highlight w:val="lightGray"/>
              </w:rPr>
              <w:t>Gruppe</w:t>
            </w:r>
            <w:r w:rsidRPr="005905B2" w:rsidDel="006179DA">
              <w:rPr>
                <w:rFonts w:cs="Arial"/>
                <w:i/>
                <w:szCs w:val="20"/>
                <w:highlight w:val="lightGray"/>
              </w:rPr>
              <w:t xml:space="preserve"> </w:t>
            </w:r>
            <w:r w:rsidR="00130556" w:rsidRPr="005905B2">
              <w:rPr>
                <w:rFonts w:cs="Arial"/>
                <w:i/>
                <w:szCs w:val="20"/>
                <w:highlight w:val="lightGray"/>
              </w:rPr>
              <w:t>verfügt über eine Best Execution Policy, die regelt wie Kundenaufträge im bestmöglichen Interesse des Kunden ausgeführt werden und erfüllt dabei die notwendigen Voraussetzungen</w:t>
            </w:r>
          </w:p>
          <w:p w14:paraId="3862C7D6"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die Kundeninformation über die Ausführungsgrundsätze übermittelt und die Zustimmung der Kunden vor der Erbringung von Dienstleistungen eingeholt wird</w:t>
            </w:r>
          </w:p>
          <w:p w14:paraId="40992AAB"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die jährliche Informationspflicht zu den Ausführungsplätzen und zur Ausführungsqualität erfüllt wird</w:t>
            </w:r>
          </w:p>
          <w:p w14:paraId="4F06B85D"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die Best Execution Policy einem regelmässigen Review-Prozess (mindestens jährlich) unterzogen wird</w:t>
            </w:r>
          </w:p>
        </w:tc>
        <w:tc>
          <w:tcPr>
            <w:tcW w:w="2759" w:type="dxa"/>
          </w:tcPr>
          <w:p w14:paraId="4FDBA43F" w14:textId="77777777" w:rsidR="00130556" w:rsidRPr="000C756C" w:rsidRDefault="005905B2" w:rsidP="00494050">
            <w:pPr>
              <w:pStyle w:val="Listenabsatz"/>
              <w:ind w:left="50"/>
              <w:jc w:val="both"/>
              <w:rPr>
                <w:rFonts w:cs="Arial"/>
                <w:i/>
                <w:szCs w:val="20"/>
                <w:highlight w:val="lightGray"/>
              </w:rPr>
            </w:pPr>
            <w:r w:rsidRPr="000C756C">
              <w:rPr>
                <w:rFonts w:cs="Arial"/>
                <w:i/>
                <w:szCs w:val="20"/>
                <w:highlight w:val="lightGray"/>
              </w:rPr>
              <w:t>Bestätigung, dass die internen Verfahren sicherstellen, dass die</w:t>
            </w:r>
            <w:r>
              <w:rPr>
                <w:rFonts w:cs="Arial"/>
                <w:i/>
                <w:szCs w:val="20"/>
                <w:highlight w:val="lightGray"/>
              </w:rPr>
              <w:t xml:space="preserve"> gesetzlichen Bestimmungen</w:t>
            </w:r>
            <w:r w:rsidRPr="000C756C">
              <w:rPr>
                <w:rFonts w:cs="Arial"/>
                <w:i/>
                <w:szCs w:val="20"/>
                <w:highlight w:val="lightGray"/>
              </w:rPr>
              <w:t xml:space="preserve"> für die bestmögliche Ausführung von Geschäften eingehalten werden</w:t>
            </w:r>
          </w:p>
        </w:tc>
      </w:tr>
      <w:tr w:rsidR="00130556" w:rsidRPr="00CE3194" w14:paraId="42597206" w14:textId="77777777" w:rsidTr="00CB3EE6">
        <w:tc>
          <w:tcPr>
            <w:tcW w:w="1668" w:type="dxa"/>
          </w:tcPr>
          <w:p w14:paraId="799A0DAB" w14:textId="77777777"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Eignung und Angemessenheit</w:t>
            </w:r>
          </w:p>
        </w:tc>
        <w:tc>
          <w:tcPr>
            <w:tcW w:w="5313" w:type="dxa"/>
          </w:tcPr>
          <w:p w14:paraId="260B5AD3"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 xml:space="preserve">Die internen Verfahren stellen eine angemessene Geeignetheitsprüfung entsprechend der jeweiligen Kundenklassifizierung und den speziellen Anforderungen an die Anlageberatung und Portfolioverwaltung </w:t>
            </w:r>
            <w:r w:rsidRPr="005905B2">
              <w:rPr>
                <w:rFonts w:cs="Arial"/>
                <w:i/>
                <w:szCs w:val="20"/>
                <w:highlight w:val="lightGray"/>
              </w:rPr>
              <w:lastRenderedPageBreak/>
              <w:t>(inkludiert ist auch die ganz oder teilweise über ein voll- oder halbautomatisches System angebotene Dienstleistung („Robo-advice“)) sicher</w:t>
            </w:r>
          </w:p>
          <w:p w14:paraId="1CA81451"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gewährleisten im Falle anderer MiFID II-Services als Anlageberatung und/oder Portfolioverwaltung die adäquate Durchführung von Angemessenheitsprüfungen</w:t>
            </w:r>
          </w:p>
          <w:p w14:paraId="77201BB9"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eine Einholung sämtlicher Kundeninformationen für die Durchführung der Geeignetheitsprüfung- und Angemessenheitsprüfung sicher</w:t>
            </w:r>
          </w:p>
          <w:p w14:paraId="25D4802B"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die Dokumentation der Geeignetheits- und Angemessenheitsprüfung sicher</w:t>
            </w:r>
          </w:p>
          <w:p w14:paraId="6445C41E"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regelmässige Eignungsberichte gegenüber dem Kunden erstellt werden</w:t>
            </w:r>
          </w:p>
          <w:p w14:paraId="63818C36"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 xml:space="preserve"> Die internen Verfahren stellen sicher, dass Geeignetheitserklärungen vor einer möglichen Transaktion auf einem dauerhaften Datenträger dem Kleinanleger zu Verfügung gestellt werden</w:t>
            </w:r>
          </w:p>
          <w:p w14:paraId="7BECE13C"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einen Warn- und Dokumentationsprozess für den Fall unangemessener Dienstleistungen und Finanzinstrumente oder Nicht-Durchführbarkeit der Angemessenheits- und Eignungsprüfung (S&amp;A-Testings) aufgrund fehlender/mangelnder Informationen sicher</w:t>
            </w:r>
          </w:p>
        </w:tc>
        <w:tc>
          <w:tcPr>
            <w:tcW w:w="2759" w:type="dxa"/>
          </w:tcPr>
          <w:p w14:paraId="4989B109" w14:textId="77777777" w:rsidR="00130556" w:rsidRPr="000C756C" w:rsidRDefault="005905B2" w:rsidP="00494050">
            <w:pPr>
              <w:pStyle w:val="Listenabsatz"/>
              <w:ind w:left="50"/>
              <w:jc w:val="both"/>
              <w:rPr>
                <w:rFonts w:cs="Arial"/>
                <w:i/>
                <w:szCs w:val="20"/>
                <w:highlight w:val="lightGray"/>
              </w:rPr>
            </w:pPr>
            <w:r w:rsidRPr="000C756C">
              <w:rPr>
                <w:rFonts w:cs="Arial"/>
                <w:i/>
                <w:szCs w:val="20"/>
                <w:highlight w:val="lightGray"/>
              </w:rPr>
              <w:lastRenderedPageBreak/>
              <w:t>Bestätigung, dass die internen Verfahren sicherstellen, dass die</w:t>
            </w:r>
            <w:r>
              <w:rPr>
                <w:rFonts w:cs="Arial"/>
                <w:i/>
                <w:szCs w:val="20"/>
                <w:highlight w:val="lightGray"/>
              </w:rPr>
              <w:t xml:space="preserve"> gesetzlichen Bestimmungen</w:t>
            </w:r>
            <w:r w:rsidRPr="000C756C">
              <w:rPr>
                <w:rFonts w:cs="Arial"/>
                <w:i/>
                <w:szCs w:val="20"/>
                <w:highlight w:val="lightGray"/>
              </w:rPr>
              <w:t xml:space="preserve"> für die Eignung- </w:t>
            </w:r>
            <w:r w:rsidRPr="000C756C">
              <w:rPr>
                <w:rFonts w:cs="Arial"/>
                <w:i/>
                <w:szCs w:val="20"/>
                <w:highlight w:val="lightGray"/>
              </w:rPr>
              <w:lastRenderedPageBreak/>
              <w:t>und Angemessenheitsprüfung eingehalten werden</w:t>
            </w:r>
          </w:p>
        </w:tc>
      </w:tr>
      <w:tr w:rsidR="00130556" w:rsidRPr="00CE3194" w14:paraId="5AEE2DAD" w14:textId="77777777" w:rsidTr="00CB3EE6">
        <w:tc>
          <w:tcPr>
            <w:tcW w:w="1668" w:type="dxa"/>
          </w:tcPr>
          <w:p w14:paraId="7C781C27" w14:textId="77777777"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lastRenderedPageBreak/>
              <w:t>Dokumentations- und Informationspflichten</w:t>
            </w:r>
          </w:p>
        </w:tc>
        <w:tc>
          <w:tcPr>
            <w:tcW w:w="5313" w:type="dxa"/>
          </w:tcPr>
          <w:p w14:paraId="26DD0B6A"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gewährleisten, dass die Kunden vor der Erbringung von MiFID II-Services bzw. vor Vertragsbindung die relevanten Informationen auf einem dauerhaften Datenträger erhalten</w:t>
            </w:r>
          </w:p>
          <w:p w14:paraId="090BB61B"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eine angemessene und vollständige Offenlegung der tatsächlichen Kosten ex ante und ex post u.a. unter Berücksichtigung von Spezialfällen sicher</w:t>
            </w:r>
          </w:p>
          <w:p w14:paraId="2155E00F"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die Auswirkungen sämtlicher Kosten und Gebühren auf die Rendite angemessen veranschaulicht werden</w:t>
            </w:r>
          </w:p>
          <w:p w14:paraId="76816667"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Folgendes sicher: Rechtzeitige und vollständige Übermittlung des Ausführungsreports, des Vermögensverwaltungsreports, des Reports über die gehaltenen Finanzinstrumente und des Verlustschwellenreportings.</w:t>
            </w:r>
          </w:p>
        </w:tc>
        <w:tc>
          <w:tcPr>
            <w:tcW w:w="2759" w:type="dxa"/>
          </w:tcPr>
          <w:p w14:paraId="5D427E25" w14:textId="77777777" w:rsidR="00130556" w:rsidRPr="000C756C" w:rsidRDefault="005905B2" w:rsidP="00494050">
            <w:pPr>
              <w:pStyle w:val="Listenabsatz"/>
              <w:ind w:left="50"/>
              <w:jc w:val="both"/>
              <w:rPr>
                <w:rFonts w:cs="Arial"/>
                <w:i/>
                <w:szCs w:val="20"/>
                <w:highlight w:val="lightGray"/>
              </w:rPr>
            </w:pPr>
            <w:r w:rsidRPr="008C068B">
              <w:rPr>
                <w:rFonts w:cs="Arial"/>
                <w:i/>
                <w:szCs w:val="20"/>
                <w:highlight w:val="lightGray"/>
              </w:rPr>
              <w:t>Bestätigung, dass die internen Verfahren sicherstellen, dass die gesetz</w:t>
            </w:r>
            <w:r>
              <w:rPr>
                <w:rFonts w:cs="Arial"/>
                <w:i/>
                <w:szCs w:val="20"/>
                <w:highlight w:val="lightGray"/>
              </w:rPr>
              <w:t>lichen Bestimmungen</w:t>
            </w:r>
            <w:r w:rsidRPr="008C068B">
              <w:rPr>
                <w:rFonts w:cs="Arial"/>
                <w:i/>
                <w:szCs w:val="20"/>
                <w:highlight w:val="lightGray"/>
              </w:rPr>
              <w:t xml:space="preserve"> für die </w:t>
            </w:r>
            <w:r>
              <w:rPr>
                <w:rFonts w:cs="Arial"/>
                <w:i/>
                <w:szCs w:val="20"/>
                <w:highlight w:val="lightGray"/>
              </w:rPr>
              <w:t>Dokumentations- und Informationspflichten</w:t>
            </w:r>
            <w:r w:rsidRPr="008C068B">
              <w:rPr>
                <w:rFonts w:cs="Arial"/>
                <w:i/>
                <w:szCs w:val="20"/>
                <w:highlight w:val="lightGray"/>
              </w:rPr>
              <w:t xml:space="preserve"> eingehalten werden</w:t>
            </w:r>
          </w:p>
        </w:tc>
      </w:tr>
      <w:tr w:rsidR="00130556" w:rsidRPr="00CE3194" w14:paraId="7DF688A9" w14:textId="77777777" w:rsidTr="00CB3EE6">
        <w:tc>
          <w:tcPr>
            <w:tcW w:w="1668" w:type="dxa"/>
          </w:tcPr>
          <w:p w14:paraId="7E5B36B0" w14:textId="77777777"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Zuwendungen</w:t>
            </w:r>
          </w:p>
        </w:tc>
        <w:tc>
          <w:tcPr>
            <w:tcW w:w="5313" w:type="dxa"/>
          </w:tcPr>
          <w:p w14:paraId="0C4DECE9" w14:textId="062485A9"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w:t>
            </w:r>
            <w:r w:rsidR="0074539F" w:rsidRPr="005905B2">
              <w:rPr>
                <w:rFonts w:cs="Arial"/>
                <w:i/>
                <w:szCs w:val="20"/>
                <w:highlight w:val="lightGray"/>
              </w:rPr>
              <w:t xml:space="preserve">ie </w:t>
            </w:r>
            <w:r w:rsidR="006179DA">
              <w:rPr>
                <w:rFonts w:cs="Arial"/>
                <w:i/>
                <w:szCs w:val="20"/>
                <w:highlight w:val="lightGray"/>
              </w:rPr>
              <w:t xml:space="preserve">Bank/Wertpapierfirma bzw. </w:t>
            </w:r>
            <w:r w:rsidR="006179DA" w:rsidRPr="00CE3194">
              <w:rPr>
                <w:rFonts w:cs="Arial"/>
                <w:i/>
                <w:szCs w:val="20"/>
                <w:highlight w:val="lightGray"/>
              </w:rPr>
              <w:t>d</w:t>
            </w:r>
            <w:r w:rsidR="006179DA">
              <w:rPr>
                <w:rFonts w:cs="Arial"/>
                <w:i/>
                <w:szCs w:val="20"/>
                <w:highlight w:val="lightGray"/>
              </w:rPr>
              <w:t>ie</w:t>
            </w:r>
            <w:r w:rsidR="006179DA" w:rsidRPr="00CE3194">
              <w:rPr>
                <w:rFonts w:cs="Arial"/>
                <w:i/>
                <w:szCs w:val="20"/>
                <w:highlight w:val="lightGray"/>
              </w:rPr>
              <w:t xml:space="preserve"> Gruppe</w:t>
            </w:r>
            <w:r w:rsidR="006179DA" w:rsidRPr="005905B2" w:rsidDel="006179DA">
              <w:rPr>
                <w:rFonts w:cs="Arial"/>
                <w:i/>
                <w:szCs w:val="20"/>
                <w:highlight w:val="lightGray"/>
              </w:rPr>
              <w:t xml:space="preserve"> </w:t>
            </w:r>
            <w:r w:rsidRPr="005905B2">
              <w:rPr>
                <w:rFonts w:cs="Arial"/>
                <w:i/>
                <w:szCs w:val="20"/>
                <w:highlight w:val="lightGray"/>
              </w:rPr>
              <w:t xml:space="preserve">verfügt über eine </w:t>
            </w:r>
            <w:r w:rsidRPr="00A024A2">
              <w:rPr>
                <w:rFonts w:cs="Arial"/>
                <w:i/>
                <w:szCs w:val="20"/>
                <w:highlight w:val="lightGray"/>
              </w:rPr>
              <w:t>Inducement</w:t>
            </w:r>
            <w:r w:rsidRPr="005905B2">
              <w:rPr>
                <w:rFonts w:cs="Arial"/>
                <w:i/>
                <w:szCs w:val="20"/>
                <w:highlight w:val="lightGray"/>
              </w:rPr>
              <w:t>-Policy, die den Umgang mit Zuwendungen regelt</w:t>
            </w:r>
          </w:p>
          <w:p w14:paraId="24865A92" w14:textId="203E88E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die Voraussetzungen zum erlaubten Erhalt oder der Zahlung von Zuwendungen erfüllt und überprüft werden</w:t>
            </w:r>
          </w:p>
          <w:p w14:paraId="514D6828"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beinhalten einen Prozess um die erhaltenen Zuwendungen an die Kunden weiterzugeben und diese darüber zu informieren</w:t>
            </w:r>
          </w:p>
          <w:p w14:paraId="21A1AD8F"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geringfügige nicht monetäre Zuwendungen als solche klassifiziert werden</w:t>
            </w:r>
          </w:p>
          <w:p w14:paraId="528C176C"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lastRenderedPageBreak/>
              <w:t>Die internen Verfahren gewährleisten eine angemessene Aufzeichnungspflicht aller Zuwendungen</w:t>
            </w:r>
          </w:p>
          <w:p w14:paraId="636B6738"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Analysen als nicht-monetäre Zuwendungen behandelt und die Ausnahmeregelungen korrekt angewandt werden</w:t>
            </w:r>
          </w:p>
          <w:p w14:paraId="2A63B925"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das Analysekonto bei Erfüllung der Voraussetzungen angemessen geführt wird</w:t>
            </w:r>
          </w:p>
          <w:p w14:paraId="4EC28633"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gewährleisten, dass die Kunden über die Analysegebühr, das veranschlagte Analysebudget und die Systematik des Analysekontos informiert werden</w:t>
            </w:r>
          </w:p>
          <w:p w14:paraId="17A3307D" w14:textId="41A8866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w:t>
            </w:r>
            <w:r w:rsidR="0074539F" w:rsidRPr="005905B2">
              <w:rPr>
                <w:rFonts w:cs="Arial"/>
                <w:i/>
                <w:szCs w:val="20"/>
                <w:highlight w:val="lightGray"/>
              </w:rPr>
              <w:t xml:space="preserve">ie </w:t>
            </w:r>
            <w:r w:rsidR="006179DA">
              <w:rPr>
                <w:rFonts w:cs="Arial"/>
                <w:i/>
                <w:szCs w:val="20"/>
                <w:highlight w:val="lightGray"/>
              </w:rPr>
              <w:t xml:space="preserve">Bank/Wertpapierfirma bzw. </w:t>
            </w:r>
            <w:r w:rsidR="006179DA" w:rsidRPr="00CE3194">
              <w:rPr>
                <w:rFonts w:cs="Arial"/>
                <w:i/>
                <w:szCs w:val="20"/>
                <w:highlight w:val="lightGray"/>
              </w:rPr>
              <w:t>d</w:t>
            </w:r>
            <w:r w:rsidR="006179DA">
              <w:rPr>
                <w:rFonts w:cs="Arial"/>
                <w:i/>
                <w:szCs w:val="20"/>
                <w:highlight w:val="lightGray"/>
              </w:rPr>
              <w:t>ie</w:t>
            </w:r>
            <w:r w:rsidR="006179DA" w:rsidRPr="00CE3194">
              <w:rPr>
                <w:rFonts w:cs="Arial"/>
                <w:i/>
                <w:szCs w:val="20"/>
                <w:highlight w:val="lightGray"/>
              </w:rPr>
              <w:t xml:space="preserve"> Gruppe</w:t>
            </w:r>
            <w:r w:rsidR="006179DA" w:rsidRPr="005905B2" w:rsidDel="006179DA">
              <w:rPr>
                <w:rFonts w:cs="Arial"/>
                <w:i/>
                <w:szCs w:val="20"/>
                <w:highlight w:val="lightGray"/>
              </w:rPr>
              <w:t xml:space="preserve"> </w:t>
            </w:r>
            <w:r w:rsidRPr="005905B2">
              <w:rPr>
                <w:rFonts w:cs="Arial"/>
                <w:i/>
                <w:szCs w:val="20"/>
                <w:highlight w:val="lightGray"/>
              </w:rPr>
              <w:t>verfügt über einen angemessenen Prozess, der den rechtskonformen Umgang mit seitens Dritter erhaltenem kostenlosem Schriftmaterial sowie von makroökonomischen Analysen regelt</w:t>
            </w:r>
          </w:p>
        </w:tc>
        <w:tc>
          <w:tcPr>
            <w:tcW w:w="2759" w:type="dxa"/>
          </w:tcPr>
          <w:p w14:paraId="6A87FCB5" w14:textId="77777777" w:rsidR="00130556" w:rsidRPr="000C756C" w:rsidRDefault="005905B2" w:rsidP="00494050">
            <w:pPr>
              <w:pStyle w:val="Listenabsatz"/>
              <w:ind w:left="50"/>
              <w:jc w:val="both"/>
              <w:rPr>
                <w:rFonts w:cs="Arial"/>
                <w:i/>
                <w:szCs w:val="20"/>
                <w:highlight w:val="lightGray"/>
              </w:rPr>
            </w:pPr>
            <w:r w:rsidRPr="008C068B">
              <w:rPr>
                <w:rFonts w:cs="Arial"/>
                <w:i/>
                <w:szCs w:val="20"/>
                <w:highlight w:val="lightGray"/>
              </w:rPr>
              <w:lastRenderedPageBreak/>
              <w:t>Bestätigung, dass die internen Verfahren sicherstellen, dass die gesetz</w:t>
            </w:r>
            <w:r>
              <w:rPr>
                <w:rFonts w:cs="Arial"/>
                <w:i/>
                <w:szCs w:val="20"/>
                <w:highlight w:val="lightGray"/>
              </w:rPr>
              <w:t>lichen Bestimmungen</w:t>
            </w:r>
            <w:r w:rsidRPr="008C068B">
              <w:rPr>
                <w:rFonts w:cs="Arial"/>
                <w:i/>
                <w:szCs w:val="20"/>
                <w:highlight w:val="lightGray"/>
              </w:rPr>
              <w:t xml:space="preserve"> für die </w:t>
            </w:r>
            <w:r>
              <w:rPr>
                <w:rFonts w:cs="Arial"/>
                <w:i/>
                <w:szCs w:val="20"/>
                <w:highlight w:val="lightGray"/>
              </w:rPr>
              <w:t>Zuwendungen</w:t>
            </w:r>
            <w:r w:rsidRPr="008C068B">
              <w:rPr>
                <w:rFonts w:cs="Arial"/>
                <w:i/>
                <w:szCs w:val="20"/>
                <w:highlight w:val="lightGray"/>
              </w:rPr>
              <w:t xml:space="preserve"> eingehalten werden</w:t>
            </w:r>
          </w:p>
        </w:tc>
      </w:tr>
      <w:tr w:rsidR="00130556" w:rsidRPr="00CE3194" w14:paraId="2B00D9CB" w14:textId="77777777" w:rsidTr="00CB3EE6">
        <w:tc>
          <w:tcPr>
            <w:tcW w:w="1668" w:type="dxa"/>
          </w:tcPr>
          <w:p w14:paraId="75E5C496" w14:textId="77777777"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Produktgenehmigungs- und Überwachungsverfahren</w:t>
            </w:r>
          </w:p>
        </w:tc>
        <w:tc>
          <w:tcPr>
            <w:tcW w:w="5313" w:type="dxa"/>
          </w:tcPr>
          <w:p w14:paraId="0AB39ED0"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berücksichtigen sämtliche Anforderungen an das Produktgenehmigungs- und Überwachungsverfahren (PARP) für Produkt-Hersteller bei der Konzipierung von Finanzinstrumenten in angemessener Art und Weise</w:t>
            </w:r>
          </w:p>
          <w:p w14:paraId="27E04FD4"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berücksichtigen sämtliche Anforderungen an das Produktgenehmigungs- und Überwachungsverfahren (PARP) für Produkt-Vertreiber beim Vertrieb von Finanzinstrumenten in angemessener Art und Weise</w:t>
            </w:r>
          </w:p>
          <w:p w14:paraId="63634FAE"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gewährleisten den Informationsaustausch über den Vertrieb der Finanzinstrumente mit dem Produkt-Hersteller in den positiven Zielmarkt (regelmässig; mindestens jährlich), ausserhalb des positiven Zielmarktes sowie in den negativen Zielmarkt</w:t>
            </w:r>
          </w:p>
          <w:p w14:paraId="73F4B3FA"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Das Zielmarkt-Konzept wird anhand eines internen Verfahrens mit Hilfe der nachfolgenden Kriterien angemessen definiert: Kundenkategorie, Kenntnisse und Erfahrungen des Endkunden, Risikokapazität und Risikotoleranz des Endkunden, Risikoklasse des Produkts, Kundenbedürfnisse, negativer Zielmarkt, Vertriebsstrategie</w:t>
            </w:r>
          </w:p>
          <w:p w14:paraId="0DA981FF"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der Verwaltungsrat regelmässig Compliance-Berichte zu den konzipierten Finanzinstrumenten und deren Vertrieb erhält</w:t>
            </w:r>
          </w:p>
        </w:tc>
        <w:tc>
          <w:tcPr>
            <w:tcW w:w="2759" w:type="dxa"/>
          </w:tcPr>
          <w:p w14:paraId="3AECD6FF" w14:textId="77777777" w:rsidR="00130556" w:rsidRPr="000C756C" w:rsidRDefault="005905B2" w:rsidP="00494050">
            <w:pPr>
              <w:pStyle w:val="Listenabsatz"/>
              <w:ind w:left="50"/>
              <w:jc w:val="both"/>
              <w:rPr>
                <w:rFonts w:cs="Arial"/>
                <w:i/>
                <w:szCs w:val="20"/>
                <w:highlight w:val="lightGray"/>
              </w:rPr>
            </w:pPr>
            <w:r w:rsidRPr="008C068B">
              <w:rPr>
                <w:rFonts w:cs="Arial"/>
                <w:i/>
                <w:szCs w:val="20"/>
                <w:highlight w:val="lightGray"/>
              </w:rPr>
              <w:t>Bestätigung, dass die internen Verfahren sicherstellen, dass die gesetz</w:t>
            </w:r>
            <w:r>
              <w:rPr>
                <w:rFonts w:cs="Arial"/>
                <w:i/>
                <w:szCs w:val="20"/>
                <w:highlight w:val="lightGray"/>
              </w:rPr>
              <w:t>lichen Bestimmungen</w:t>
            </w:r>
            <w:r w:rsidRPr="008C068B">
              <w:rPr>
                <w:rFonts w:cs="Arial"/>
                <w:i/>
                <w:szCs w:val="20"/>
                <w:highlight w:val="lightGray"/>
              </w:rPr>
              <w:t xml:space="preserve"> </w:t>
            </w:r>
            <w:r>
              <w:rPr>
                <w:rFonts w:cs="Arial"/>
                <w:i/>
                <w:szCs w:val="20"/>
                <w:highlight w:val="lightGray"/>
              </w:rPr>
              <w:t>zum Produktgenehmigungs- und überwachungsverfahren</w:t>
            </w:r>
            <w:r w:rsidRPr="008C068B">
              <w:rPr>
                <w:rFonts w:cs="Arial"/>
                <w:i/>
                <w:szCs w:val="20"/>
                <w:highlight w:val="lightGray"/>
              </w:rPr>
              <w:t xml:space="preserve"> eingehalten</w:t>
            </w:r>
            <w:r>
              <w:rPr>
                <w:rFonts w:cs="Arial"/>
                <w:i/>
                <w:szCs w:val="20"/>
                <w:highlight w:val="lightGray"/>
              </w:rPr>
              <w:t xml:space="preserve"> werden</w:t>
            </w:r>
          </w:p>
        </w:tc>
      </w:tr>
      <w:tr w:rsidR="00130556" w:rsidRPr="00CE3194" w14:paraId="1D49A98F" w14:textId="77777777" w:rsidTr="00CB3EE6">
        <w:tc>
          <w:tcPr>
            <w:tcW w:w="1668" w:type="dxa"/>
          </w:tcPr>
          <w:p w14:paraId="5AAFFC76" w14:textId="77777777" w:rsidR="00130556" w:rsidRPr="005905B2" w:rsidRDefault="00130556" w:rsidP="008C7535">
            <w:pPr>
              <w:jc w:val="both"/>
              <w:rPr>
                <w:rFonts w:ascii="Arial" w:hAnsi="Arial" w:cs="Arial"/>
                <w:i/>
                <w:sz w:val="20"/>
                <w:szCs w:val="20"/>
                <w:highlight w:val="lightGray"/>
              </w:rPr>
            </w:pPr>
            <w:r w:rsidRPr="005905B2">
              <w:rPr>
                <w:rFonts w:ascii="Arial" w:hAnsi="Arial" w:cs="Arial"/>
                <w:i/>
                <w:sz w:val="20"/>
                <w:szCs w:val="20"/>
                <w:highlight w:val="lightGray"/>
              </w:rPr>
              <w:t>Systematischer Internalisierer</w:t>
            </w:r>
          </w:p>
        </w:tc>
        <w:tc>
          <w:tcPr>
            <w:tcW w:w="5313" w:type="dxa"/>
          </w:tcPr>
          <w:p w14:paraId="2C753228"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 xml:space="preserve">Die internen Verfahren stellen sicher, dass die Offenlegungspflichten verbindlicher Kursofferten ex ante und ex post nachgekommen wird </w:t>
            </w:r>
          </w:p>
          <w:p w14:paraId="2711E29A"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gewährleisten eine angemessene Berechnung der Schwellenwerte</w:t>
            </w:r>
          </w:p>
          <w:p w14:paraId="742EFF04" w14:textId="77777777" w:rsidR="00130556" w:rsidRPr="005905B2" w:rsidRDefault="00130556" w:rsidP="00CB3EE6">
            <w:pPr>
              <w:pStyle w:val="Listenabsatz"/>
              <w:numPr>
                <w:ilvl w:val="1"/>
                <w:numId w:val="17"/>
              </w:numPr>
              <w:ind w:left="317" w:hanging="283"/>
              <w:jc w:val="both"/>
              <w:rPr>
                <w:rFonts w:cs="Arial"/>
                <w:i/>
                <w:szCs w:val="20"/>
                <w:highlight w:val="lightGray"/>
              </w:rPr>
            </w:pPr>
            <w:r w:rsidRPr="005905B2">
              <w:rPr>
                <w:rFonts w:cs="Arial"/>
                <w:i/>
                <w:szCs w:val="20"/>
                <w:highlight w:val="lightGray"/>
              </w:rPr>
              <w:t>Die internen Verfahren stellen sicher, dass die Wertpapierfirma, die sich als Systematischer Internalisierer qualifiziert den nachfolgenden Pflichten nachkommt: Meldepflichten an die ESMA, Reporting-Pflichten an den Markt, Best Execution, Aussetzung des Handels</w:t>
            </w:r>
          </w:p>
        </w:tc>
        <w:tc>
          <w:tcPr>
            <w:tcW w:w="2759" w:type="dxa"/>
          </w:tcPr>
          <w:p w14:paraId="49FA2AD2" w14:textId="77777777" w:rsidR="00130556" w:rsidRPr="000C756C" w:rsidRDefault="005905B2" w:rsidP="00494050">
            <w:pPr>
              <w:pStyle w:val="Listenabsatz"/>
              <w:ind w:left="50"/>
              <w:jc w:val="both"/>
              <w:rPr>
                <w:rFonts w:cs="Arial"/>
                <w:i/>
                <w:szCs w:val="20"/>
                <w:highlight w:val="lightGray"/>
              </w:rPr>
            </w:pPr>
            <w:r w:rsidRPr="008C068B">
              <w:rPr>
                <w:rFonts w:cs="Arial"/>
                <w:i/>
                <w:szCs w:val="20"/>
                <w:highlight w:val="lightGray"/>
              </w:rPr>
              <w:t>Bestätigung, dass die internen Verfahren sicherstellen, dass die gesetz</w:t>
            </w:r>
            <w:r>
              <w:rPr>
                <w:rFonts w:cs="Arial"/>
                <w:i/>
                <w:szCs w:val="20"/>
                <w:highlight w:val="lightGray"/>
              </w:rPr>
              <w:t>lichen Bestimmungen</w:t>
            </w:r>
            <w:r w:rsidRPr="008C068B">
              <w:rPr>
                <w:rFonts w:cs="Arial"/>
                <w:i/>
                <w:szCs w:val="20"/>
                <w:highlight w:val="lightGray"/>
              </w:rPr>
              <w:t xml:space="preserve"> für </w:t>
            </w:r>
            <w:r>
              <w:rPr>
                <w:rFonts w:cs="Arial"/>
                <w:i/>
                <w:szCs w:val="20"/>
                <w:highlight w:val="lightGray"/>
              </w:rPr>
              <w:t xml:space="preserve">Systematische Internalisierer </w:t>
            </w:r>
            <w:r w:rsidRPr="008C068B">
              <w:rPr>
                <w:rFonts w:cs="Arial"/>
                <w:i/>
                <w:szCs w:val="20"/>
                <w:highlight w:val="lightGray"/>
              </w:rPr>
              <w:t>eingehalten</w:t>
            </w:r>
            <w:r>
              <w:rPr>
                <w:rFonts w:cs="Arial"/>
                <w:i/>
                <w:szCs w:val="20"/>
                <w:highlight w:val="lightGray"/>
              </w:rPr>
              <w:t xml:space="preserve"> werden</w:t>
            </w:r>
          </w:p>
        </w:tc>
      </w:tr>
      <w:tr w:rsidR="0029354E" w:rsidRPr="0029354E" w14:paraId="37C3B4D0" w14:textId="77777777" w:rsidTr="00CB3EE6">
        <w:tc>
          <w:tcPr>
            <w:tcW w:w="1668" w:type="dxa"/>
          </w:tcPr>
          <w:p w14:paraId="4B1E2CC0" w14:textId="77777777" w:rsidR="0029354E" w:rsidRDefault="0029354E" w:rsidP="008C7535">
            <w:pPr>
              <w:jc w:val="both"/>
              <w:rPr>
                <w:rFonts w:ascii="Arial" w:hAnsi="Arial" w:cs="Arial"/>
                <w:i/>
                <w:sz w:val="20"/>
                <w:szCs w:val="20"/>
                <w:highlight w:val="lightGray"/>
              </w:rPr>
            </w:pPr>
            <w:bookmarkStart w:id="81" w:name="_Hlk55905906"/>
            <w:r>
              <w:rPr>
                <w:rFonts w:ascii="Arial" w:hAnsi="Arial" w:cs="Arial"/>
                <w:i/>
                <w:sz w:val="20"/>
                <w:szCs w:val="20"/>
                <w:highlight w:val="lightGray"/>
              </w:rPr>
              <w:lastRenderedPageBreak/>
              <w:t>Schutz des Kundenvermögens</w:t>
            </w:r>
          </w:p>
          <w:p w14:paraId="3C25803C" w14:textId="77777777" w:rsidR="00646418" w:rsidRDefault="00646418" w:rsidP="008C7535">
            <w:pPr>
              <w:jc w:val="both"/>
              <w:rPr>
                <w:rFonts w:ascii="Arial" w:hAnsi="Arial" w:cs="Arial"/>
                <w:i/>
                <w:sz w:val="20"/>
                <w:szCs w:val="20"/>
                <w:highlight w:val="lightGray"/>
              </w:rPr>
            </w:pPr>
          </w:p>
          <w:p w14:paraId="7FBED045" w14:textId="4F61BC6C" w:rsidR="00646418" w:rsidRPr="00B037A6" w:rsidRDefault="00646418" w:rsidP="008C7535">
            <w:pPr>
              <w:jc w:val="both"/>
              <w:rPr>
                <w:rFonts w:ascii="Arial" w:hAnsi="Arial" w:cs="Arial"/>
                <w:i/>
                <w:sz w:val="16"/>
                <w:szCs w:val="16"/>
                <w:highlight w:val="lightGray"/>
              </w:rPr>
            </w:pPr>
            <w:r w:rsidRPr="00B037A6">
              <w:rPr>
                <w:rFonts w:ascii="Arial" w:hAnsi="Arial" w:cs="Arial"/>
                <w:i/>
                <w:sz w:val="16"/>
                <w:szCs w:val="16"/>
                <w:highlight w:val="lightGray"/>
              </w:rPr>
              <w:t>(Art. 25 Abs. 4 BankV, Art. 27b BankV, Art. 34 Abs. 4 BankV, DelV (EU) Nr. 2017/593</w:t>
            </w:r>
          </w:p>
        </w:tc>
        <w:tc>
          <w:tcPr>
            <w:tcW w:w="5313" w:type="dxa"/>
          </w:tcPr>
          <w:p w14:paraId="1A528DC9" w14:textId="177B6749" w:rsidR="0029354E" w:rsidRPr="00B037A6" w:rsidRDefault="0029354E" w:rsidP="00B037A6">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006179DA">
              <w:rPr>
                <w:rFonts w:cs="Arial"/>
                <w:i/>
                <w:szCs w:val="20"/>
                <w:highlight w:val="lightGray"/>
              </w:rPr>
              <w:t xml:space="preserve">Bank/Wertpapierfirma bzw. </w:t>
            </w:r>
            <w:r w:rsidR="006179DA" w:rsidRPr="00CE3194">
              <w:rPr>
                <w:rFonts w:cs="Arial"/>
                <w:i/>
                <w:szCs w:val="20"/>
                <w:highlight w:val="lightGray"/>
              </w:rPr>
              <w:t>d</w:t>
            </w:r>
            <w:r w:rsidR="006179DA">
              <w:rPr>
                <w:rFonts w:cs="Arial"/>
                <w:i/>
                <w:szCs w:val="20"/>
                <w:highlight w:val="lightGray"/>
              </w:rPr>
              <w:t>ie</w:t>
            </w:r>
            <w:r w:rsidR="006179DA" w:rsidRPr="00CE3194">
              <w:rPr>
                <w:rFonts w:cs="Arial"/>
                <w:i/>
                <w:szCs w:val="20"/>
                <w:highlight w:val="lightGray"/>
              </w:rPr>
              <w:t xml:space="preserve"> Gruppe</w:t>
            </w:r>
            <w:r w:rsidR="006179DA" w:rsidDel="006179DA">
              <w:rPr>
                <w:rFonts w:cs="Arial"/>
                <w:i/>
                <w:szCs w:val="20"/>
                <w:highlight w:val="lightGray"/>
              </w:rPr>
              <w:t xml:space="preserve"> </w:t>
            </w:r>
            <w:r w:rsidRPr="00B037A6">
              <w:rPr>
                <w:rFonts w:cs="Arial"/>
                <w:i/>
                <w:szCs w:val="20"/>
                <w:highlight w:val="lightGray"/>
              </w:rPr>
              <w:t>verfügt über ein detailliertes, vom Verwaltungsrat genehmigtes Risikoappetit-Rahmenwerk (Risk-Appetite Framework) in Bezug auf den Schutz von Kundenvermögen sowie den dahinterstehenden Abwicklungsprozess</w:t>
            </w:r>
          </w:p>
          <w:p w14:paraId="6C162AD0" w14:textId="1E7236B0" w:rsidR="0029354E" w:rsidRPr="00B037A6" w:rsidRDefault="0029354E" w:rsidP="00B037A6">
            <w:pPr>
              <w:numPr>
                <w:ilvl w:val="1"/>
                <w:numId w:val="17"/>
              </w:numPr>
              <w:ind w:left="317" w:hanging="283"/>
              <w:jc w:val="both"/>
              <w:rPr>
                <w:rFonts w:cs="Arial"/>
                <w:i/>
                <w:szCs w:val="20"/>
                <w:highlight w:val="lightGray"/>
              </w:rPr>
            </w:pPr>
            <w:r w:rsidRPr="00B037A6">
              <w:rPr>
                <w:rFonts w:ascii="Arial" w:hAnsi="Arial" w:cs="Arial"/>
                <w:i/>
                <w:sz w:val="20"/>
                <w:szCs w:val="20"/>
                <w:highlight w:val="lightGray"/>
              </w:rPr>
              <w:t>Die internen Verfahren stellen</w:t>
            </w:r>
            <w:r w:rsidR="00174C08">
              <w:rPr>
                <w:rFonts w:ascii="Arial" w:hAnsi="Arial" w:cs="Arial"/>
                <w:i/>
                <w:sz w:val="20"/>
                <w:szCs w:val="20"/>
                <w:highlight w:val="lightGray"/>
              </w:rPr>
              <w:t xml:space="preserve"> </w:t>
            </w:r>
            <w:r w:rsidRPr="00B037A6">
              <w:rPr>
                <w:rFonts w:ascii="Arial" w:hAnsi="Arial" w:cs="Arial"/>
                <w:i/>
                <w:sz w:val="20"/>
                <w:szCs w:val="20"/>
                <w:highlight w:val="lightGray"/>
              </w:rPr>
              <w:t>sicher, dass keine unbefugte Verwendung der Finanzinstrumente von Kunden stattfindet</w:t>
            </w:r>
          </w:p>
          <w:p w14:paraId="297562C1" w14:textId="77777777" w:rsidR="0029354E" w:rsidRPr="00B037A6" w:rsidRDefault="0029354E" w:rsidP="00B037A6">
            <w:pPr>
              <w:numPr>
                <w:ilvl w:val="1"/>
                <w:numId w:val="17"/>
              </w:numPr>
              <w:ind w:left="317" w:hanging="283"/>
              <w:jc w:val="both"/>
              <w:rPr>
                <w:rFonts w:cs="Arial"/>
                <w:i/>
                <w:szCs w:val="20"/>
                <w:highlight w:val="lightGray"/>
              </w:rPr>
            </w:pPr>
            <w:r w:rsidRPr="00B037A6">
              <w:rPr>
                <w:rFonts w:ascii="Arial" w:hAnsi="Arial" w:cs="Arial"/>
                <w:i/>
                <w:sz w:val="20"/>
                <w:szCs w:val="20"/>
                <w:highlight w:val="lightGray"/>
              </w:rPr>
              <w:t>Die internen Verfahren gewährleisten die Trennung von Eigenbeständen und Kundenvermögen bei der Verwahrung von Geldern und Finanzinstrumenten bei Dritten</w:t>
            </w:r>
          </w:p>
          <w:p w14:paraId="64811C8B" w14:textId="32177E78" w:rsidR="0029354E" w:rsidRPr="00B037A6" w:rsidRDefault="0029354E" w:rsidP="00B037A6">
            <w:pPr>
              <w:numPr>
                <w:ilvl w:val="1"/>
                <w:numId w:val="17"/>
              </w:numPr>
              <w:ind w:left="317" w:hanging="283"/>
              <w:jc w:val="both"/>
              <w:rPr>
                <w:rFonts w:cs="Arial"/>
                <w:i/>
                <w:szCs w:val="20"/>
                <w:highlight w:val="lightGray"/>
              </w:rPr>
            </w:pPr>
            <w:r w:rsidRPr="00B037A6">
              <w:rPr>
                <w:rFonts w:ascii="Arial" w:hAnsi="Arial" w:cs="Arial"/>
                <w:i/>
                <w:sz w:val="20"/>
                <w:szCs w:val="20"/>
                <w:highlight w:val="lightGray"/>
              </w:rPr>
              <w:t>Die internen Verfahren und IT-Systeme gewährleisten eine systematische Auswertungs- und Aufbereitungsfähigkeit sämtlicher Daten, die zur Sicherstellung des Schutzes von Kundenvermögen notwendig sind</w:t>
            </w:r>
          </w:p>
          <w:p w14:paraId="19AA1393" w14:textId="2ADD3613" w:rsidR="0029354E" w:rsidRPr="00B037A6" w:rsidRDefault="0029354E" w:rsidP="00B037A6">
            <w:pPr>
              <w:numPr>
                <w:ilvl w:val="1"/>
                <w:numId w:val="17"/>
              </w:numPr>
              <w:ind w:left="317" w:hanging="283"/>
              <w:jc w:val="both"/>
              <w:rPr>
                <w:rFonts w:cs="Arial"/>
                <w:i/>
                <w:szCs w:val="20"/>
                <w:highlight w:val="lightGray"/>
              </w:rPr>
            </w:pPr>
            <w:r>
              <w:rPr>
                <w:rFonts w:ascii="Arial" w:hAnsi="Arial" w:cs="Arial"/>
                <w:i/>
                <w:sz w:val="20"/>
                <w:szCs w:val="20"/>
                <w:highlight w:val="lightGray"/>
              </w:rPr>
              <w:t>Die Bank oder Wertpapierfirma</w:t>
            </w:r>
            <w:r w:rsidRPr="00B037A6">
              <w:rPr>
                <w:rFonts w:ascii="Arial" w:hAnsi="Arial" w:cs="Arial"/>
                <w:i/>
                <w:sz w:val="20"/>
                <w:szCs w:val="20"/>
                <w:highlight w:val="lightGray"/>
              </w:rPr>
              <w:t xml:space="preserve"> hat gem. Art. 27b Abs. 7 </w:t>
            </w:r>
            <w:r w:rsidR="00646418">
              <w:rPr>
                <w:rFonts w:ascii="Arial" w:hAnsi="Arial" w:cs="Arial"/>
                <w:i/>
                <w:sz w:val="20"/>
                <w:szCs w:val="20"/>
                <w:highlight w:val="lightGray"/>
              </w:rPr>
              <w:t xml:space="preserve">BankV </w:t>
            </w:r>
            <w:r w:rsidRPr="00B037A6">
              <w:rPr>
                <w:rFonts w:ascii="Arial" w:hAnsi="Arial" w:cs="Arial"/>
                <w:i/>
                <w:sz w:val="20"/>
                <w:szCs w:val="20"/>
                <w:highlight w:val="lightGray"/>
              </w:rPr>
              <w:t>einen Beauftragten zum Schutz der Kundenvermögen („Safeguarding Officer“) ernannt, welcher befähigt und befugt ist, seine Pflichten wirksam und ohne Einschränkung erfüllen zu können</w:t>
            </w:r>
          </w:p>
          <w:p w14:paraId="5648E1F3" w14:textId="71E03658" w:rsidR="0029354E" w:rsidRPr="0029354E" w:rsidRDefault="0029354E" w:rsidP="00B037A6">
            <w:pPr>
              <w:numPr>
                <w:ilvl w:val="1"/>
                <w:numId w:val="17"/>
              </w:numPr>
              <w:ind w:left="317" w:hanging="283"/>
              <w:jc w:val="both"/>
              <w:rPr>
                <w:rFonts w:cs="Arial"/>
                <w:i/>
                <w:szCs w:val="20"/>
                <w:highlight w:val="lightGray"/>
              </w:rPr>
            </w:pPr>
            <w:r w:rsidRPr="00B037A6">
              <w:rPr>
                <w:rFonts w:ascii="Arial" w:hAnsi="Arial" w:cs="Arial"/>
                <w:i/>
                <w:sz w:val="20"/>
                <w:szCs w:val="20"/>
                <w:highlight w:val="lightGray"/>
              </w:rPr>
              <w:t>Die internen Verfahren und IT-Systeme gewährleisten eine umfassende Dokumentation des gesamten Abwicklungs- und Settlement-Prozesses.</w:t>
            </w:r>
          </w:p>
        </w:tc>
        <w:tc>
          <w:tcPr>
            <w:tcW w:w="2759" w:type="dxa"/>
          </w:tcPr>
          <w:p w14:paraId="4510FCEC" w14:textId="0F227D49" w:rsidR="0029354E" w:rsidRPr="0029354E" w:rsidRDefault="0029354E" w:rsidP="0029354E">
            <w:pPr>
              <w:pStyle w:val="Listenabsatz"/>
              <w:ind w:left="50"/>
              <w:jc w:val="both"/>
              <w:rPr>
                <w:rFonts w:cs="Arial"/>
                <w:i/>
                <w:szCs w:val="20"/>
                <w:highlight w:val="lightGray"/>
              </w:rPr>
            </w:pPr>
            <w:r w:rsidRPr="00B037A6">
              <w:rPr>
                <w:rFonts w:cs="Arial"/>
                <w:i/>
                <w:szCs w:val="20"/>
                <w:highlight w:val="lightGray"/>
              </w:rPr>
              <w:t>Bestätigung, dass die internen Verfahren die Einhaltung der gesetzlichen Bestimmungen zum Schutz des Kundenvermögens sicherstellen</w:t>
            </w:r>
          </w:p>
        </w:tc>
      </w:tr>
      <w:bookmarkEnd w:id="81"/>
      <w:tr w:rsidR="00130556" w:rsidRPr="00CE3194" w14:paraId="36CB823D" w14:textId="77777777" w:rsidTr="00093B3E">
        <w:tc>
          <w:tcPr>
            <w:tcW w:w="9740" w:type="dxa"/>
            <w:gridSpan w:val="3"/>
          </w:tcPr>
          <w:p w14:paraId="2DFAA2AD" w14:textId="77777777" w:rsidR="00130556" w:rsidRDefault="00130556" w:rsidP="00CB3EE6">
            <w:pPr>
              <w:pStyle w:val="Listenabsatz"/>
              <w:ind w:left="317"/>
              <w:jc w:val="both"/>
              <w:rPr>
                <w:rFonts w:cs="Arial"/>
                <w:i/>
                <w:szCs w:val="20"/>
                <w:highlight w:val="lightGray"/>
              </w:rPr>
            </w:pPr>
          </w:p>
          <w:p w14:paraId="033F8485" w14:textId="14F20C9F" w:rsidR="00130556" w:rsidRDefault="00130556" w:rsidP="00CB3EE6">
            <w:pPr>
              <w:pStyle w:val="Listenabsatz"/>
              <w:ind w:left="0"/>
              <w:rPr>
                <w:rFonts w:cs="Arial"/>
                <w:i/>
                <w:szCs w:val="20"/>
                <w:highlight w:val="lightGray"/>
              </w:rPr>
            </w:pPr>
            <w:r>
              <w:rPr>
                <w:rFonts w:cs="Arial"/>
                <w:i/>
                <w:szCs w:val="20"/>
                <w:highlight w:val="lightGray"/>
              </w:rPr>
              <w:t>Weitere Prüfelemente für das Prüffeld „Wertpapier- und Nebendienstleistungen“ durch die Revisionsstelle zu definieren z.B.</w:t>
            </w:r>
            <w:r w:rsidR="00496C91">
              <w:rPr>
                <w:rFonts w:cs="Arial"/>
                <w:i/>
                <w:szCs w:val="20"/>
                <w:highlight w:val="lightGray"/>
              </w:rPr>
              <w:t xml:space="preserve"> </w:t>
            </w:r>
            <w:r>
              <w:rPr>
                <w:rFonts w:cs="Arial"/>
                <w:i/>
                <w:szCs w:val="20"/>
                <w:highlight w:val="lightGray"/>
              </w:rPr>
              <w:t>„Cross-Selling“, „Clock Synchronization“</w:t>
            </w:r>
          </w:p>
        </w:tc>
      </w:tr>
    </w:tbl>
    <w:p w14:paraId="3850202D" w14:textId="77777777" w:rsidR="001B7BDD" w:rsidRDefault="001B7BDD" w:rsidP="00CB3EE6">
      <w:pPr>
        <w:jc w:val="both"/>
      </w:pPr>
    </w:p>
    <w:p w14:paraId="74EF29CC" w14:textId="77777777" w:rsidR="00141F6A" w:rsidRPr="00667026" w:rsidRDefault="00141F6A" w:rsidP="00141F6A">
      <w:pPr>
        <w:jc w:val="both"/>
        <w:rPr>
          <w:rFonts w:ascii="Arial" w:hAnsi="Arial" w:cs="Arial"/>
          <w:i/>
          <w:sz w:val="20"/>
          <w:szCs w:val="20"/>
        </w:rPr>
      </w:pPr>
      <w:r w:rsidRPr="00276C60">
        <w:rPr>
          <w:rFonts w:ascii="Arial" w:hAnsi="Arial" w:cs="Arial"/>
          <w:i/>
          <w:sz w:val="20"/>
          <w:szCs w:val="20"/>
          <w:highlight w:val="yellow"/>
        </w:rPr>
        <w:t>Text</w:t>
      </w:r>
    </w:p>
    <w:p w14:paraId="162373F1" w14:textId="77777777" w:rsidR="008C7535" w:rsidRDefault="008C7535" w:rsidP="00CB3EE6">
      <w:pPr>
        <w:jc w:val="both"/>
      </w:pPr>
    </w:p>
    <w:p w14:paraId="6923AFB4" w14:textId="77777777" w:rsidR="005E281B" w:rsidRDefault="005E281B" w:rsidP="006F7AB5">
      <w:pPr>
        <w:pStyle w:val="FINMAGliederungEbene3"/>
      </w:pPr>
      <w:bookmarkStart w:id="82" w:name="_Toc147849931"/>
      <w:r>
        <w:t>Sanierungsplanung (And-3)</w:t>
      </w:r>
      <w:bookmarkEnd w:id="82"/>
    </w:p>
    <w:p w14:paraId="19186D5A" w14:textId="77777777" w:rsidR="005E281B" w:rsidRDefault="005E281B" w:rsidP="005E281B">
      <w:pPr>
        <w:jc w:val="both"/>
      </w:pPr>
    </w:p>
    <w:tbl>
      <w:tblPr>
        <w:tblStyle w:val="Tabellenraster"/>
        <w:tblW w:w="0" w:type="auto"/>
        <w:tblLook w:val="04A0" w:firstRow="1" w:lastRow="0" w:firstColumn="1" w:lastColumn="0" w:noHBand="0" w:noVBand="1"/>
      </w:tblPr>
      <w:tblGrid>
        <w:gridCol w:w="1932"/>
        <w:gridCol w:w="2145"/>
        <w:gridCol w:w="1721"/>
        <w:gridCol w:w="3382"/>
      </w:tblGrid>
      <w:tr w:rsidR="005E281B" w:rsidRPr="009872F3" w14:paraId="50F16DEB" w14:textId="77777777" w:rsidTr="00E7309B">
        <w:trPr>
          <w:trHeight w:val="563"/>
        </w:trPr>
        <w:tc>
          <w:tcPr>
            <w:tcW w:w="1932" w:type="dxa"/>
          </w:tcPr>
          <w:p w14:paraId="5927CAD1" w14:textId="77777777" w:rsidR="005E281B" w:rsidRPr="009872F3" w:rsidRDefault="005E281B" w:rsidP="00E7309B">
            <w:pPr>
              <w:jc w:val="both"/>
              <w:rPr>
                <w:rFonts w:ascii="Arial" w:hAnsi="Arial" w:cs="Arial"/>
                <w:sz w:val="18"/>
                <w:szCs w:val="18"/>
              </w:rPr>
            </w:pPr>
            <w:r w:rsidRPr="009872F3">
              <w:rPr>
                <w:rFonts w:ascii="Arial" w:hAnsi="Arial" w:cs="Arial"/>
                <w:sz w:val="18"/>
                <w:szCs w:val="18"/>
              </w:rPr>
              <w:t>Nettorisiko</w:t>
            </w:r>
          </w:p>
        </w:tc>
        <w:tc>
          <w:tcPr>
            <w:tcW w:w="2145" w:type="dxa"/>
          </w:tcPr>
          <w:p w14:paraId="669CABCF" w14:textId="77777777" w:rsidR="005E281B" w:rsidRPr="009872F3" w:rsidRDefault="005E281B" w:rsidP="00E7309B">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23781604" w14:textId="77777777" w:rsidR="005E281B" w:rsidRPr="009872F3" w:rsidRDefault="005E281B" w:rsidP="00E7309B">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5E281B" w:rsidRPr="009872F3" w14:paraId="3CC5419F" w14:textId="77777777" w:rsidTr="00E7309B">
        <w:trPr>
          <w:trHeight w:val="698"/>
        </w:trPr>
        <w:tc>
          <w:tcPr>
            <w:tcW w:w="1932" w:type="dxa"/>
          </w:tcPr>
          <w:p w14:paraId="5912C1BD" w14:textId="24DAF91E" w:rsidR="005E281B" w:rsidRPr="006749F0" w:rsidRDefault="005E281B" w:rsidP="00E7309B">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xml:space="preserve">/ mittel / </w:t>
            </w:r>
            <w:r w:rsidR="00DD4B74">
              <w:rPr>
                <w:rFonts w:ascii="Arial" w:hAnsi="Arial" w:cs="Arial"/>
                <w:i/>
                <w:sz w:val="18"/>
                <w:szCs w:val="18"/>
                <w:highlight w:val="yellow"/>
              </w:rPr>
              <w:t>hoch</w:t>
            </w:r>
          </w:p>
        </w:tc>
        <w:tc>
          <w:tcPr>
            <w:tcW w:w="2145" w:type="dxa"/>
          </w:tcPr>
          <w:p w14:paraId="3F9F42AE" w14:textId="77777777" w:rsidR="005E281B" w:rsidRPr="006749F0" w:rsidRDefault="005E281B" w:rsidP="00E7309B">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BCDF0F0" w14:textId="77777777" w:rsidR="005E281B" w:rsidRPr="009872F3" w:rsidRDefault="005E281B" w:rsidP="00E7309B">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06A11E54" w14:textId="77777777" w:rsidR="005E281B" w:rsidRDefault="005E281B" w:rsidP="00E7309B">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6E1528A5" w14:textId="77777777" w:rsidR="005E281B" w:rsidRPr="006749F0" w:rsidRDefault="005E281B" w:rsidP="00E7309B">
            <w:pPr>
              <w:jc w:val="both"/>
              <w:rPr>
                <w:rFonts w:ascii="Arial" w:hAnsi="Arial" w:cs="Arial"/>
                <w:i/>
                <w:sz w:val="18"/>
                <w:szCs w:val="18"/>
              </w:rPr>
            </w:pPr>
            <w:r w:rsidRPr="006749F0">
              <w:rPr>
                <w:rFonts w:ascii="Arial" w:hAnsi="Arial" w:cs="Arial"/>
                <w:i/>
                <w:sz w:val="18"/>
                <w:szCs w:val="18"/>
                <w:highlight w:val="yellow"/>
              </w:rPr>
              <w:t>Jahr</w:t>
            </w:r>
          </w:p>
        </w:tc>
      </w:tr>
      <w:tr w:rsidR="005E281B" w:rsidRPr="009872F3" w14:paraId="3BBC0E10" w14:textId="77777777" w:rsidTr="00E7309B">
        <w:trPr>
          <w:trHeight w:val="636"/>
        </w:trPr>
        <w:tc>
          <w:tcPr>
            <w:tcW w:w="9180" w:type="dxa"/>
            <w:gridSpan w:val="4"/>
          </w:tcPr>
          <w:p w14:paraId="76733804" w14:textId="77777777" w:rsidR="005E281B" w:rsidRDefault="005E281B" w:rsidP="00E7309B">
            <w:pPr>
              <w:jc w:val="both"/>
              <w:rPr>
                <w:rFonts w:ascii="Arial" w:hAnsi="Arial" w:cs="Arial"/>
                <w:sz w:val="18"/>
                <w:szCs w:val="18"/>
              </w:rPr>
            </w:pPr>
          </w:p>
          <w:p w14:paraId="3D38E7B1" w14:textId="77777777" w:rsidR="005E281B" w:rsidRPr="00F60909" w:rsidRDefault="005E281B" w:rsidP="00E7309B">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B1D3D0E" w14:textId="5A45FE3A" w:rsidR="005E281B" w:rsidRPr="009872F3" w:rsidRDefault="005E281B" w:rsidP="00E7309B">
            <w:pPr>
              <w:jc w:val="both"/>
              <w:rPr>
                <w:rFonts w:ascii="Arial" w:hAnsi="Arial" w:cs="Arial"/>
                <w:sz w:val="18"/>
                <w:szCs w:val="18"/>
              </w:rPr>
            </w:pPr>
            <w:r w:rsidRPr="00136B58">
              <w:rPr>
                <w:rFonts w:ascii="Arial" w:hAnsi="Arial" w:cs="Arial"/>
                <w:sz w:val="18"/>
                <w:szCs w:val="18"/>
                <w:highlight w:val="yellow"/>
              </w:rPr>
              <w:t>Art. 6 und Art. 9 SAG, Anhang I SAG; Art. 4 und 5 SAV; Richtlinie (EU) 2014/59; FMA-Wegleitung 2017/6</w:t>
            </w:r>
            <w:r w:rsidR="003D18A4">
              <w:rPr>
                <w:rFonts w:ascii="Arial" w:hAnsi="Arial" w:cs="Arial"/>
                <w:sz w:val="18"/>
                <w:szCs w:val="18"/>
                <w:highlight w:val="yellow"/>
              </w:rPr>
              <w:t>; EBA/GL/2021/11; EBA/GL/2014/06; EBA/GL/2015/02</w:t>
            </w:r>
          </w:p>
        </w:tc>
      </w:tr>
      <w:tr w:rsidR="005E281B" w:rsidRPr="009872F3" w14:paraId="6314ED2E" w14:textId="77777777" w:rsidTr="00E7309B">
        <w:trPr>
          <w:trHeight w:val="294"/>
        </w:trPr>
        <w:tc>
          <w:tcPr>
            <w:tcW w:w="9180" w:type="dxa"/>
            <w:gridSpan w:val="4"/>
          </w:tcPr>
          <w:p w14:paraId="38745CB2" w14:textId="77777777" w:rsidR="005E281B" w:rsidRPr="009872F3" w:rsidRDefault="005E281B" w:rsidP="00E7309B">
            <w:pPr>
              <w:jc w:val="both"/>
              <w:rPr>
                <w:rFonts w:ascii="Arial" w:hAnsi="Arial" w:cs="Arial"/>
                <w:sz w:val="18"/>
                <w:szCs w:val="18"/>
              </w:rPr>
            </w:pPr>
          </w:p>
        </w:tc>
      </w:tr>
      <w:tr w:rsidR="005E281B" w:rsidRPr="009872F3" w14:paraId="253381BA" w14:textId="77777777" w:rsidTr="00E7309B">
        <w:tc>
          <w:tcPr>
            <w:tcW w:w="5798" w:type="dxa"/>
            <w:gridSpan w:val="3"/>
          </w:tcPr>
          <w:p w14:paraId="34DBF9B8" w14:textId="77777777" w:rsidR="005E281B" w:rsidRPr="009872F3" w:rsidRDefault="005E281B" w:rsidP="00E7309B">
            <w:pPr>
              <w:jc w:val="both"/>
              <w:rPr>
                <w:rFonts w:ascii="Arial" w:hAnsi="Arial" w:cs="Arial"/>
                <w:sz w:val="18"/>
                <w:szCs w:val="18"/>
              </w:rPr>
            </w:pPr>
            <w:r>
              <w:rPr>
                <w:rFonts w:ascii="Arial" w:hAnsi="Arial" w:cs="Arial"/>
                <w:sz w:val="18"/>
                <w:szCs w:val="18"/>
              </w:rPr>
              <w:t>Bestätigung, dass die internen Verfahren und Parameter zur Marktabgrenzung, zur Ermittlung der Kerngeschäftsbereiche, den rechtlichen und wirtschaftlichen Verflechtungen sowie den kritischen Funktionen angemessen sind</w:t>
            </w:r>
          </w:p>
        </w:tc>
        <w:tc>
          <w:tcPr>
            <w:tcW w:w="3382" w:type="dxa"/>
          </w:tcPr>
          <w:p w14:paraId="7607D2EB" w14:textId="77777777" w:rsidR="005E281B" w:rsidRPr="00E109DF" w:rsidRDefault="005E281B" w:rsidP="00E7309B">
            <w:pPr>
              <w:jc w:val="both"/>
              <w:rPr>
                <w:rFonts w:ascii="Arial" w:hAnsi="Arial" w:cs="Arial"/>
                <w:i/>
                <w:sz w:val="18"/>
                <w:szCs w:val="18"/>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E281B" w:rsidRPr="009872F3" w14:paraId="7271A5C4" w14:textId="77777777" w:rsidTr="00E7309B">
        <w:tc>
          <w:tcPr>
            <w:tcW w:w="5798" w:type="dxa"/>
            <w:gridSpan w:val="3"/>
          </w:tcPr>
          <w:p w14:paraId="440475E4" w14:textId="57B3AC46" w:rsidR="005E281B" w:rsidRDefault="005E281B" w:rsidP="00E7309B">
            <w:pPr>
              <w:jc w:val="both"/>
              <w:rPr>
                <w:rFonts w:ascii="Arial" w:hAnsi="Arial" w:cs="Arial"/>
                <w:sz w:val="18"/>
                <w:szCs w:val="18"/>
              </w:rPr>
            </w:pPr>
            <w:r>
              <w:rPr>
                <w:rFonts w:ascii="Arial" w:hAnsi="Arial" w:cs="Arial"/>
                <w:sz w:val="18"/>
                <w:szCs w:val="18"/>
              </w:rPr>
              <w:t>Bestätigung, das</w:t>
            </w:r>
            <w:r w:rsidR="000C756C">
              <w:rPr>
                <w:rFonts w:ascii="Arial" w:hAnsi="Arial" w:cs="Arial"/>
                <w:sz w:val="18"/>
                <w:szCs w:val="18"/>
              </w:rPr>
              <w:t xml:space="preserve">s die Sanierungsmassnahmen angemessen sind </w:t>
            </w:r>
            <w:r>
              <w:rPr>
                <w:rFonts w:ascii="Arial" w:hAnsi="Arial" w:cs="Arial"/>
                <w:sz w:val="18"/>
                <w:szCs w:val="18"/>
              </w:rPr>
              <w:t xml:space="preserve">um den gesetzlichen bzw. den von der </w:t>
            </w:r>
            <w:r w:rsidR="006179DA" w:rsidRPr="00BF6946">
              <w:rPr>
                <w:rFonts w:ascii="Arial" w:hAnsi="Arial" w:cs="Arial"/>
                <w:sz w:val="18"/>
                <w:szCs w:val="18"/>
              </w:rPr>
              <w:t>Bank/Wertpapierfirma bzw. der Gruppe</w:t>
            </w:r>
            <w:r w:rsidR="006179DA" w:rsidDel="006179DA">
              <w:rPr>
                <w:rFonts w:ascii="Arial" w:hAnsi="Arial" w:cs="Arial"/>
                <w:sz w:val="18"/>
                <w:szCs w:val="18"/>
              </w:rPr>
              <w:t xml:space="preserve"> </w:t>
            </w:r>
            <w:r>
              <w:rPr>
                <w:rFonts w:ascii="Arial" w:hAnsi="Arial" w:cs="Arial"/>
                <w:sz w:val="18"/>
                <w:szCs w:val="18"/>
              </w:rPr>
              <w:t>definierten Zustand wiederherzustellen</w:t>
            </w:r>
          </w:p>
        </w:tc>
        <w:tc>
          <w:tcPr>
            <w:tcW w:w="3382" w:type="dxa"/>
          </w:tcPr>
          <w:p w14:paraId="7A2B83F1" w14:textId="77777777" w:rsidR="005E281B" w:rsidRPr="00E109DF" w:rsidRDefault="005E281B"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0C756C" w:rsidRPr="009872F3" w14:paraId="495A2C94" w14:textId="77777777" w:rsidTr="00E7309B">
        <w:tc>
          <w:tcPr>
            <w:tcW w:w="5798" w:type="dxa"/>
            <w:gridSpan w:val="3"/>
          </w:tcPr>
          <w:p w14:paraId="0CF13BBB" w14:textId="77777777" w:rsidR="000C756C" w:rsidRDefault="000C756C" w:rsidP="00E7309B">
            <w:pPr>
              <w:jc w:val="both"/>
              <w:rPr>
                <w:rFonts w:ascii="Arial" w:hAnsi="Arial" w:cs="Arial"/>
                <w:sz w:val="18"/>
                <w:szCs w:val="18"/>
              </w:rPr>
            </w:pPr>
            <w:r>
              <w:rPr>
                <w:rFonts w:ascii="Arial" w:hAnsi="Arial" w:cs="Arial"/>
                <w:sz w:val="18"/>
                <w:szCs w:val="18"/>
              </w:rPr>
              <w:t>Bestätigung, dass die Ausgestaltung und Höhe der Sanierungsindikatoren (Schwellenwerte) angemessen sind</w:t>
            </w:r>
          </w:p>
        </w:tc>
        <w:tc>
          <w:tcPr>
            <w:tcW w:w="3382" w:type="dxa"/>
          </w:tcPr>
          <w:p w14:paraId="1D8D1B39" w14:textId="77777777" w:rsidR="000C756C" w:rsidRPr="00E109DF" w:rsidRDefault="000C756C"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E281B" w:rsidRPr="009872F3" w14:paraId="16E07A7B" w14:textId="77777777" w:rsidTr="00E7309B">
        <w:tc>
          <w:tcPr>
            <w:tcW w:w="5798" w:type="dxa"/>
            <w:gridSpan w:val="3"/>
          </w:tcPr>
          <w:p w14:paraId="236CFF90" w14:textId="77777777" w:rsidR="005E281B" w:rsidRDefault="005E281B" w:rsidP="00E7309B">
            <w:pPr>
              <w:jc w:val="both"/>
              <w:rPr>
                <w:rFonts w:ascii="Arial" w:hAnsi="Arial" w:cs="Arial"/>
                <w:sz w:val="18"/>
                <w:szCs w:val="18"/>
              </w:rPr>
            </w:pPr>
            <w:r>
              <w:rPr>
                <w:rFonts w:ascii="Arial" w:hAnsi="Arial" w:cs="Arial"/>
                <w:sz w:val="18"/>
                <w:szCs w:val="18"/>
              </w:rPr>
              <w:t>Bestätigung, dass die internen Verfahren und Annahmen zum Stress-Testing konsistent mit dem ICAAP / ILAAP sind</w:t>
            </w:r>
          </w:p>
        </w:tc>
        <w:tc>
          <w:tcPr>
            <w:tcW w:w="3382" w:type="dxa"/>
          </w:tcPr>
          <w:p w14:paraId="2794E9F7" w14:textId="77777777" w:rsidR="005E281B" w:rsidRPr="00E109DF" w:rsidRDefault="005E281B"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E281B" w:rsidRPr="009872F3" w14:paraId="40B6028E" w14:textId="77777777" w:rsidTr="00E7309B">
        <w:tc>
          <w:tcPr>
            <w:tcW w:w="5798" w:type="dxa"/>
            <w:gridSpan w:val="3"/>
          </w:tcPr>
          <w:p w14:paraId="3CC77AAE" w14:textId="77777777" w:rsidR="005E281B" w:rsidRDefault="005E281B" w:rsidP="00E7309B">
            <w:pPr>
              <w:jc w:val="both"/>
              <w:rPr>
                <w:rFonts w:ascii="Arial" w:hAnsi="Arial" w:cs="Arial"/>
                <w:sz w:val="18"/>
                <w:szCs w:val="18"/>
              </w:rPr>
            </w:pPr>
            <w:r>
              <w:rPr>
                <w:rFonts w:ascii="Arial" w:hAnsi="Arial" w:cs="Arial"/>
                <w:sz w:val="18"/>
                <w:szCs w:val="18"/>
              </w:rPr>
              <w:lastRenderedPageBreak/>
              <w:t>Bestätigung, dass der Schweregrad, Umfang und die Anzahl der Szenarien angemessen sind</w:t>
            </w:r>
          </w:p>
        </w:tc>
        <w:tc>
          <w:tcPr>
            <w:tcW w:w="3382" w:type="dxa"/>
          </w:tcPr>
          <w:p w14:paraId="4BBA2F51" w14:textId="77777777" w:rsidR="005E281B" w:rsidRPr="00E109DF" w:rsidRDefault="005E281B"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r w:rsidR="005E281B" w:rsidRPr="009872F3" w14:paraId="12EF57D3" w14:textId="77777777" w:rsidTr="00E7309B">
        <w:tc>
          <w:tcPr>
            <w:tcW w:w="5798" w:type="dxa"/>
            <w:gridSpan w:val="3"/>
          </w:tcPr>
          <w:p w14:paraId="218CCA0B" w14:textId="77777777" w:rsidR="005E281B" w:rsidRDefault="005E281B" w:rsidP="00E7309B">
            <w:pPr>
              <w:jc w:val="both"/>
              <w:rPr>
                <w:rFonts w:ascii="Arial" w:hAnsi="Arial" w:cs="Arial"/>
                <w:sz w:val="18"/>
                <w:szCs w:val="18"/>
              </w:rPr>
            </w:pPr>
            <w:r>
              <w:rPr>
                <w:rFonts w:ascii="Arial" w:hAnsi="Arial" w:cs="Arial"/>
                <w:sz w:val="18"/>
                <w:szCs w:val="18"/>
              </w:rPr>
              <w:t>Bestätigung, dass zur Durchführung der Notfallkonzepte angemessene interne Verfahren bestehen</w:t>
            </w:r>
          </w:p>
        </w:tc>
        <w:tc>
          <w:tcPr>
            <w:tcW w:w="3382" w:type="dxa"/>
          </w:tcPr>
          <w:p w14:paraId="312FD446" w14:textId="77777777" w:rsidR="005E281B" w:rsidRPr="00E109DF" w:rsidRDefault="005E281B" w:rsidP="00E7309B">
            <w:pPr>
              <w:jc w:val="both"/>
              <w:rPr>
                <w:rFonts w:ascii="Arial" w:hAnsi="Arial" w:cs="Arial"/>
                <w:i/>
                <w:sz w:val="18"/>
                <w:szCs w:val="18"/>
                <w:highlight w:val="yellow"/>
              </w:rPr>
            </w:pPr>
            <w:r w:rsidRPr="00E109DF">
              <w:rPr>
                <w:rFonts w:ascii="Arial" w:hAnsi="Arial" w:cs="Arial"/>
                <w:i/>
                <w:sz w:val="18"/>
                <w:szCs w:val="18"/>
                <w:highlight w:val="yellow"/>
              </w:rPr>
              <w:t>Ja (</w:t>
            </w:r>
            <w:r>
              <w:rPr>
                <w:rFonts w:ascii="Arial" w:hAnsi="Arial" w:cs="Arial"/>
                <w:i/>
                <w:sz w:val="18"/>
                <w:szCs w:val="18"/>
                <w:highlight w:val="yellow"/>
              </w:rPr>
              <w:t>Detailprüfung</w:t>
            </w:r>
            <w:r w:rsidRPr="00E109DF">
              <w:rPr>
                <w:rFonts w:ascii="Arial" w:hAnsi="Arial" w:cs="Arial"/>
                <w:i/>
                <w:sz w:val="18"/>
                <w:szCs w:val="18"/>
                <w:highlight w:val="yellow"/>
              </w:rPr>
              <w:t xml:space="preserve"> / Kritische Beurteilung) / Nein</w:t>
            </w:r>
          </w:p>
        </w:tc>
      </w:tr>
    </w:tbl>
    <w:p w14:paraId="0308FDB1" w14:textId="77777777" w:rsidR="005E281B" w:rsidRDefault="005E281B" w:rsidP="005E281B">
      <w:pPr>
        <w:jc w:val="both"/>
      </w:pPr>
    </w:p>
    <w:tbl>
      <w:tblPr>
        <w:tblStyle w:val="Tabellenraster"/>
        <w:tblW w:w="0" w:type="auto"/>
        <w:tblLook w:val="04A0" w:firstRow="1" w:lastRow="0" w:firstColumn="1" w:lastColumn="0" w:noHBand="0" w:noVBand="1"/>
      </w:tblPr>
      <w:tblGrid>
        <w:gridCol w:w="2660"/>
        <w:gridCol w:w="6520"/>
      </w:tblGrid>
      <w:tr w:rsidR="005E281B" w:rsidRPr="00CE3194" w14:paraId="35AFF90D" w14:textId="77777777" w:rsidTr="00E7309B">
        <w:tc>
          <w:tcPr>
            <w:tcW w:w="2660" w:type="dxa"/>
          </w:tcPr>
          <w:p w14:paraId="0AF92015" w14:textId="77777777" w:rsidR="005E281B" w:rsidRPr="00CE3194" w:rsidRDefault="005E281B" w:rsidP="00E7309B">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125082A0" w14:textId="77777777" w:rsidR="005E281B" w:rsidRPr="00CE3194" w:rsidRDefault="005E281B" w:rsidP="00E7309B">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5E281B" w:rsidRPr="00CE3194" w14:paraId="1399535B" w14:textId="77777777" w:rsidTr="00E7309B">
        <w:tc>
          <w:tcPr>
            <w:tcW w:w="2660" w:type="dxa"/>
          </w:tcPr>
          <w:p w14:paraId="3AF23683" w14:textId="77777777" w:rsidR="005E281B" w:rsidRDefault="005E281B" w:rsidP="00E7309B">
            <w:pPr>
              <w:jc w:val="both"/>
              <w:rPr>
                <w:rFonts w:ascii="Arial" w:hAnsi="Arial" w:cs="Arial"/>
                <w:i/>
                <w:sz w:val="20"/>
                <w:szCs w:val="20"/>
                <w:highlight w:val="lightGray"/>
              </w:rPr>
            </w:pPr>
            <w:r>
              <w:rPr>
                <w:rFonts w:ascii="Arial" w:hAnsi="Arial" w:cs="Arial"/>
                <w:i/>
                <w:sz w:val="20"/>
                <w:szCs w:val="20"/>
                <w:highlight w:val="lightGray"/>
              </w:rPr>
              <w:t>Sanierungsplanung</w:t>
            </w:r>
          </w:p>
        </w:tc>
        <w:tc>
          <w:tcPr>
            <w:tcW w:w="6520" w:type="dxa"/>
          </w:tcPr>
          <w:p w14:paraId="79220605" w14:textId="77777777" w:rsidR="005E281B" w:rsidRPr="00136B58" w:rsidRDefault="005E281B" w:rsidP="00E7309B">
            <w:pPr>
              <w:pStyle w:val="Listenabsatz"/>
              <w:numPr>
                <w:ilvl w:val="1"/>
                <w:numId w:val="17"/>
              </w:numPr>
              <w:ind w:left="317" w:hanging="283"/>
              <w:jc w:val="both"/>
              <w:rPr>
                <w:rFonts w:cs="Arial"/>
                <w:i/>
                <w:szCs w:val="20"/>
                <w:highlight w:val="lightGray"/>
              </w:rPr>
            </w:pPr>
            <w:r>
              <w:rPr>
                <w:rFonts w:cs="Arial"/>
                <w:i/>
                <w:szCs w:val="20"/>
                <w:highlight w:val="lightGray"/>
              </w:rPr>
              <w:t xml:space="preserve">Die </w:t>
            </w:r>
            <w:r w:rsidRPr="00136B58">
              <w:rPr>
                <w:rFonts w:cs="Arial"/>
                <w:i/>
                <w:szCs w:val="20"/>
                <w:highlight w:val="lightGray"/>
              </w:rPr>
              <w:t>Verfahren und Parameter zur Marktabgrenzung (sachlich und geografisch), Ermittlung der Kerngeschäftsbereiche und rechtlichen und wirtschaftlichen Verflechtungen sowie der kritischen Funktionen innerhalb des Instituts</w:t>
            </w:r>
            <w:r>
              <w:rPr>
                <w:rFonts w:cs="Arial"/>
                <w:i/>
                <w:szCs w:val="20"/>
                <w:highlight w:val="lightGray"/>
              </w:rPr>
              <w:t xml:space="preserve"> sind angemessen</w:t>
            </w:r>
          </w:p>
          <w:p w14:paraId="294DE421" w14:textId="77777777" w:rsidR="005E281B" w:rsidRDefault="005E281B" w:rsidP="00E7309B">
            <w:pPr>
              <w:pStyle w:val="Listenabsatz"/>
              <w:numPr>
                <w:ilvl w:val="1"/>
                <w:numId w:val="17"/>
              </w:numPr>
              <w:ind w:left="317" w:hanging="283"/>
              <w:jc w:val="both"/>
              <w:rPr>
                <w:rFonts w:cs="Arial"/>
                <w:i/>
                <w:szCs w:val="20"/>
                <w:highlight w:val="lightGray"/>
              </w:rPr>
            </w:pPr>
            <w:r w:rsidRPr="00136B58">
              <w:rPr>
                <w:rFonts w:cs="Arial"/>
                <w:i/>
                <w:szCs w:val="20"/>
                <w:highlight w:val="lightGray"/>
              </w:rPr>
              <w:t>Die Sanierungsmassnahmen sind angemessen um den gesetzlichen bzw. den vom Institut definierten Zustand wiederherzustellen (finanzielle, operative und externe Auswirkungen; Durchführbarkeit; Zeitrahmen)</w:t>
            </w:r>
          </w:p>
          <w:p w14:paraId="2C3598A3" w14:textId="77777777" w:rsidR="000C756C" w:rsidRPr="00136B58" w:rsidRDefault="000C756C" w:rsidP="00E7309B">
            <w:pPr>
              <w:pStyle w:val="Listenabsatz"/>
              <w:numPr>
                <w:ilvl w:val="1"/>
                <w:numId w:val="17"/>
              </w:numPr>
              <w:ind w:left="317" w:hanging="283"/>
              <w:jc w:val="both"/>
              <w:rPr>
                <w:rFonts w:cs="Arial"/>
                <w:i/>
                <w:szCs w:val="20"/>
                <w:highlight w:val="lightGray"/>
              </w:rPr>
            </w:pPr>
            <w:r>
              <w:rPr>
                <w:rFonts w:cs="Arial"/>
                <w:i/>
                <w:szCs w:val="20"/>
                <w:highlight w:val="lightGray"/>
              </w:rPr>
              <w:t>Die Ausgestaltung und Höhe der Sanierungsindikatoren sind angemessen</w:t>
            </w:r>
          </w:p>
          <w:p w14:paraId="1F2D661B" w14:textId="77777777" w:rsidR="005E281B" w:rsidRPr="00136B58" w:rsidRDefault="005E281B" w:rsidP="00E7309B">
            <w:pPr>
              <w:pStyle w:val="Listenabsatz"/>
              <w:numPr>
                <w:ilvl w:val="1"/>
                <w:numId w:val="17"/>
              </w:numPr>
              <w:ind w:left="317" w:hanging="283"/>
              <w:jc w:val="both"/>
              <w:rPr>
                <w:rFonts w:cs="Arial"/>
                <w:i/>
                <w:szCs w:val="20"/>
                <w:highlight w:val="lightGray"/>
              </w:rPr>
            </w:pPr>
            <w:r w:rsidRPr="00136B58">
              <w:rPr>
                <w:rFonts w:cs="Arial"/>
                <w:i/>
                <w:szCs w:val="20"/>
                <w:highlight w:val="lightGray"/>
              </w:rPr>
              <w:t xml:space="preserve">Die Verfahren und Annahmen zu Stress-Testing sind konsistent mit dem ICAAP / ILAAP </w:t>
            </w:r>
          </w:p>
          <w:p w14:paraId="2BB2D8D3" w14:textId="77777777" w:rsidR="005E281B" w:rsidRPr="00136B58" w:rsidRDefault="005E281B" w:rsidP="00E7309B">
            <w:pPr>
              <w:pStyle w:val="Listenabsatz"/>
              <w:numPr>
                <w:ilvl w:val="1"/>
                <w:numId w:val="17"/>
              </w:numPr>
              <w:ind w:left="317" w:hanging="283"/>
              <w:jc w:val="both"/>
              <w:rPr>
                <w:rFonts w:cs="Arial"/>
                <w:i/>
                <w:szCs w:val="20"/>
                <w:highlight w:val="lightGray"/>
              </w:rPr>
            </w:pPr>
            <w:r>
              <w:rPr>
                <w:rFonts w:cs="Arial"/>
                <w:i/>
                <w:szCs w:val="20"/>
                <w:highlight w:val="lightGray"/>
              </w:rPr>
              <w:t xml:space="preserve">Der </w:t>
            </w:r>
            <w:r w:rsidRPr="00136B58">
              <w:rPr>
                <w:rFonts w:cs="Arial"/>
                <w:i/>
                <w:szCs w:val="20"/>
                <w:highlight w:val="lightGray"/>
              </w:rPr>
              <w:t xml:space="preserve">Schweregrad, Umfang und </w:t>
            </w:r>
            <w:r>
              <w:rPr>
                <w:rFonts w:cs="Arial"/>
                <w:i/>
                <w:szCs w:val="20"/>
                <w:highlight w:val="lightGray"/>
              </w:rPr>
              <w:t xml:space="preserve">die </w:t>
            </w:r>
            <w:r w:rsidRPr="00136B58">
              <w:rPr>
                <w:rFonts w:cs="Arial"/>
                <w:i/>
                <w:szCs w:val="20"/>
                <w:highlight w:val="lightGray"/>
              </w:rPr>
              <w:t>Anzahl der Szenarien sind angemessen</w:t>
            </w:r>
          </w:p>
          <w:p w14:paraId="0734E747" w14:textId="77777777" w:rsidR="005E281B" w:rsidRPr="004D4B39" w:rsidRDefault="005E281B" w:rsidP="00E7309B">
            <w:pPr>
              <w:pStyle w:val="Listenabsatz"/>
              <w:numPr>
                <w:ilvl w:val="1"/>
                <w:numId w:val="17"/>
              </w:numPr>
              <w:ind w:left="317" w:hanging="283"/>
              <w:jc w:val="both"/>
              <w:rPr>
                <w:rFonts w:cs="Arial"/>
                <w:i/>
                <w:szCs w:val="20"/>
                <w:highlight w:val="lightGray"/>
              </w:rPr>
            </w:pPr>
            <w:r w:rsidRPr="00136B58">
              <w:rPr>
                <w:rFonts w:cs="Arial"/>
                <w:i/>
                <w:szCs w:val="20"/>
                <w:highlight w:val="lightGray"/>
              </w:rPr>
              <w:t>Für die Durchführung der Notfallkonzepte bestehen angemessene interne Verfahren</w:t>
            </w:r>
          </w:p>
        </w:tc>
      </w:tr>
    </w:tbl>
    <w:p w14:paraId="7C1F8540" w14:textId="77777777" w:rsidR="005E281B" w:rsidRDefault="005E281B" w:rsidP="005E281B">
      <w:pPr>
        <w:jc w:val="both"/>
      </w:pPr>
    </w:p>
    <w:p w14:paraId="6047D51F" w14:textId="77777777" w:rsidR="005E281B" w:rsidRDefault="005E281B" w:rsidP="005E281B">
      <w:pPr>
        <w:jc w:val="both"/>
      </w:pPr>
      <w:r w:rsidRPr="00276C60">
        <w:rPr>
          <w:rFonts w:ascii="Arial" w:hAnsi="Arial" w:cs="Arial"/>
          <w:i/>
          <w:sz w:val="20"/>
          <w:szCs w:val="20"/>
          <w:highlight w:val="yellow"/>
        </w:rPr>
        <w:t>Text</w:t>
      </w:r>
    </w:p>
    <w:p w14:paraId="3EC7DD41" w14:textId="77777777" w:rsidR="001B7BDD" w:rsidRDefault="001B7BDD" w:rsidP="00CB3EE6">
      <w:pPr>
        <w:jc w:val="both"/>
      </w:pPr>
    </w:p>
    <w:p w14:paraId="69FB5F54" w14:textId="7F93C711" w:rsidR="00636495" w:rsidRDefault="00C1386F" w:rsidP="00636495">
      <w:pPr>
        <w:pStyle w:val="FINMAGliederungEbene3"/>
      </w:pPr>
      <w:bookmarkStart w:id="83" w:name="_Toc147849932"/>
      <w:r>
        <w:t>Zahlungsdienstrichtlinie (PSD II)</w:t>
      </w:r>
      <w:r w:rsidR="00636495">
        <w:t xml:space="preserve"> (And-4)</w:t>
      </w:r>
      <w:bookmarkEnd w:id="83"/>
    </w:p>
    <w:p w14:paraId="50194E15" w14:textId="77777777" w:rsidR="00636495" w:rsidRDefault="00636495" w:rsidP="00636495">
      <w:pPr>
        <w:jc w:val="both"/>
      </w:pPr>
    </w:p>
    <w:tbl>
      <w:tblPr>
        <w:tblStyle w:val="Tabellenraster"/>
        <w:tblW w:w="0" w:type="auto"/>
        <w:tblLook w:val="04A0" w:firstRow="1" w:lastRow="0" w:firstColumn="1" w:lastColumn="0" w:noHBand="0" w:noVBand="1"/>
      </w:tblPr>
      <w:tblGrid>
        <w:gridCol w:w="1475"/>
        <w:gridCol w:w="2219"/>
        <w:gridCol w:w="2081"/>
        <w:gridCol w:w="3739"/>
      </w:tblGrid>
      <w:tr w:rsidR="00636495" w:rsidRPr="009872F3" w14:paraId="68569647" w14:textId="77777777" w:rsidTr="00FC0BF3">
        <w:trPr>
          <w:trHeight w:val="563"/>
        </w:trPr>
        <w:tc>
          <w:tcPr>
            <w:tcW w:w="1504" w:type="dxa"/>
          </w:tcPr>
          <w:p w14:paraId="75D56CEB" w14:textId="77777777" w:rsidR="00636495" w:rsidRPr="009872F3" w:rsidRDefault="00636495" w:rsidP="00FC0BF3">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17C065CA" w14:textId="77777777" w:rsidR="00636495" w:rsidRPr="009872F3" w:rsidRDefault="00636495" w:rsidP="00FC0BF3">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4B0DB7F2" w14:textId="77777777" w:rsidR="00636495" w:rsidRPr="009872F3" w:rsidRDefault="00636495" w:rsidP="00FC0BF3">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636495" w:rsidRPr="009872F3" w14:paraId="7A932416" w14:textId="77777777" w:rsidTr="00FC0BF3">
        <w:trPr>
          <w:trHeight w:val="698"/>
        </w:trPr>
        <w:tc>
          <w:tcPr>
            <w:tcW w:w="1504" w:type="dxa"/>
          </w:tcPr>
          <w:p w14:paraId="5CD01A0D" w14:textId="77777777" w:rsidR="00636495" w:rsidRPr="006749F0" w:rsidRDefault="00636495" w:rsidP="00FC0BF3">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36845305" w14:textId="77777777" w:rsidR="00636495" w:rsidRPr="00667026" w:rsidRDefault="00636495" w:rsidP="00FC0BF3">
            <w:pPr>
              <w:jc w:val="both"/>
              <w:rPr>
                <w:rFonts w:ascii="Arial" w:hAnsi="Arial" w:cs="Arial"/>
                <w:sz w:val="18"/>
                <w:szCs w:val="18"/>
                <w:highlight w:val="yellow"/>
              </w:rPr>
            </w:pPr>
            <w:r>
              <w:rPr>
                <w:rFonts w:ascii="Arial" w:hAnsi="Arial" w:cs="Arial"/>
                <w:sz w:val="18"/>
                <w:szCs w:val="18"/>
                <w:highlight w:val="yellow"/>
              </w:rPr>
              <w:t>Beispiel für Berichtsjahr 2019:</w:t>
            </w:r>
          </w:p>
          <w:p w14:paraId="0D71A8AF" w14:textId="77777777" w:rsidR="00636495" w:rsidRPr="00CB3EE6" w:rsidRDefault="00636495" w:rsidP="00FC0BF3">
            <w:pPr>
              <w:pStyle w:val="Listenabsatz"/>
              <w:numPr>
                <w:ilvl w:val="1"/>
                <w:numId w:val="17"/>
              </w:numPr>
              <w:ind w:left="197" w:hanging="197"/>
              <w:jc w:val="both"/>
              <w:rPr>
                <w:rFonts w:cs="Arial"/>
                <w:sz w:val="18"/>
                <w:szCs w:val="18"/>
                <w:highlight w:val="yellow"/>
              </w:rPr>
            </w:pPr>
            <w:r>
              <w:rPr>
                <w:rFonts w:cs="Arial"/>
                <w:sz w:val="18"/>
                <w:szCs w:val="18"/>
                <w:highlight w:val="yellow"/>
              </w:rPr>
              <w:t>Schwerwiegende Betriebs- oder Sicherheitsvorfälle: Internes Kontrollsystem (Detailprüfung)</w:t>
            </w:r>
          </w:p>
        </w:tc>
        <w:tc>
          <w:tcPr>
            <w:tcW w:w="3827" w:type="dxa"/>
          </w:tcPr>
          <w:p w14:paraId="5C60E816" w14:textId="77777777" w:rsidR="00636495" w:rsidRDefault="00636495" w:rsidP="00FC0BF3">
            <w:pPr>
              <w:jc w:val="both"/>
              <w:rPr>
                <w:rFonts w:ascii="Arial" w:hAnsi="Arial" w:cs="Arial"/>
                <w:i/>
                <w:sz w:val="18"/>
                <w:szCs w:val="18"/>
              </w:rPr>
            </w:pPr>
            <w:r w:rsidRPr="00667026">
              <w:rPr>
                <w:rFonts w:ascii="Arial" w:hAnsi="Arial" w:cs="Arial"/>
                <w:i/>
                <w:sz w:val="18"/>
                <w:szCs w:val="18"/>
                <w:highlight w:val="yellow"/>
              </w:rPr>
              <w:t>Beispiel:</w:t>
            </w:r>
          </w:p>
          <w:p w14:paraId="0CB47BC5" w14:textId="77777777" w:rsidR="00636495" w:rsidRDefault="00636495" w:rsidP="00FC0BF3">
            <w:pPr>
              <w:jc w:val="both"/>
              <w:rPr>
                <w:rFonts w:ascii="Arial" w:hAnsi="Arial" w:cs="Arial"/>
                <w:i/>
                <w:sz w:val="18"/>
                <w:szCs w:val="18"/>
                <w:highlight w:val="yellow"/>
              </w:rPr>
            </w:pPr>
            <w:r>
              <w:rPr>
                <w:rFonts w:ascii="Arial" w:hAnsi="Arial" w:cs="Arial"/>
                <w:i/>
                <w:sz w:val="18"/>
                <w:szCs w:val="18"/>
                <w:highlight w:val="yellow"/>
              </w:rPr>
              <w:t xml:space="preserve">2014: </w:t>
            </w:r>
            <w:r w:rsidRPr="00A1206C">
              <w:rPr>
                <w:rFonts w:ascii="Arial" w:hAnsi="Arial" w:cs="Arial"/>
                <w:sz w:val="18"/>
                <w:szCs w:val="18"/>
                <w:highlight w:val="yellow"/>
              </w:rPr>
              <w:t>Schwerwiegende Betriebs- oder Sicherheitsvorfälle: Meldewesen (</w:t>
            </w:r>
            <w:r>
              <w:rPr>
                <w:rFonts w:ascii="Arial" w:hAnsi="Arial" w:cs="Arial"/>
                <w:sz w:val="18"/>
                <w:szCs w:val="18"/>
                <w:highlight w:val="yellow"/>
              </w:rPr>
              <w:t>Kritische Beurteilung</w:t>
            </w:r>
            <w:r w:rsidRPr="00A1206C">
              <w:rPr>
                <w:rFonts w:ascii="Arial" w:hAnsi="Arial" w:cs="Arial"/>
                <w:sz w:val="18"/>
                <w:szCs w:val="18"/>
                <w:highlight w:val="yellow"/>
              </w:rPr>
              <w:t>)</w:t>
            </w:r>
          </w:p>
          <w:p w14:paraId="02FCFE00" w14:textId="77777777" w:rsidR="00636495" w:rsidRDefault="00636495" w:rsidP="00FC0BF3">
            <w:pPr>
              <w:jc w:val="both"/>
              <w:rPr>
                <w:rFonts w:ascii="Arial" w:hAnsi="Arial" w:cs="Arial"/>
                <w:i/>
                <w:sz w:val="18"/>
                <w:szCs w:val="18"/>
                <w:highlight w:val="yellow"/>
              </w:rPr>
            </w:pPr>
            <w:r>
              <w:rPr>
                <w:rFonts w:ascii="Arial" w:hAnsi="Arial" w:cs="Arial"/>
                <w:i/>
                <w:sz w:val="18"/>
                <w:szCs w:val="18"/>
                <w:highlight w:val="yellow"/>
              </w:rPr>
              <w:t>2015</w:t>
            </w:r>
            <w:r w:rsidRPr="00F0453E">
              <w:rPr>
                <w:rFonts w:ascii="Arial" w:hAnsi="Arial" w:cs="Arial"/>
                <w:sz w:val="18"/>
                <w:szCs w:val="18"/>
                <w:highlight w:val="yellow"/>
              </w:rPr>
              <w:t>: Schwerwiegende Betriebs- oder Sicherheitsvorfälle: Internes Kontrollsystem (Kritische Beurteilung)</w:t>
            </w:r>
          </w:p>
          <w:p w14:paraId="3EA8F9C7" w14:textId="77777777" w:rsidR="00636495" w:rsidRPr="00F0453E" w:rsidRDefault="00636495" w:rsidP="00FC0BF3">
            <w:pPr>
              <w:jc w:val="both"/>
              <w:rPr>
                <w:rFonts w:ascii="Arial" w:hAnsi="Arial" w:cs="Arial"/>
                <w:sz w:val="18"/>
                <w:szCs w:val="18"/>
                <w:highlight w:val="yellow"/>
              </w:rPr>
            </w:pPr>
            <w:r>
              <w:rPr>
                <w:rFonts w:ascii="Arial" w:hAnsi="Arial" w:cs="Arial"/>
                <w:i/>
                <w:sz w:val="18"/>
                <w:szCs w:val="18"/>
                <w:highlight w:val="yellow"/>
              </w:rPr>
              <w:t>2016</w:t>
            </w:r>
            <w:r w:rsidRPr="00667026">
              <w:rPr>
                <w:rFonts w:ascii="Arial" w:hAnsi="Arial" w:cs="Arial"/>
                <w:i/>
                <w:sz w:val="18"/>
                <w:szCs w:val="18"/>
                <w:highlight w:val="yellow"/>
              </w:rPr>
              <w:t xml:space="preserve">: </w:t>
            </w:r>
            <w:r w:rsidRPr="00F0453E">
              <w:rPr>
                <w:rFonts w:ascii="Arial" w:hAnsi="Arial" w:cs="Arial"/>
                <w:sz w:val="18"/>
                <w:szCs w:val="18"/>
                <w:highlight w:val="yellow"/>
              </w:rPr>
              <w:t>Zugangsschnittstellen und dedizierte Schnittstellen (Detailprüfung)</w:t>
            </w:r>
          </w:p>
          <w:p w14:paraId="73830E79" w14:textId="77777777" w:rsidR="00636495" w:rsidRPr="00F0453E" w:rsidRDefault="00636495" w:rsidP="00FC0BF3">
            <w:pPr>
              <w:jc w:val="both"/>
              <w:rPr>
                <w:rFonts w:ascii="Arial" w:hAnsi="Arial" w:cs="Arial"/>
                <w:sz w:val="18"/>
                <w:szCs w:val="18"/>
                <w:highlight w:val="yellow"/>
              </w:rPr>
            </w:pPr>
            <w:r w:rsidRPr="00F0453E">
              <w:rPr>
                <w:rFonts w:ascii="Arial" w:hAnsi="Arial" w:cs="Arial"/>
                <w:sz w:val="18"/>
                <w:szCs w:val="18"/>
                <w:highlight w:val="yellow"/>
              </w:rPr>
              <w:t>2017: Starke Kundenauthentifizierung (Kritische Beurteilung)</w:t>
            </w:r>
          </w:p>
          <w:p w14:paraId="05CF3E3B" w14:textId="77777777" w:rsidR="00636495" w:rsidRPr="006749F0" w:rsidRDefault="00636495" w:rsidP="00FC0BF3">
            <w:pPr>
              <w:jc w:val="both"/>
              <w:rPr>
                <w:rFonts w:ascii="Arial" w:hAnsi="Arial" w:cs="Arial"/>
                <w:i/>
                <w:sz w:val="18"/>
                <w:szCs w:val="18"/>
              </w:rPr>
            </w:pPr>
            <w:r w:rsidRPr="00F0453E">
              <w:rPr>
                <w:rFonts w:ascii="Arial" w:hAnsi="Arial" w:cs="Arial"/>
                <w:sz w:val="18"/>
                <w:szCs w:val="18"/>
                <w:highlight w:val="yellow"/>
              </w:rPr>
              <w:t>2018: Schwerwiegende Betriebs- oder Sicherheitsvorfälle: Meldewesen (Detailprüfung)</w:t>
            </w:r>
          </w:p>
        </w:tc>
      </w:tr>
      <w:tr w:rsidR="00636495" w:rsidRPr="009872F3" w14:paraId="53D50AA6" w14:textId="77777777" w:rsidTr="00FC0BF3">
        <w:trPr>
          <w:trHeight w:val="133"/>
        </w:trPr>
        <w:tc>
          <w:tcPr>
            <w:tcW w:w="9740" w:type="dxa"/>
            <w:gridSpan w:val="4"/>
          </w:tcPr>
          <w:p w14:paraId="79DC6B35" w14:textId="77777777" w:rsidR="00636495" w:rsidRDefault="00636495" w:rsidP="00FC0BF3">
            <w:pPr>
              <w:jc w:val="both"/>
              <w:rPr>
                <w:rFonts w:ascii="Arial" w:hAnsi="Arial" w:cs="Arial"/>
                <w:sz w:val="18"/>
                <w:szCs w:val="18"/>
              </w:rPr>
            </w:pPr>
          </w:p>
          <w:p w14:paraId="1809BCD4" w14:textId="77777777" w:rsidR="00636495" w:rsidRDefault="00636495" w:rsidP="00FC0BF3">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489DCC22" w14:textId="77777777" w:rsidR="00636495" w:rsidRDefault="00636495" w:rsidP="00FC0BF3">
            <w:pPr>
              <w:jc w:val="both"/>
              <w:rPr>
                <w:rFonts w:ascii="Arial" w:hAnsi="Arial" w:cs="Arial"/>
                <w:sz w:val="18"/>
                <w:szCs w:val="18"/>
                <w:highlight w:val="yellow"/>
              </w:rPr>
            </w:pPr>
          </w:p>
          <w:p w14:paraId="68AD1A40" w14:textId="77777777" w:rsidR="00636495" w:rsidRPr="009872F3" w:rsidRDefault="00636495" w:rsidP="00FC0BF3">
            <w:pPr>
              <w:jc w:val="both"/>
              <w:rPr>
                <w:rFonts w:ascii="Arial" w:hAnsi="Arial" w:cs="Arial"/>
                <w:sz w:val="18"/>
                <w:szCs w:val="18"/>
              </w:rPr>
            </w:pPr>
            <w:r w:rsidRPr="00A1206C">
              <w:rPr>
                <w:rFonts w:ascii="Arial" w:hAnsi="Arial" w:cs="Arial"/>
                <w:sz w:val="18"/>
                <w:szCs w:val="18"/>
                <w:highlight w:val="yellow"/>
              </w:rPr>
              <w:t>siehe unten</w:t>
            </w:r>
          </w:p>
        </w:tc>
      </w:tr>
      <w:tr w:rsidR="00636495" w:rsidRPr="009872F3" w14:paraId="581A0E1C" w14:textId="77777777" w:rsidTr="00FC0BF3">
        <w:trPr>
          <w:trHeight w:val="294"/>
        </w:trPr>
        <w:tc>
          <w:tcPr>
            <w:tcW w:w="3775" w:type="dxa"/>
            <w:gridSpan w:val="2"/>
          </w:tcPr>
          <w:p w14:paraId="2F0676BF" w14:textId="77777777" w:rsidR="00636495" w:rsidRPr="009872F3" w:rsidRDefault="00636495" w:rsidP="00FC0BF3">
            <w:pPr>
              <w:jc w:val="both"/>
              <w:rPr>
                <w:rFonts w:ascii="Arial" w:hAnsi="Arial" w:cs="Arial"/>
                <w:sz w:val="18"/>
                <w:szCs w:val="18"/>
              </w:rPr>
            </w:pPr>
          </w:p>
        </w:tc>
        <w:tc>
          <w:tcPr>
            <w:tcW w:w="5965" w:type="dxa"/>
            <w:gridSpan w:val="2"/>
          </w:tcPr>
          <w:p w14:paraId="26063B34" w14:textId="77777777" w:rsidR="00636495" w:rsidRPr="009872F3" w:rsidRDefault="00636495" w:rsidP="00FC0BF3">
            <w:pPr>
              <w:jc w:val="both"/>
              <w:rPr>
                <w:rFonts w:ascii="Arial" w:hAnsi="Arial" w:cs="Arial"/>
                <w:sz w:val="18"/>
                <w:szCs w:val="18"/>
              </w:rPr>
            </w:pPr>
          </w:p>
        </w:tc>
      </w:tr>
      <w:tr w:rsidR="00636495" w:rsidRPr="009872F3" w14:paraId="7DDF370B" w14:textId="77777777" w:rsidTr="00FC0BF3">
        <w:tc>
          <w:tcPr>
            <w:tcW w:w="5913" w:type="dxa"/>
            <w:gridSpan w:val="3"/>
          </w:tcPr>
          <w:p w14:paraId="7A9C284D" w14:textId="77777777" w:rsidR="00636495" w:rsidRPr="00667026" w:rsidRDefault="00636495" w:rsidP="00FC0BF3">
            <w:pPr>
              <w:jc w:val="both"/>
              <w:rPr>
                <w:rFonts w:ascii="Arial" w:hAnsi="Arial" w:cs="Arial"/>
                <w:i/>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53C313E6" w14:textId="77777777" w:rsidR="00636495" w:rsidRPr="00C3479D" w:rsidRDefault="00636495" w:rsidP="00FC0BF3">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36495" w:rsidRPr="009872F3" w14:paraId="2B799A00" w14:textId="77777777" w:rsidTr="00FC0BF3">
        <w:tc>
          <w:tcPr>
            <w:tcW w:w="5913" w:type="dxa"/>
            <w:gridSpan w:val="3"/>
          </w:tcPr>
          <w:p w14:paraId="774F8EB0" w14:textId="77777777" w:rsidR="00636495" w:rsidRPr="009872F3" w:rsidRDefault="00636495" w:rsidP="00FC0BF3">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4221F325" w14:textId="77777777" w:rsidR="00636495" w:rsidRPr="00E109DF" w:rsidRDefault="00636495" w:rsidP="00FC0BF3">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36495" w:rsidRPr="009872F3" w14:paraId="78C1679A" w14:textId="77777777" w:rsidTr="00FC0BF3">
        <w:tc>
          <w:tcPr>
            <w:tcW w:w="5913" w:type="dxa"/>
            <w:gridSpan w:val="3"/>
          </w:tcPr>
          <w:p w14:paraId="7315B761" w14:textId="77777777" w:rsidR="00636495" w:rsidRDefault="00636495" w:rsidP="00FC0BF3">
            <w:pPr>
              <w:jc w:val="both"/>
              <w:rPr>
                <w:rFonts w:ascii="Arial" w:hAnsi="Arial" w:cs="Arial"/>
                <w:sz w:val="18"/>
                <w:szCs w:val="18"/>
              </w:rPr>
            </w:pPr>
            <w:r w:rsidRPr="00667026">
              <w:rPr>
                <w:rFonts w:ascii="Arial" w:hAnsi="Arial" w:cs="Arial"/>
                <w:i/>
                <w:sz w:val="18"/>
                <w:szCs w:val="18"/>
                <w:highlight w:val="yellow"/>
              </w:rPr>
              <w:lastRenderedPageBreak/>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23290C16" w14:textId="77777777" w:rsidR="00636495" w:rsidRPr="00E109DF" w:rsidRDefault="00636495" w:rsidP="00FC0BF3">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36495" w:rsidRPr="009872F3" w14:paraId="5B9C85CA" w14:textId="77777777" w:rsidTr="00FC0BF3">
        <w:tc>
          <w:tcPr>
            <w:tcW w:w="5913" w:type="dxa"/>
            <w:gridSpan w:val="3"/>
          </w:tcPr>
          <w:p w14:paraId="2EB08751" w14:textId="77777777" w:rsidR="00636495" w:rsidRPr="00667026" w:rsidRDefault="00636495" w:rsidP="00FC0BF3">
            <w:pPr>
              <w:jc w:val="both"/>
              <w:rPr>
                <w:rFonts w:ascii="Arial" w:hAnsi="Arial" w:cs="Arial"/>
                <w:i/>
                <w:sz w:val="18"/>
                <w:szCs w:val="18"/>
                <w:highlight w:val="yellow"/>
              </w:rPr>
            </w:pPr>
            <w:r>
              <w:rPr>
                <w:rFonts w:ascii="Arial" w:hAnsi="Arial" w:cs="Arial"/>
                <w:i/>
                <w:sz w:val="18"/>
                <w:szCs w:val="18"/>
                <w:highlight w:val="yellow"/>
              </w:rPr>
              <w:t>etc.</w:t>
            </w:r>
          </w:p>
        </w:tc>
        <w:tc>
          <w:tcPr>
            <w:tcW w:w="3827" w:type="dxa"/>
          </w:tcPr>
          <w:p w14:paraId="4543F861" w14:textId="77777777" w:rsidR="00636495" w:rsidRPr="00C3479D" w:rsidRDefault="00636495" w:rsidP="00FC0BF3">
            <w:pPr>
              <w:jc w:val="both"/>
              <w:rPr>
                <w:rFonts w:ascii="Arial" w:hAnsi="Arial" w:cs="Arial"/>
                <w:i/>
                <w:sz w:val="18"/>
                <w:szCs w:val="18"/>
                <w:highlight w:val="yellow"/>
              </w:rPr>
            </w:pPr>
          </w:p>
        </w:tc>
      </w:tr>
    </w:tbl>
    <w:p w14:paraId="1EC58D72" w14:textId="77777777" w:rsidR="00636495" w:rsidRDefault="00636495" w:rsidP="00636495">
      <w:pPr>
        <w:jc w:val="both"/>
      </w:pPr>
    </w:p>
    <w:tbl>
      <w:tblPr>
        <w:tblStyle w:val="Tabellenraster"/>
        <w:tblW w:w="0" w:type="auto"/>
        <w:tblLayout w:type="fixed"/>
        <w:tblLook w:val="04A0" w:firstRow="1" w:lastRow="0" w:firstColumn="1" w:lastColumn="0" w:noHBand="0" w:noVBand="1"/>
      </w:tblPr>
      <w:tblGrid>
        <w:gridCol w:w="1668"/>
        <w:gridCol w:w="4677"/>
        <w:gridCol w:w="3395"/>
      </w:tblGrid>
      <w:tr w:rsidR="00636495" w:rsidRPr="00CB3EE6" w14:paraId="4453F624" w14:textId="77777777" w:rsidTr="00FC0BF3">
        <w:tc>
          <w:tcPr>
            <w:tcW w:w="1668" w:type="dxa"/>
          </w:tcPr>
          <w:p w14:paraId="1BD019F2" w14:textId="77777777" w:rsidR="00636495" w:rsidRPr="004E2370" w:rsidRDefault="00636495" w:rsidP="00FC0BF3">
            <w:pPr>
              <w:jc w:val="both"/>
              <w:rPr>
                <w:rFonts w:ascii="Arial" w:hAnsi="Arial" w:cs="Arial"/>
                <w:b/>
                <w:i/>
                <w:sz w:val="20"/>
                <w:szCs w:val="20"/>
                <w:highlight w:val="lightGray"/>
              </w:rPr>
            </w:pPr>
            <w:r w:rsidRPr="004E2370">
              <w:rPr>
                <w:rFonts w:ascii="Arial" w:hAnsi="Arial" w:cs="Arial"/>
                <w:b/>
                <w:i/>
                <w:sz w:val="20"/>
                <w:szCs w:val="20"/>
                <w:highlight w:val="lightGray"/>
              </w:rPr>
              <w:t>Prüfelemente</w:t>
            </w:r>
          </w:p>
        </w:tc>
        <w:tc>
          <w:tcPr>
            <w:tcW w:w="4677" w:type="dxa"/>
          </w:tcPr>
          <w:p w14:paraId="19800FFD" w14:textId="77777777" w:rsidR="00636495" w:rsidRPr="004E2370" w:rsidRDefault="00636495" w:rsidP="00FC0BF3">
            <w:pPr>
              <w:jc w:val="both"/>
              <w:rPr>
                <w:rFonts w:ascii="Arial" w:hAnsi="Arial" w:cs="Arial"/>
                <w:b/>
                <w:i/>
                <w:sz w:val="20"/>
                <w:szCs w:val="20"/>
                <w:highlight w:val="lightGray"/>
              </w:rPr>
            </w:pPr>
            <w:r w:rsidRPr="004E2370">
              <w:rPr>
                <w:rFonts w:ascii="Arial" w:hAnsi="Arial" w:cs="Arial"/>
                <w:b/>
                <w:i/>
                <w:sz w:val="20"/>
                <w:szCs w:val="20"/>
                <w:highlight w:val="lightGray"/>
              </w:rPr>
              <w:t>Mindestprüfinhalte</w:t>
            </w:r>
          </w:p>
        </w:tc>
        <w:tc>
          <w:tcPr>
            <w:tcW w:w="3395" w:type="dxa"/>
          </w:tcPr>
          <w:p w14:paraId="60F223CA" w14:textId="77777777" w:rsidR="00636495" w:rsidRPr="000C756C" w:rsidRDefault="00636495" w:rsidP="00FC0BF3">
            <w:pPr>
              <w:jc w:val="both"/>
              <w:rPr>
                <w:rFonts w:ascii="Arial" w:hAnsi="Arial" w:cs="Arial"/>
                <w:b/>
                <w:i/>
                <w:sz w:val="20"/>
                <w:szCs w:val="20"/>
                <w:highlight w:val="lightGray"/>
              </w:rPr>
            </w:pPr>
            <w:r w:rsidRPr="000C756C">
              <w:rPr>
                <w:rFonts w:ascii="Arial" w:hAnsi="Arial" w:cs="Arial"/>
                <w:b/>
                <w:i/>
                <w:sz w:val="20"/>
                <w:szCs w:val="20"/>
                <w:highlight w:val="lightGray"/>
              </w:rPr>
              <w:t>Bestätigungen</w:t>
            </w:r>
          </w:p>
        </w:tc>
      </w:tr>
      <w:tr w:rsidR="00636495" w:rsidRPr="00CE3194" w14:paraId="4F6CC9D2" w14:textId="77777777" w:rsidTr="00FC0BF3">
        <w:tc>
          <w:tcPr>
            <w:tcW w:w="1668" w:type="dxa"/>
          </w:tcPr>
          <w:p w14:paraId="6416A349"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 xml:space="preserve">Schwerwiegende Betriebs-oder Sicherheitsvorfälle: </w:t>
            </w:r>
          </w:p>
          <w:p w14:paraId="53830A0D" w14:textId="77777777" w:rsidR="00636495" w:rsidRDefault="00636495" w:rsidP="00FC0BF3">
            <w:pPr>
              <w:jc w:val="both"/>
              <w:rPr>
                <w:rFonts w:ascii="Arial" w:hAnsi="Arial" w:cs="Arial"/>
                <w:i/>
                <w:sz w:val="20"/>
                <w:szCs w:val="20"/>
                <w:highlight w:val="lightGray"/>
              </w:rPr>
            </w:pPr>
          </w:p>
          <w:p w14:paraId="303E9970"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Internes Kontrollsystem</w:t>
            </w:r>
          </w:p>
          <w:p w14:paraId="6C9121B8" w14:textId="77777777" w:rsidR="000E105F" w:rsidRDefault="000E105F" w:rsidP="00FC0BF3">
            <w:pPr>
              <w:jc w:val="both"/>
              <w:rPr>
                <w:rFonts w:ascii="Arial" w:hAnsi="Arial" w:cs="Arial"/>
                <w:i/>
                <w:sz w:val="20"/>
                <w:szCs w:val="20"/>
                <w:highlight w:val="lightGray"/>
              </w:rPr>
            </w:pPr>
          </w:p>
          <w:p w14:paraId="65256917" w14:textId="288CF64C" w:rsidR="000E105F" w:rsidRPr="00B037A6" w:rsidRDefault="00F27D7D" w:rsidP="00C1386F">
            <w:pPr>
              <w:jc w:val="both"/>
              <w:rPr>
                <w:rFonts w:ascii="Arial" w:hAnsi="Arial" w:cs="Arial"/>
                <w:i/>
                <w:sz w:val="16"/>
                <w:szCs w:val="16"/>
                <w:highlight w:val="lightGray"/>
                <w:lang w:val="en-GB"/>
              </w:rPr>
            </w:pPr>
            <w:r w:rsidRPr="00B037A6">
              <w:rPr>
                <w:rFonts w:ascii="Arial" w:hAnsi="Arial" w:cs="Arial"/>
                <w:i/>
                <w:sz w:val="16"/>
                <w:szCs w:val="16"/>
                <w:highlight w:val="lightGray"/>
                <w:lang w:val="en-GB"/>
              </w:rPr>
              <w:t xml:space="preserve">Art. 7a BankG; Art. 21o BankV, Art. 102 ZDG, </w:t>
            </w:r>
            <w:r>
              <w:rPr>
                <w:rFonts w:ascii="Arial" w:hAnsi="Arial" w:cs="Arial"/>
                <w:i/>
                <w:sz w:val="16"/>
                <w:szCs w:val="16"/>
                <w:highlight w:val="lightGray"/>
                <w:lang w:val="en-GB"/>
              </w:rPr>
              <w:t>EBA/GL/2017/10</w:t>
            </w:r>
          </w:p>
        </w:tc>
        <w:tc>
          <w:tcPr>
            <w:tcW w:w="4677" w:type="dxa"/>
          </w:tcPr>
          <w:p w14:paraId="673D856C"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3E3479EB"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7E36059B"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stellen sicher, dass Betriebs- oder Sicherheitsvorfälle* zeitnah erkannt werden</w:t>
            </w:r>
          </w:p>
          <w:p w14:paraId="79821852"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Vorfälle korrekt anhand der Kategorien (higher impact level / lower impact level) und den zugrundeliegenden Indikatoren eingestuft werden</w:t>
            </w:r>
          </w:p>
          <w:p w14:paraId="0EEBFC26"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dass die Indikatorwerte zur Kategorisierung </w:t>
            </w:r>
            <w:r w:rsidRPr="00A1206C">
              <w:rPr>
                <w:rFonts w:cs="Arial"/>
                <w:i/>
                <w:szCs w:val="20"/>
                <w:highlight w:val="lightGray"/>
              </w:rPr>
              <w:t>der Betriebs- oder Sicherheitsvorf</w:t>
            </w:r>
            <w:r>
              <w:rPr>
                <w:rFonts w:cs="Arial"/>
                <w:i/>
                <w:szCs w:val="20"/>
                <w:highlight w:val="lightGray"/>
              </w:rPr>
              <w:t>ä</w:t>
            </w:r>
            <w:r w:rsidRPr="00A1206C">
              <w:rPr>
                <w:rFonts w:cs="Arial"/>
                <w:i/>
                <w:szCs w:val="20"/>
                <w:highlight w:val="lightGray"/>
              </w:rPr>
              <w:t>lle korrekt berechnet und angewandt werden</w:t>
            </w:r>
          </w:p>
          <w:p w14:paraId="0E35091C" w14:textId="77777777" w:rsidR="00636495" w:rsidRPr="00A1206C"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 der Betriebs- und Sicherheitsstrategie (Sicherheitsleitlinie) die Verantwortlichkeiten für die Meldung von schwerwiegenden Betriebs- oder Sicherheitsvorfälle definiert sind.</w:t>
            </w:r>
          </w:p>
        </w:tc>
        <w:tc>
          <w:tcPr>
            <w:tcW w:w="3395" w:type="dxa"/>
          </w:tcPr>
          <w:p w14:paraId="23AB3FB4"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ein angemessener Prozess zur Erkennung von Betriebs- oder Sicherheitsvorfällen sowie deren korrekte Kategorisierung als schwerwiegender Betriebs- oder Sicherheitsvorfällen existiert</w:t>
            </w:r>
          </w:p>
          <w:p w14:paraId="7BB7AFA2"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Indikatorwerte zur Kategorisierung der Betriebs- oder Sicherheitsvorfälle korrekt berechnet und angewandt werden.</w:t>
            </w:r>
          </w:p>
          <w:p w14:paraId="50D9D27C" w14:textId="77777777" w:rsidR="00636495" w:rsidRPr="000C756C"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Verantwortlichkeiten für die Meldung von schwerwiegenden Betriebs- oder Sicherheitsvorfällen in der Sicherheitsstrategie (Sicherheitsleitlinie) angemessen definiert sind</w:t>
            </w:r>
          </w:p>
        </w:tc>
      </w:tr>
      <w:tr w:rsidR="00636495" w:rsidRPr="00CE3194" w14:paraId="426D563B" w14:textId="77777777" w:rsidTr="00FC0BF3">
        <w:tc>
          <w:tcPr>
            <w:tcW w:w="1668" w:type="dxa"/>
          </w:tcPr>
          <w:p w14:paraId="1B8750E9"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 xml:space="preserve">Schwerwiegende Betriebs- oder Sicherheitsvorfälle: </w:t>
            </w:r>
          </w:p>
          <w:p w14:paraId="3137C965" w14:textId="77777777" w:rsidR="00636495" w:rsidRDefault="00636495" w:rsidP="00FC0BF3">
            <w:pPr>
              <w:jc w:val="both"/>
              <w:rPr>
                <w:rFonts w:ascii="Arial" w:hAnsi="Arial" w:cs="Arial"/>
                <w:i/>
                <w:sz w:val="20"/>
                <w:szCs w:val="20"/>
                <w:highlight w:val="lightGray"/>
              </w:rPr>
            </w:pPr>
          </w:p>
          <w:p w14:paraId="4FD84CCE"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Meldeverfahren</w:t>
            </w:r>
          </w:p>
          <w:p w14:paraId="380769CE" w14:textId="77777777" w:rsidR="00F27D7D" w:rsidRDefault="00F27D7D" w:rsidP="00FC0BF3">
            <w:pPr>
              <w:jc w:val="both"/>
              <w:rPr>
                <w:rFonts w:ascii="Arial" w:hAnsi="Arial" w:cs="Arial"/>
                <w:i/>
                <w:sz w:val="20"/>
                <w:szCs w:val="20"/>
                <w:highlight w:val="lightGray"/>
              </w:rPr>
            </w:pPr>
          </w:p>
          <w:p w14:paraId="4435FDDC" w14:textId="0F72DE0E" w:rsidR="00F27D7D" w:rsidRPr="00C1386F" w:rsidRDefault="00F27D7D" w:rsidP="00FC0BF3">
            <w:pPr>
              <w:jc w:val="both"/>
              <w:rPr>
                <w:rFonts w:ascii="Arial" w:hAnsi="Arial" w:cs="Arial"/>
                <w:i/>
                <w:sz w:val="20"/>
                <w:szCs w:val="20"/>
                <w:highlight w:val="lightGray"/>
              </w:rPr>
            </w:pPr>
            <w:r w:rsidRPr="00B037A6">
              <w:rPr>
                <w:rFonts w:ascii="Arial" w:hAnsi="Arial" w:cs="Arial"/>
                <w:i/>
                <w:sz w:val="16"/>
                <w:szCs w:val="16"/>
                <w:highlight w:val="lightGray"/>
              </w:rPr>
              <w:t>Art. 7a BankG; Art. 21o BankV, Art. 102 ZDG, EBA/GL/2017/10</w:t>
            </w:r>
          </w:p>
        </w:tc>
        <w:tc>
          <w:tcPr>
            <w:tcW w:w="4677" w:type="dxa"/>
          </w:tcPr>
          <w:p w14:paraId="6658B66A"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745AE402"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5DEA2952" w14:textId="77777777" w:rsidR="00636495" w:rsidRDefault="00636495" w:rsidP="00FC0BF3">
            <w:pPr>
              <w:pStyle w:val="Listenabsatz"/>
              <w:numPr>
                <w:ilvl w:val="1"/>
                <w:numId w:val="17"/>
              </w:numPr>
              <w:ind w:left="317" w:hanging="283"/>
              <w:jc w:val="both"/>
              <w:rPr>
                <w:rFonts w:cs="Arial"/>
                <w:i/>
                <w:szCs w:val="20"/>
                <w:highlight w:val="lightGray"/>
              </w:rPr>
            </w:pPr>
            <w:r w:rsidRPr="00983993">
              <w:rPr>
                <w:rFonts w:cs="Arial"/>
                <w:i/>
                <w:szCs w:val="20"/>
                <w:highlight w:val="lightGray"/>
              </w:rPr>
              <w:t>Die internen Verfahren stellen eine fristgerechte Meldung</w:t>
            </w:r>
            <w:r>
              <w:rPr>
                <w:rFonts w:cs="Arial"/>
                <w:i/>
                <w:szCs w:val="20"/>
                <w:highlight w:val="lightGray"/>
              </w:rPr>
              <w:t xml:space="preserve"> sicher</w:t>
            </w:r>
          </w:p>
          <w:p w14:paraId="7B400DB8"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 hohe Datenqualität mittels Validierung der Meldedaten sicher</w:t>
            </w:r>
          </w:p>
          <w:p w14:paraId="635B515D"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einen angemessenen Prozess bei internen oder externen Rückfragen sicher</w:t>
            </w:r>
          </w:p>
          <w:p w14:paraId="414D50D9" w14:textId="77777777" w:rsidR="00636495" w:rsidRDefault="00636495" w:rsidP="00FC0BF3">
            <w:pPr>
              <w:pStyle w:val="Listenabsatz"/>
              <w:numPr>
                <w:ilvl w:val="1"/>
                <w:numId w:val="17"/>
              </w:numPr>
              <w:ind w:left="317" w:hanging="283"/>
              <w:jc w:val="both"/>
              <w:rPr>
                <w:rFonts w:cs="Arial"/>
                <w:i/>
                <w:szCs w:val="20"/>
                <w:highlight w:val="lightGray"/>
              </w:rPr>
            </w:pPr>
            <w:r w:rsidRPr="00983993">
              <w:rPr>
                <w:rFonts w:cs="Arial"/>
                <w:i/>
                <w:szCs w:val="20"/>
                <w:highlight w:val="lightGray"/>
              </w:rPr>
              <w:t>Die Datenintegrität wird durch angemessene Zugriffsrechte und Berechtigungen auf die Systeme (inkl. Inputdaten) und deren regelmässige Überprüfung, sowie durch Aufzeichnung sämtlicher Prozessschritte im System sichergestellt</w:t>
            </w:r>
          </w:p>
        </w:tc>
        <w:tc>
          <w:tcPr>
            <w:tcW w:w="3395" w:type="dxa"/>
          </w:tcPr>
          <w:p w14:paraId="4E237C88" w14:textId="77777777" w:rsidR="00636495" w:rsidRPr="00983993" w:rsidRDefault="00636495" w:rsidP="00FC0BF3">
            <w:pPr>
              <w:pStyle w:val="Listenabsatz"/>
              <w:numPr>
                <w:ilvl w:val="1"/>
                <w:numId w:val="17"/>
              </w:numPr>
              <w:ind w:left="317" w:hanging="283"/>
              <w:jc w:val="both"/>
              <w:rPr>
                <w:rFonts w:cs="Arial"/>
                <w:sz w:val="18"/>
                <w:szCs w:val="18"/>
              </w:rPr>
            </w:pPr>
            <w:r w:rsidRPr="00F0453E">
              <w:rPr>
                <w:rFonts w:cs="Arial"/>
                <w:i/>
                <w:szCs w:val="20"/>
                <w:highlight w:val="lightGray"/>
              </w:rPr>
              <w:t>Bestätigung, dass interne Meldeverfahren für die Erst-, Zwischen- und Abschlussmeldung der schwerwiegenden Vorfälle existieren und gemäss den regulatorischen Bestimmungen angemessen angewandt werden</w:t>
            </w:r>
          </w:p>
        </w:tc>
      </w:tr>
      <w:tr w:rsidR="00636495" w:rsidRPr="00CE3194" w14:paraId="41684AAF" w14:textId="77777777" w:rsidTr="00FC0BF3">
        <w:tc>
          <w:tcPr>
            <w:tcW w:w="1668" w:type="dxa"/>
          </w:tcPr>
          <w:p w14:paraId="44BD66DF"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t>Starke Kundenauthentifizierung</w:t>
            </w:r>
          </w:p>
          <w:p w14:paraId="31206429" w14:textId="77777777" w:rsidR="00F27D7D" w:rsidRDefault="00F27D7D" w:rsidP="00FC0BF3">
            <w:pPr>
              <w:jc w:val="both"/>
              <w:rPr>
                <w:rFonts w:ascii="Arial" w:hAnsi="Arial" w:cs="Arial"/>
                <w:i/>
                <w:sz w:val="20"/>
                <w:szCs w:val="20"/>
                <w:highlight w:val="lightGray"/>
              </w:rPr>
            </w:pPr>
          </w:p>
          <w:p w14:paraId="7791F3B1" w14:textId="7E2FB760" w:rsidR="00F27D7D" w:rsidRPr="00C1386F" w:rsidRDefault="00F27D7D" w:rsidP="00C1386F">
            <w:pPr>
              <w:jc w:val="both"/>
              <w:rPr>
                <w:rFonts w:ascii="Arial" w:hAnsi="Arial" w:cs="Arial"/>
                <w:i/>
                <w:sz w:val="20"/>
                <w:szCs w:val="20"/>
                <w:highlight w:val="lightGray"/>
              </w:rPr>
            </w:pPr>
            <w:r w:rsidRPr="00B037A6">
              <w:rPr>
                <w:rFonts w:ascii="Arial" w:hAnsi="Arial" w:cs="Arial"/>
                <w:i/>
                <w:sz w:val="16"/>
                <w:szCs w:val="16"/>
                <w:highlight w:val="lightGray"/>
              </w:rPr>
              <w:t xml:space="preserve">Art. 103 ZDG, </w:t>
            </w:r>
            <w:r w:rsidR="00D55E70">
              <w:rPr>
                <w:rFonts w:ascii="Arial" w:hAnsi="Arial" w:cs="Arial"/>
                <w:i/>
                <w:sz w:val="16"/>
                <w:szCs w:val="16"/>
                <w:highlight w:val="lightGray"/>
              </w:rPr>
              <w:t>DelVO</w:t>
            </w:r>
            <w:r w:rsidRPr="00B037A6">
              <w:rPr>
                <w:rFonts w:ascii="Arial" w:hAnsi="Arial" w:cs="Arial"/>
                <w:i/>
                <w:sz w:val="16"/>
                <w:szCs w:val="16"/>
                <w:highlight w:val="lightGray"/>
              </w:rPr>
              <w:t xml:space="preserve"> (EU) Nr. </w:t>
            </w:r>
            <w:r>
              <w:rPr>
                <w:rFonts w:ascii="Arial" w:hAnsi="Arial" w:cs="Arial"/>
                <w:i/>
                <w:sz w:val="16"/>
                <w:szCs w:val="16"/>
                <w:highlight w:val="lightGray"/>
              </w:rPr>
              <w:t xml:space="preserve">2018/389, </w:t>
            </w:r>
          </w:p>
        </w:tc>
        <w:tc>
          <w:tcPr>
            <w:tcW w:w="4677" w:type="dxa"/>
          </w:tcPr>
          <w:p w14:paraId="353EBA79"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Verantwortlichkeiten und Kompetenzen sind klar geregelt</w:t>
            </w:r>
          </w:p>
          <w:p w14:paraId="42848076"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und Zuverlässigkeit der Mitarbeiter sicher</w:t>
            </w:r>
          </w:p>
          <w:p w14:paraId="7040F3CC"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w:t>
            </w:r>
            <w:r w:rsidRPr="00983993">
              <w:rPr>
                <w:rFonts w:cs="Arial"/>
                <w:i/>
                <w:szCs w:val="20"/>
                <w:highlight w:val="lightGray"/>
              </w:rPr>
              <w:t xml:space="preserve">ie internen Verfahren </w:t>
            </w:r>
            <w:r>
              <w:rPr>
                <w:rFonts w:cs="Arial"/>
                <w:i/>
                <w:szCs w:val="20"/>
                <w:highlight w:val="lightGray"/>
              </w:rPr>
              <w:t>stellen sicher, dass Sicherheitsmassnahmen für die Durchführung starker Kundenauthentifizierungen gemäss den regulatorischen Vorgaben (DelVO (EU) Nr. 2018/389 Art. 4 ff) verlangt und implementiert werden (zwei Elemente der Kategorien Wissen, Besitz und Inhärenz)</w:t>
            </w:r>
          </w:p>
          <w:p w14:paraId="06D5DD83"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das regelmässige Testen dieser Sicherheitsmassnahmen und die Dokumentation der Ergebnisse sicher</w:t>
            </w:r>
          </w:p>
          <w:p w14:paraId="559F9C91"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fachliche Eignung (Fachwissen IT-Sicherheit, Zahlungsverkehr) und Unabhängigkeit jener Personen sicher, welche die Tests der Sicherheitsmassnahmen durchführen.</w:t>
            </w:r>
          </w:p>
          <w:p w14:paraId="6746466F"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Kundenauthentifizierung ausreichend „stark“ ist</w:t>
            </w:r>
          </w:p>
          <w:p w14:paraId="0E08EF69"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bei der Anwendung von Ausnahmen (</w:t>
            </w:r>
            <w:r w:rsidRPr="00A1206C">
              <w:rPr>
                <w:rFonts w:cs="Arial"/>
                <w:i/>
                <w:szCs w:val="20"/>
                <w:highlight w:val="lightGray"/>
              </w:rPr>
              <w:t>DelVO (EU) Nr. 2018/389, Art. 10) sicher, dass die Daten für jede Zahlungsart aufgeschlüsselt nach Fernzahlungsvorgängen und Nicht-Fernzahlungsvorgängen gemäss den regulatorischen Vorgaben angemessen überwacht, ausgewertet und dokumentiert werden</w:t>
            </w:r>
          </w:p>
          <w:p w14:paraId="07D555E1"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Vertraulichkeit und Integrität der personalisierten Sicherheitsmerkmale der Zahlungsdienstnutzer, einschliesslich Authentifizierungscodes, in jeder Phase der Authentifizierung geschützt werden</w:t>
            </w:r>
          </w:p>
          <w:p w14:paraId="1E4C5E33"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Risiken einer Fehlleitung der Kommunikation an Unbefugte wirksam eingedämmt wird</w:t>
            </w:r>
          </w:p>
          <w:p w14:paraId="72C68C9C"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sämtliche Zahlungsvorgänge und Interaktionen zwischen mehreren Parteien (z.B. Zahlungsdienstnutzer, Zahlungsdienstleister, Händler etc.) verlässlich zurückverfolgt werden (u.a. durch Erfassung des Zeitstempels, Sicherheitsmassnahmen für die ausführliche Protokollierung der Transaktion, eindeutige Kennung der Sitzung)</w:t>
            </w:r>
          </w:p>
        </w:tc>
        <w:tc>
          <w:tcPr>
            <w:tcW w:w="3395" w:type="dxa"/>
          </w:tcPr>
          <w:p w14:paraId="460D44D1"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sicherstellen, dass</w:t>
            </w:r>
            <w:r>
              <w:rPr>
                <w:rFonts w:cs="Arial"/>
                <w:i/>
                <w:szCs w:val="20"/>
                <w:highlight w:val="lightGray"/>
              </w:rPr>
              <w:t xml:space="preserve"> Sicherheitsmassnahmen für die Durchführung</w:t>
            </w:r>
            <w:r w:rsidRPr="00F0453E">
              <w:rPr>
                <w:rFonts w:cs="Arial"/>
                <w:i/>
                <w:szCs w:val="20"/>
                <w:highlight w:val="lightGray"/>
              </w:rPr>
              <w:t xml:space="preserve"> starke</w:t>
            </w:r>
            <w:r>
              <w:rPr>
                <w:rFonts w:cs="Arial"/>
                <w:i/>
                <w:szCs w:val="20"/>
                <w:highlight w:val="lightGray"/>
              </w:rPr>
              <w:t>r</w:t>
            </w:r>
            <w:r w:rsidRPr="00F0453E">
              <w:rPr>
                <w:rFonts w:cs="Arial"/>
                <w:i/>
                <w:szCs w:val="20"/>
                <w:highlight w:val="lightGray"/>
              </w:rPr>
              <w:t xml:space="preserve"> Kundenauthentifizierungen gemäss den regulatorischen Vorgaben</w:t>
            </w:r>
            <w:r>
              <w:rPr>
                <w:rFonts w:cs="Arial"/>
                <w:i/>
                <w:szCs w:val="20"/>
                <w:highlight w:val="lightGray"/>
              </w:rPr>
              <w:t xml:space="preserve"> (DelVO (EU) Nr. 2018/389 Art. 4 ff) gefordert und</w:t>
            </w:r>
            <w:r w:rsidRPr="00F0453E">
              <w:rPr>
                <w:rFonts w:cs="Arial"/>
                <w:i/>
                <w:szCs w:val="20"/>
                <w:highlight w:val="lightGray"/>
              </w:rPr>
              <w:t xml:space="preserve"> implementiert und werden.</w:t>
            </w:r>
          </w:p>
          <w:p w14:paraId="0615E16B"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das regelmässige Testen der </w:t>
            </w:r>
            <w:r w:rsidRPr="00F0453E">
              <w:rPr>
                <w:rFonts w:cs="Arial"/>
                <w:i/>
                <w:szCs w:val="20"/>
                <w:highlight w:val="lightGray"/>
              </w:rPr>
              <w:lastRenderedPageBreak/>
              <w:t>Sicherheitsmassnahmen für die Durchführung einer starken Kundenauthentifizierung durch fachkundige unabhängige Experten sicherstellen.</w:t>
            </w:r>
          </w:p>
          <w:p w14:paraId="10757108"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Ergebnisse der durchgeführten Tests der Sicherheitsmassnahmen angemessen dokumentiert werden</w:t>
            </w:r>
          </w:p>
          <w:p w14:paraId="047E0B5D"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Bestätigung, dass die internen Verfahren sicherstellen, dass die Kundenauthentifizierung ausreichend „stark“ ist</w:t>
            </w:r>
          </w:p>
          <w:p w14:paraId="72869EE3"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 xml:space="preserve">Bestätigung, dass die internen Verfahren bei Ausnahmen von der starken Kundenauthentifizierung die Überwachung der Ausnahmen nach </w:t>
            </w:r>
            <w:r>
              <w:rPr>
                <w:rFonts w:cs="Arial"/>
                <w:i/>
                <w:szCs w:val="20"/>
                <w:highlight w:val="lightGray"/>
              </w:rPr>
              <w:t>DelVO (EU) Nr. 2018/389 Art. 21</w:t>
            </w:r>
            <w:r w:rsidRPr="00F0453E">
              <w:rPr>
                <w:rFonts w:cs="Arial"/>
                <w:i/>
                <w:szCs w:val="20"/>
                <w:highlight w:val="lightGray"/>
              </w:rPr>
              <w:t xml:space="preserve"> sicherstellen und dokumentieren</w:t>
            </w:r>
          </w:p>
          <w:p w14:paraId="318A5BD5"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Vertraulichkeit und Integrität der personalisierten Sicherheitsmerkmale der Zahlungsdienstnutzer geschützt werden.</w:t>
            </w:r>
          </w:p>
          <w:p w14:paraId="23F1CD7A" w14:textId="77777777" w:rsidR="00636495"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Risiken einer Fehlleitung der Kommunikation an Unbefugte wirksam eindämmen.</w:t>
            </w:r>
          </w:p>
          <w:p w14:paraId="0E6485A9"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die Rückverfolgbarkeit sämtlicher Interaktionen und Zahlungsvorgängen gewährleistet ist</w:t>
            </w:r>
          </w:p>
        </w:tc>
      </w:tr>
      <w:tr w:rsidR="00636495" w:rsidRPr="00CE3194" w14:paraId="1380E2C4" w14:textId="77777777" w:rsidTr="00FC0BF3">
        <w:tc>
          <w:tcPr>
            <w:tcW w:w="1668" w:type="dxa"/>
          </w:tcPr>
          <w:p w14:paraId="755F41A2" w14:textId="77777777" w:rsidR="00636495" w:rsidRDefault="00636495" w:rsidP="00FC0BF3">
            <w:pPr>
              <w:jc w:val="both"/>
              <w:rPr>
                <w:rFonts w:ascii="Arial" w:hAnsi="Arial" w:cs="Arial"/>
                <w:i/>
                <w:sz w:val="20"/>
                <w:szCs w:val="20"/>
                <w:highlight w:val="lightGray"/>
              </w:rPr>
            </w:pPr>
            <w:r>
              <w:rPr>
                <w:rFonts w:ascii="Arial" w:hAnsi="Arial" w:cs="Arial"/>
                <w:i/>
                <w:sz w:val="20"/>
                <w:szCs w:val="20"/>
                <w:highlight w:val="lightGray"/>
              </w:rPr>
              <w:lastRenderedPageBreak/>
              <w:t>Zugangsschnittstellen und dedizierte Schnittstellen</w:t>
            </w:r>
          </w:p>
          <w:p w14:paraId="6265D212" w14:textId="77777777" w:rsidR="00F27D7D" w:rsidRDefault="00F27D7D" w:rsidP="00FC0BF3">
            <w:pPr>
              <w:jc w:val="both"/>
              <w:rPr>
                <w:rFonts w:ascii="Arial" w:hAnsi="Arial" w:cs="Arial"/>
                <w:i/>
                <w:sz w:val="20"/>
                <w:szCs w:val="20"/>
                <w:highlight w:val="lightGray"/>
              </w:rPr>
            </w:pPr>
          </w:p>
          <w:p w14:paraId="5905EE72" w14:textId="11ADA978" w:rsidR="00F27D7D" w:rsidRDefault="00F27D7D" w:rsidP="00C1386F">
            <w:pPr>
              <w:jc w:val="both"/>
              <w:rPr>
                <w:rFonts w:ascii="Arial" w:hAnsi="Arial" w:cs="Arial"/>
                <w:i/>
                <w:sz w:val="20"/>
                <w:szCs w:val="20"/>
                <w:highlight w:val="lightGray"/>
              </w:rPr>
            </w:pPr>
            <w:r w:rsidRPr="00BE2606">
              <w:rPr>
                <w:rFonts w:ascii="Arial" w:hAnsi="Arial" w:cs="Arial"/>
                <w:i/>
                <w:sz w:val="16"/>
                <w:szCs w:val="16"/>
                <w:highlight w:val="lightGray"/>
              </w:rPr>
              <w:t xml:space="preserve">Art. 103 ZDG, </w:t>
            </w:r>
            <w:r w:rsidR="00D55E70">
              <w:rPr>
                <w:rFonts w:ascii="Arial" w:hAnsi="Arial" w:cs="Arial"/>
                <w:i/>
                <w:sz w:val="16"/>
                <w:szCs w:val="16"/>
                <w:highlight w:val="lightGray"/>
              </w:rPr>
              <w:t>DelVO</w:t>
            </w:r>
            <w:r w:rsidRPr="00BE2606">
              <w:rPr>
                <w:rFonts w:ascii="Arial" w:hAnsi="Arial" w:cs="Arial"/>
                <w:i/>
                <w:sz w:val="16"/>
                <w:szCs w:val="16"/>
                <w:highlight w:val="lightGray"/>
              </w:rPr>
              <w:t xml:space="preserve"> (EU) Nr. </w:t>
            </w:r>
            <w:r>
              <w:rPr>
                <w:rFonts w:ascii="Arial" w:hAnsi="Arial" w:cs="Arial"/>
                <w:i/>
                <w:sz w:val="16"/>
                <w:szCs w:val="16"/>
                <w:highlight w:val="lightGray"/>
              </w:rPr>
              <w:t>2018/389,</w:t>
            </w:r>
          </w:p>
        </w:tc>
        <w:tc>
          <w:tcPr>
            <w:tcW w:w="4677" w:type="dxa"/>
          </w:tcPr>
          <w:p w14:paraId="53996135"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Zugangsschnittstellen zwischen dem Kontoinformationsdienstleister, Zahlungsauslösedienstleister und kontoführender Zahlungsdienstleister</w:t>
            </w:r>
          </w:p>
          <w:p w14:paraId="3E330745"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Schnittstellen die von internationalen oder europäischen Standardisierungsorganisationen ausgegebenen Kommunikationsstandards erfüllen. </w:t>
            </w:r>
          </w:p>
          <w:p w14:paraId="46AAB3D0"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technische Spezifikation einer jeden Schnittstelle angemessen dokumentiert ist. </w:t>
            </w:r>
          </w:p>
          <w:p w14:paraId="1DC112EC" w14:textId="75F3F7C8"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regulatorischen Anforderungen an eine dedizierte Schnittstelle (Verfügbarkeit, Leistung.) eingehalten und laufend überwacht werden </w:t>
            </w:r>
          </w:p>
          <w:p w14:paraId="12FFB1D7"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lastRenderedPageBreak/>
              <w:t xml:space="preserve">Die internen Verfahren stellen sicher, dass für die dedizierte Schnittstelle transparente wesentliche Leistungsindikatoren und Service-Level-Ziele definiert werden, </w:t>
            </w:r>
          </w:p>
          <w:p w14:paraId="7656513B"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dedizierte Schnittstelle anhand der Leistungsindikatoren und der Service-Level-Ziele  regelmässig überwacht und Stresstests unterzogen werden</w:t>
            </w:r>
          </w:p>
          <w:p w14:paraId="68773340"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vierteljährliche Statistiken über die Verfügbarkeit und die Leistung der dedizierten Schnittstelle auf der Homepage veröffentlicht werden</w:t>
            </w:r>
          </w:p>
          <w:p w14:paraId="3FF610F7"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5DF5B117" w14:textId="77777777" w:rsidR="00636495" w:rsidRDefault="00636495" w:rsidP="00FC0BF3">
            <w:pPr>
              <w:pStyle w:val="Listenabsatz"/>
              <w:numPr>
                <w:ilvl w:val="1"/>
                <w:numId w:val="17"/>
              </w:numPr>
              <w:ind w:left="317" w:hanging="283"/>
              <w:jc w:val="both"/>
              <w:rPr>
                <w:rFonts w:cs="Arial"/>
                <w:i/>
                <w:szCs w:val="20"/>
                <w:highlight w:val="lightGray"/>
              </w:rPr>
            </w:pPr>
            <w:r>
              <w:rPr>
                <w:rFonts w:cs="Arial"/>
                <w:i/>
                <w:szCs w:val="20"/>
                <w:highlight w:val="lightGray"/>
              </w:rPr>
              <w:t>Die internen Verfahren gewährleisten, dass Probleme mit den dedizierten Schnittstellen unverzüglich der FMA gemeldet werden</w:t>
            </w:r>
          </w:p>
        </w:tc>
        <w:tc>
          <w:tcPr>
            <w:tcW w:w="3395" w:type="dxa"/>
          </w:tcPr>
          <w:p w14:paraId="3597A5A2"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die Einhaltung der allgemeinen regulatorischen Anforderung an Zugangsschnittstellen sicherstellen</w:t>
            </w:r>
          </w:p>
          <w:p w14:paraId="15BA0F5F"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die Einhaltung und laufende Überwachung der regulatorischen Anforderungen an eine dedizierte Schnittstelle (Verfügbarkeit, Leistung) anhand von transparenten wesentlichen Leistungsindikatoren, Service-Level-Zielen und der Durchführung von Stresstests sicherstellen</w:t>
            </w:r>
          </w:p>
          <w:p w14:paraId="1DEC68FC"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lastRenderedPageBreak/>
              <w:t>Bestätigung, dass die internen Verfahren die vierteljährliche Veröffentlichung der Statistiken über die Verfügbarkeit und Leistung der dedizierten Schnittstelle auf der Homepage sicherstellen</w:t>
            </w:r>
          </w:p>
          <w:p w14:paraId="11844B3D" w14:textId="77777777" w:rsidR="00636495" w:rsidRPr="00F0453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sicherstellen, dass angemessene Notfallmassnahmen (inkl. Kommunikationspläne, Beschreibung der sofort verfügbaren alternativen Optionen) für eine unvorhergesehene Nichtverfügbarkeit der Schnittstelle, Systemausfall oder mangelnde Leistungsfähigkeit der dedizierten Schnittstelle bestehen</w:t>
            </w:r>
          </w:p>
          <w:p w14:paraId="1B4725C6" w14:textId="77777777" w:rsidR="00636495" w:rsidRPr="003E54AE" w:rsidRDefault="00636495" w:rsidP="00FC0BF3">
            <w:pPr>
              <w:pStyle w:val="Listenabsatz"/>
              <w:numPr>
                <w:ilvl w:val="1"/>
                <w:numId w:val="17"/>
              </w:numPr>
              <w:ind w:left="317" w:hanging="283"/>
              <w:jc w:val="both"/>
              <w:rPr>
                <w:rFonts w:cs="Arial"/>
                <w:i/>
                <w:szCs w:val="20"/>
                <w:highlight w:val="lightGray"/>
              </w:rPr>
            </w:pPr>
            <w:r w:rsidRPr="00F0453E">
              <w:rPr>
                <w:rFonts w:cs="Arial"/>
                <w:i/>
                <w:szCs w:val="20"/>
                <w:highlight w:val="lightGray"/>
              </w:rPr>
              <w:t>Bestätigung, dass die internen Verfahren gewährleisten, dass Probleme mit den dedizierten Schnittstellen unverzüglich der FMA gemeldet werden</w:t>
            </w:r>
          </w:p>
        </w:tc>
      </w:tr>
    </w:tbl>
    <w:p w14:paraId="528837C4" w14:textId="77777777" w:rsidR="00636495" w:rsidRDefault="00636495" w:rsidP="00636495">
      <w:pPr>
        <w:jc w:val="both"/>
      </w:pPr>
    </w:p>
    <w:p w14:paraId="4ED04DBE" w14:textId="77777777" w:rsidR="00636495" w:rsidRPr="00A1206C" w:rsidRDefault="00636495" w:rsidP="00636495">
      <w:pPr>
        <w:jc w:val="both"/>
        <w:rPr>
          <w:rFonts w:cs="Arial"/>
          <w:sz w:val="20"/>
          <w:szCs w:val="20"/>
        </w:rPr>
      </w:pPr>
      <w:r w:rsidRPr="00A1206C">
        <w:rPr>
          <w:rFonts w:cs="Arial"/>
          <w:sz w:val="20"/>
          <w:szCs w:val="20"/>
        </w:rPr>
        <w:t xml:space="preserve">*ein einzelnes Ereignis oder eine Reihe zusammenhängender Ereignisse, das vom Zahlungsdienstleister nicht beabsichtigt wurde und das sich negativ auf die Integrität, die </w:t>
      </w:r>
      <w:r w:rsidRPr="00313E68">
        <w:rPr>
          <w:rFonts w:cs="Arial"/>
          <w:sz w:val="20"/>
          <w:szCs w:val="20"/>
        </w:rPr>
        <w:t>Verfügbarkeit</w:t>
      </w:r>
      <w:r w:rsidRPr="00A1206C">
        <w:rPr>
          <w:rFonts w:cs="Arial"/>
          <w:sz w:val="20"/>
          <w:szCs w:val="20"/>
        </w:rPr>
        <w:t>, die Vertraulichkeit, die Authen</w:t>
      </w:r>
      <w:r>
        <w:rPr>
          <w:rFonts w:cs="Arial"/>
          <w:sz w:val="20"/>
          <w:szCs w:val="20"/>
        </w:rPr>
        <w:t>ti</w:t>
      </w:r>
      <w:r w:rsidRPr="00A1206C">
        <w:rPr>
          <w:rFonts w:cs="Arial"/>
          <w:sz w:val="20"/>
          <w:szCs w:val="20"/>
        </w:rPr>
        <w:t>zität und/oder die Kontinuität von zahlungsbezogenen Diensten auswirkt oder aller Wahrscheinlichkeit nach eine solche ne</w:t>
      </w:r>
      <w:r w:rsidRPr="00F26359">
        <w:rPr>
          <w:rFonts w:cs="Arial"/>
          <w:sz w:val="20"/>
          <w:szCs w:val="20"/>
        </w:rPr>
        <w:t>gative Auswirkungen haben wird</w:t>
      </w:r>
      <w:r>
        <w:rPr>
          <w:rFonts w:cs="Arial"/>
          <w:sz w:val="20"/>
          <w:szCs w:val="20"/>
        </w:rPr>
        <w:t xml:space="preserve"> (EBA/GL/2017/10)</w:t>
      </w:r>
    </w:p>
    <w:p w14:paraId="28434F50" w14:textId="77777777" w:rsidR="00636495" w:rsidRDefault="00636495" w:rsidP="00636495">
      <w:pPr>
        <w:jc w:val="both"/>
        <w:rPr>
          <w:rFonts w:cs="Arial"/>
          <w:szCs w:val="20"/>
        </w:rPr>
      </w:pPr>
    </w:p>
    <w:p w14:paraId="39466902" w14:textId="77777777" w:rsidR="00636495" w:rsidRDefault="00636495" w:rsidP="00636495">
      <w:pPr>
        <w:jc w:val="both"/>
        <w:rPr>
          <w:rFonts w:ascii="Arial" w:hAnsi="Arial" w:cs="Arial"/>
          <w:i/>
          <w:sz w:val="20"/>
          <w:szCs w:val="20"/>
        </w:rPr>
      </w:pPr>
      <w:r w:rsidRPr="00276C60">
        <w:rPr>
          <w:rFonts w:ascii="Arial" w:hAnsi="Arial" w:cs="Arial"/>
          <w:i/>
          <w:sz w:val="20"/>
          <w:szCs w:val="20"/>
          <w:highlight w:val="yellow"/>
        </w:rPr>
        <w:t>Text</w:t>
      </w:r>
    </w:p>
    <w:p w14:paraId="5D374D5D" w14:textId="30ABEBF1" w:rsidR="00636495" w:rsidRDefault="00636495" w:rsidP="00636495">
      <w:pPr>
        <w:jc w:val="both"/>
      </w:pPr>
    </w:p>
    <w:p w14:paraId="7502539B" w14:textId="370313BA" w:rsidR="001605C4" w:rsidRDefault="001629CE" w:rsidP="001605C4">
      <w:pPr>
        <w:pStyle w:val="FINMAGliederungEbene2"/>
      </w:pPr>
      <w:bookmarkStart w:id="84" w:name="_Toc147849933"/>
      <w:r>
        <w:t>Prüfresultate der bewilligten (gemischten) Finanzholdinggesellschaft auf Einzelbasis</w:t>
      </w:r>
      <w:bookmarkEnd w:id="84"/>
    </w:p>
    <w:p w14:paraId="4E8747A1" w14:textId="04822031" w:rsidR="001605C4" w:rsidRDefault="001605C4" w:rsidP="00636495">
      <w:pPr>
        <w:jc w:val="both"/>
      </w:pPr>
    </w:p>
    <w:p w14:paraId="0F19A7AF" w14:textId="49104744" w:rsidR="005573E0" w:rsidRPr="00E55E3C" w:rsidRDefault="005573E0" w:rsidP="00636495">
      <w:pPr>
        <w:jc w:val="both"/>
        <w:rPr>
          <w:rFonts w:ascii="Arial" w:hAnsi="Arial" w:cs="Arial"/>
          <w:i/>
          <w:sz w:val="20"/>
          <w:szCs w:val="20"/>
        </w:rPr>
      </w:pPr>
      <w:r w:rsidRPr="00E55E3C">
        <w:rPr>
          <w:rFonts w:ascii="Arial" w:hAnsi="Arial" w:cs="Arial"/>
          <w:i/>
          <w:sz w:val="20"/>
          <w:szCs w:val="20"/>
          <w:highlight w:val="yellow"/>
        </w:rPr>
        <w:t xml:space="preserve">Die nachfolgenden Prüffelder sind nur dann zu prüfen, wenn eine (gemischte) Finanzholdinggesellschaft </w:t>
      </w:r>
      <w:r w:rsidR="009B7A8A">
        <w:rPr>
          <w:rFonts w:ascii="Arial" w:hAnsi="Arial" w:cs="Arial"/>
          <w:i/>
          <w:sz w:val="20"/>
          <w:szCs w:val="20"/>
          <w:highlight w:val="yellow"/>
        </w:rPr>
        <w:t>mit einer Bewilligung nach Art. 30a</w:t>
      </w:r>
      <w:r w:rsidR="009B7A8A" w:rsidRPr="00E55E3C">
        <w:rPr>
          <w:rFonts w:ascii="Arial" w:hAnsi="Arial" w:cs="Arial"/>
          <w:i/>
          <w:sz w:val="20"/>
          <w:szCs w:val="20"/>
          <w:highlight w:val="yellow"/>
          <w:vertAlign w:val="superscript"/>
        </w:rPr>
        <w:t>quater</w:t>
      </w:r>
      <w:r w:rsidR="009B7A8A">
        <w:rPr>
          <w:rFonts w:ascii="Arial" w:hAnsi="Arial" w:cs="Arial"/>
          <w:i/>
          <w:sz w:val="20"/>
          <w:szCs w:val="20"/>
          <w:highlight w:val="yellow"/>
        </w:rPr>
        <w:t xml:space="preserve"> </w:t>
      </w:r>
      <w:r w:rsidR="00D71E0B">
        <w:rPr>
          <w:rFonts w:ascii="Arial" w:hAnsi="Arial" w:cs="Arial"/>
          <w:i/>
          <w:sz w:val="20"/>
          <w:szCs w:val="20"/>
          <w:highlight w:val="yellow"/>
        </w:rPr>
        <w:t xml:space="preserve">BankG </w:t>
      </w:r>
      <w:r w:rsidRPr="00E55E3C">
        <w:rPr>
          <w:rFonts w:ascii="Arial" w:hAnsi="Arial" w:cs="Arial"/>
          <w:i/>
          <w:sz w:val="20"/>
          <w:szCs w:val="20"/>
          <w:highlight w:val="yellow"/>
        </w:rPr>
        <w:t>vorliegt.</w:t>
      </w:r>
      <w:r w:rsidRPr="00E55E3C">
        <w:rPr>
          <w:rFonts w:ascii="Arial" w:hAnsi="Arial" w:cs="Arial"/>
          <w:i/>
          <w:sz w:val="20"/>
          <w:szCs w:val="20"/>
        </w:rPr>
        <w:t xml:space="preserve"> </w:t>
      </w:r>
    </w:p>
    <w:p w14:paraId="1E4C911D" w14:textId="77777777" w:rsidR="005573E0" w:rsidRDefault="005573E0" w:rsidP="00636495">
      <w:pPr>
        <w:jc w:val="both"/>
      </w:pPr>
    </w:p>
    <w:p w14:paraId="177063AD" w14:textId="5FE1C4C5" w:rsidR="006D37A3" w:rsidRDefault="006D37A3" w:rsidP="006D37A3">
      <w:pPr>
        <w:pStyle w:val="FINMAGliederungEbene3"/>
      </w:pPr>
      <w:bookmarkStart w:id="85" w:name="_Toc147849934"/>
      <w:r>
        <w:t>Gruppeninterne Steuerung &amp; Koordination</w:t>
      </w:r>
      <w:bookmarkEnd w:id="85"/>
    </w:p>
    <w:p w14:paraId="7B801971" w14:textId="77777777" w:rsidR="006D37A3" w:rsidRDefault="006D37A3" w:rsidP="00636495">
      <w:pPr>
        <w:jc w:val="both"/>
      </w:pPr>
    </w:p>
    <w:tbl>
      <w:tblPr>
        <w:tblStyle w:val="Tabellenraster"/>
        <w:tblW w:w="0" w:type="auto"/>
        <w:tblLook w:val="04A0" w:firstRow="1" w:lastRow="0" w:firstColumn="1" w:lastColumn="0" w:noHBand="0" w:noVBand="1"/>
      </w:tblPr>
      <w:tblGrid>
        <w:gridCol w:w="1932"/>
        <w:gridCol w:w="2145"/>
        <w:gridCol w:w="1721"/>
        <w:gridCol w:w="3382"/>
      </w:tblGrid>
      <w:tr w:rsidR="001629CE" w:rsidRPr="009872F3" w14:paraId="4F5905D1" w14:textId="77777777" w:rsidTr="009B7A8A">
        <w:trPr>
          <w:trHeight w:val="563"/>
        </w:trPr>
        <w:tc>
          <w:tcPr>
            <w:tcW w:w="1932" w:type="dxa"/>
          </w:tcPr>
          <w:p w14:paraId="18040798" w14:textId="77777777" w:rsidR="001629CE" w:rsidRPr="009872F3" w:rsidRDefault="001629CE" w:rsidP="009B7A8A">
            <w:pPr>
              <w:jc w:val="both"/>
              <w:rPr>
                <w:rFonts w:ascii="Arial" w:hAnsi="Arial" w:cs="Arial"/>
                <w:sz w:val="18"/>
                <w:szCs w:val="18"/>
              </w:rPr>
            </w:pPr>
            <w:r w:rsidRPr="009872F3">
              <w:rPr>
                <w:rFonts w:ascii="Arial" w:hAnsi="Arial" w:cs="Arial"/>
                <w:sz w:val="18"/>
                <w:szCs w:val="18"/>
              </w:rPr>
              <w:t>Nettorisiko</w:t>
            </w:r>
          </w:p>
        </w:tc>
        <w:tc>
          <w:tcPr>
            <w:tcW w:w="2145" w:type="dxa"/>
          </w:tcPr>
          <w:p w14:paraId="6DA4059E" w14:textId="77777777" w:rsidR="001629CE" w:rsidRPr="009872F3" w:rsidRDefault="001629CE" w:rsidP="009B7A8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48786F77" w14:textId="77777777" w:rsidR="001629CE" w:rsidRPr="009872F3" w:rsidRDefault="001629CE" w:rsidP="009B7A8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1629CE" w:rsidRPr="009872F3" w14:paraId="329A63BA" w14:textId="77777777" w:rsidTr="009B7A8A">
        <w:trPr>
          <w:trHeight w:val="698"/>
        </w:trPr>
        <w:tc>
          <w:tcPr>
            <w:tcW w:w="1932" w:type="dxa"/>
          </w:tcPr>
          <w:p w14:paraId="2540F7BF" w14:textId="77777777" w:rsidR="001629CE" w:rsidRPr="006749F0" w:rsidRDefault="001629CE" w:rsidP="009B7A8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486D258A" w14:textId="77777777" w:rsidR="001629CE" w:rsidRPr="006749F0" w:rsidRDefault="001629CE" w:rsidP="009B7A8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1E460018" w14:textId="77777777" w:rsidR="001629CE" w:rsidRPr="009872F3" w:rsidRDefault="001629CE" w:rsidP="009B7A8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7E7E4DD7" w14:textId="77777777" w:rsidR="001629CE" w:rsidRDefault="001629CE" w:rsidP="009B7A8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4E7D28FD" w14:textId="77777777" w:rsidR="001629CE" w:rsidRPr="006749F0" w:rsidRDefault="001629CE" w:rsidP="009B7A8A">
            <w:pPr>
              <w:jc w:val="both"/>
              <w:rPr>
                <w:rFonts w:ascii="Arial" w:hAnsi="Arial" w:cs="Arial"/>
                <w:i/>
                <w:sz w:val="18"/>
                <w:szCs w:val="18"/>
              </w:rPr>
            </w:pPr>
            <w:r w:rsidRPr="006749F0">
              <w:rPr>
                <w:rFonts w:ascii="Arial" w:hAnsi="Arial" w:cs="Arial"/>
                <w:i/>
                <w:sz w:val="18"/>
                <w:szCs w:val="18"/>
                <w:highlight w:val="yellow"/>
              </w:rPr>
              <w:t>Jahr</w:t>
            </w:r>
          </w:p>
        </w:tc>
      </w:tr>
      <w:tr w:rsidR="001629CE" w:rsidRPr="00904518" w14:paraId="25D39C87" w14:textId="77777777" w:rsidTr="009B7A8A">
        <w:trPr>
          <w:trHeight w:val="133"/>
        </w:trPr>
        <w:tc>
          <w:tcPr>
            <w:tcW w:w="9180" w:type="dxa"/>
            <w:gridSpan w:val="4"/>
          </w:tcPr>
          <w:p w14:paraId="67F0AD09" w14:textId="77777777" w:rsidR="001629CE" w:rsidRDefault="001629CE" w:rsidP="009B7A8A">
            <w:pPr>
              <w:jc w:val="both"/>
              <w:rPr>
                <w:rFonts w:ascii="Arial" w:hAnsi="Arial" w:cs="Arial"/>
                <w:sz w:val="18"/>
                <w:szCs w:val="18"/>
              </w:rPr>
            </w:pPr>
          </w:p>
          <w:p w14:paraId="172B23A4" w14:textId="77777777" w:rsidR="001629CE" w:rsidRPr="00F60909" w:rsidRDefault="001629CE" w:rsidP="009B7A8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D02F73C" w14:textId="69959898" w:rsidR="001629CE" w:rsidRPr="00E55E3C" w:rsidRDefault="001629CE" w:rsidP="009B7A8A">
            <w:pPr>
              <w:jc w:val="both"/>
              <w:rPr>
                <w:rFonts w:ascii="Arial" w:hAnsi="Arial" w:cs="Arial"/>
                <w:sz w:val="18"/>
                <w:szCs w:val="18"/>
              </w:rPr>
            </w:pPr>
            <w:r w:rsidRPr="00E55E3C">
              <w:rPr>
                <w:rFonts w:ascii="Arial" w:hAnsi="Arial" w:cs="Arial"/>
                <w:sz w:val="18"/>
                <w:szCs w:val="18"/>
                <w:highlight w:val="yellow"/>
              </w:rPr>
              <w:t xml:space="preserve">Art </w:t>
            </w:r>
            <w:r w:rsidR="004B3F53" w:rsidRPr="00E55E3C">
              <w:rPr>
                <w:rFonts w:ascii="Arial" w:hAnsi="Arial" w:cs="Arial"/>
                <w:sz w:val="18"/>
                <w:szCs w:val="18"/>
                <w:highlight w:val="yellow"/>
              </w:rPr>
              <w:t>30a</w:t>
            </w:r>
            <w:r w:rsidR="004B3F53" w:rsidRPr="00E55E3C">
              <w:rPr>
                <w:rFonts w:ascii="Arial" w:hAnsi="Arial" w:cs="Arial"/>
                <w:sz w:val="18"/>
                <w:szCs w:val="18"/>
                <w:highlight w:val="yellow"/>
                <w:vertAlign w:val="superscript"/>
              </w:rPr>
              <w:t>quater</w:t>
            </w:r>
            <w:r w:rsidRPr="00E55E3C">
              <w:rPr>
                <w:rFonts w:ascii="Arial" w:hAnsi="Arial" w:cs="Arial"/>
                <w:sz w:val="18"/>
                <w:szCs w:val="18"/>
                <w:highlight w:val="yellow"/>
                <w:vertAlign w:val="superscript"/>
              </w:rPr>
              <w:t xml:space="preserve"> </w:t>
            </w:r>
            <w:r w:rsidR="00500CE2" w:rsidRPr="00E55E3C">
              <w:rPr>
                <w:rFonts w:ascii="Arial" w:hAnsi="Arial" w:cs="Arial"/>
                <w:sz w:val="18"/>
                <w:szCs w:val="18"/>
                <w:highlight w:val="yellow"/>
              </w:rPr>
              <w:t>Abs. 6</w:t>
            </w:r>
            <w:r w:rsidR="00500CE2" w:rsidRPr="00E55E3C">
              <w:rPr>
                <w:rFonts w:ascii="Arial" w:hAnsi="Arial" w:cs="Arial"/>
                <w:sz w:val="18"/>
                <w:szCs w:val="18"/>
                <w:highlight w:val="yellow"/>
                <w:vertAlign w:val="superscript"/>
              </w:rPr>
              <w:t xml:space="preserve"> </w:t>
            </w:r>
            <w:r w:rsidR="00747A7A" w:rsidRPr="00E55E3C">
              <w:rPr>
                <w:rFonts w:ascii="Arial" w:hAnsi="Arial" w:cs="Arial"/>
                <w:sz w:val="18"/>
                <w:szCs w:val="18"/>
                <w:highlight w:val="yellow"/>
              </w:rPr>
              <w:t>Bst. a</w:t>
            </w:r>
            <w:r w:rsidR="00A83D86" w:rsidRPr="00E55E3C">
              <w:rPr>
                <w:rFonts w:ascii="Arial" w:hAnsi="Arial" w:cs="Arial"/>
                <w:sz w:val="18"/>
                <w:szCs w:val="18"/>
                <w:highlight w:val="yellow"/>
              </w:rPr>
              <w:t xml:space="preserve"> und b</w:t>
            </w:r>
            <w:r w:rsidR="00747A7A" w:rsidRPr="00E55E3C">
              <w:rPr>
                <w:rFonts w:ascii="Arial" w:hAnsi="Arial" w:cs="Arial"/>
                <w:sz w:val="18"/>
                <w:szCs w:val="18"/>
                <w:highlight w:val="yellow"/>
                <w:vertAlign w:val="superscript"/>
              </w:rPr>
              <w:t xml:space="preserve"> </w:t>
            </w:r>
            <w:r w:rsidR="004B3F53" w:rsidRPr="00E55E3C">
              <w:rPr>
                <w:rFonts w:ascii="Arial" w:hAnsi="Arial" w:cs="Arial"/>
                <w:sz w:val="18"/>
                <w:szCs w:val="18"/>
                <w:highlight w:val="yellow"/>
              </w:rPr>
              <w:t>BankG; Art. 41i</w:t>
            </w:r>
            <w:r w:rsidR="004B3F53" w:rsidRPr="00E55E3C">
              <w:rPr>
                <w:rFonts w:ascii="Arial" w:hAnsi="Arial" w:cs="Arial"/>
                <w:sz w:val="18"/>
                <w:szCs w:val="18"/>
                <w:highlight w:val="yellow"/>
                <w:vertAlign w:val="superscript"/>
              </w:rPr>
              <w:t>bis</w:t>
            </w:r>
            <w:r w:rsidR="004B3F53" w:rsidRPr="00E55E3C">
              <w:rPr>
                <w:rFonts w:ascii="Arial" w:hAnsi="Arial" w:cs="Arial"/>
                <w:sz w:val="18"/>
                <w:szCs w:val="18"/>
                <w:highlight w:val="yellow"/>
              </w:rPr>
              <w:t xml:space="preserve"> BankG</w:t>
            </w:r>
          </w:p>
        </w:tc>
      </w:tr>
      <w:tr w:rsidR="001629CE" w:rsidRPr="00904518" w14:paraId="2F237F4B" w14:textId="77777777" w:rsidTr="009B7A8A">
        <w:trPr>
          <w:trHeight w:val="294"/>
        </w:trPr>
        <w:tc>
          <w:tcPr>
            <w:tcW w:w="9180" w:type="dxa"/>
            <w:gridSpan w:val="4"/>
          </w:tcPr>
          <w:p w14:paraId="4228B7E4" w14:textId="77777777" w:rsidR="001629CE" w:rsidRPr="00E55E3C" w:rsidRDefault="001629CE" w:rsidP="009B7A8A">
            <w:pPr>
              <w:jc w:val="both"/>
              <w:rPr>
                <w:rFonts w:ascii="Arial" w:hAnsi="Arial" w:cs="Arial"/>
                <w:sz w:val="18"/>
                <w:szCs w:val="18"/>
              </w:rPr>
            </w:pPr>
          </w:p>
        </w:tc>
      </w:tr>
      <w:tr w:rsidR="001629CE" w:rsidRPr="009872F3" w14:paraId="2B0FC0EE" w14:textId="77777777" w:rsidTr="009B7A8A">
        <w:tc>
          <w:tcPr>
            <w:tcW w:w="5798" w:type="dxa"/>
            <w:gridSpan w:val="3"/>
          </w:tcPr>
          <w:p w14:paraId="7FD73570" w14:textId="0F10D86A" w:rsidR="001629CE" w:rsidRDefault="001629CE" w:rsidP="009B7A8A">
            <w:pPr>
              <w:jc w:val="both"/>
              <w:rPr>
                <w:rFonts w:ascii="Arial" w:hAnsi="Arial" w:cs="Arial"/>
                <w:sz w:val="18"/>
                <w:szCs w:val="18"/>
              </w:rPr>
            </w:pPr>
            <w:r>
              <w:rPr>
                <w:rFonts w:ascii="Arial" w:hAnsi="Arial" w:cs="Arial"/>
                <w:sz w:val="18"/>
                <w:szCs w:val="18"/>
              </w:rPr>
              <w:t xml:space="preserve">Bestätigung, dass die </w:t>
            </w:r>
            <w:r w:rsidR="00B50E47">
              <w:rPr>
                <w:rFonts w:ascii="Arial" w:hAnsi="Arial" w:cs="Arial"/>
                <w:sz w:val="18"/>
                <w:szCs w:val="18"/>
              </w:rPr>
              <w:t xml:space="preserve">gruppeninternen Verfahren, Strategien und Aufgaben- sowie Kompetenzverteilungen geeignet sind, um die Tochterunternehmen der bewilligten (gemischten) Finanzholdinggesellschaft zu steuern und zu koordinieren. </w:t>
            </w:r>
          </w:p>
        </w:tc>
        <w:tc>
          <w:tcPr>
            <w:tcW w:w="3382" w:type="dxa"/>
          </w:tcPr>
          <w:p w14:paraId="7E29F7AE" w14:textId="77777777" w:rsidR="001629CE" w:rsidRPr="00C3479D" w:rsidRDefault="001629CE" w:rsidP="009B7A8A">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995C4A" w:rsidRPr="009872F3" w14:paraId="046FAF8D" w14:textId="77777777" w:rsidTr="009B7A8A">
        <w:tc>
          <w:tcPr>
            <w:tcW w:w="5798" w:type="dxa"/>
            <w:gridSpan w:val="3"/>
          </w:tcPr>
          <w:p w14:paraId="1B5DEAA8" w14:textId="46C8F7D0" w:rsidR="00995C4A" w:rsidRDefault="00995C4A" w:rsidP="009B7A8A">
            <w:pPr>
              <w:jc w:val="both"/>
              <w:rPr>
                <w:rFonts w:ascii="Arial" w:hAnsi="Arial" w:cs="Arial"/>
                <w:sz w:val="18"/>
                <w:szCs w:val="18"/>
              </w:rPr>
            </w:pPr>
            <w:r>
              <w:rPr>
                <w:rFonts w:ascii="Arial" w:hAnsi="Arial" w:cs="Arial"/>
                <w:sz w:val="18"/>
                <w:szCs w:val="18"/>
              </w:rPr>
              <w:lastRenderedPageBreak/>
              <w:t xml:space="preserve">Bestätigung, dass der organisatorische Aufbau der Gruppe keine Beeinträchtigung oder Verhinderung der Einhaltung der Pflichten auf Einzelbasis, auf konsolidierter Basis und gegebenenfalls auf teilkonsolidierter Basis zur Folge haben. </w:t>
            </w:r>
          </w:p>
        </w:tc>
        <w:tc>
          <w:tcPr>
            <w:tcW w:w="3382" w:type="dxa"/>
          </w:tcPr>
          <w:p w14:paraId="7D000293" w14:textId="62E3FA47" w:rsidR="00995C4A" w:rsidRPr="00C3479D" w:rsidRDefault="00995C4A" w:rsidP="009B7A8A">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2600DBF8" w14:textId="77777777" w:rsidR="001629CE" w:rsidRDefault="001629CE" w:rsidP="001629CE">
      <w:pPr>
        <w:jc w:val="both"/>
      </w:pPr>
    </w:p>
    <w:tbl>
      <w:tblPr>
        <w:tblStyle w:val="Tabellenraster"/>
        <w:tblW w:w="0" w:type="auto"/>
        <w:tblLook w:val="04A0" w:firstRow="1" w:lastRow="0" w:firstColumn="1" w:lastColumn="0" w:noHBand="0" w:noVBand="1"/>
      </w:tblPr>
      <w:tblGrid>
        <w:gridCol w:w="2785"/>
        <w:gridCol w:w="6520"/>
      </w:tblGrid>
      <w:tr w:rsidR="001629CE" w:rsidRPr="00CE3194" w14:paraId="765FA10D" w14:textId="77777777" w:rsidTr="009B7A8A">
        <w:tc>
          <w:tcPr>
            <w:tcW w:w="2785" w:type="dxa"/>
          </w:tcPr>
          <w:p w14:paraId="0A03884C" w14:textId="77777777" w:rsidR="001629CE" w:rsidRPr="00CE3194" w:rsidRDefault="001629CE" w:rsidP="009B7A8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4907EDC" w14:textId="77777777" w:rsidR="001629CE" w:rsidRPr="00CE3194" w:rsidRDefault="001629CE" w:rsidP="009B7A8A">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1629CE" w:rsidRPr="00CE3194" w14:paraId="2751234C" w14:textId="77777777" w:rsidTr="009B7A8A">
        <w:tc>
          <w:tcPr>
            <w:tcW w:w="2785" w:type="dxa"/>
          </w:tcPr>
          <w:p w14:paraId="4DB2557A" w14:textId="20A96D01" w:rsidR="001629CE" w:rsidRDefault="00B50E47" w:rsidP="009B7A8A">
            <w:pPr>
              <w:jc w:val="both"/>
              <w:rPr>
                <w:rFonts w:ascii="Arial" w:hAnsi="Arial" w:cs="Arial"/>
                <w:i/>
                <w:sz w:val="20"/>
                <w:szCs w:val="20"/>
                <w:highlight w:val="lightGray"/>
              </w:rPr>
            </w:pPr>
            <w:r>
              <w:rPr>
                <w:rFonts w:ascii="Arial" w:hAnsi="Arial" w:cs="Arial"/>
                <w:i/>
                <w:sz w:val="20"/>
                <w:szCs w:val="20"/>
                <w:highlight w:val="lightGray"/>
              </w:rPr>
              <w:t>Gruppeninterne Steuerung &amp; Koordination</w:t>
            </w:r>
          </w:p>
        </w:tc>
        <w:tc>
          <w:tcPr>
            <w:tcW w:w="6520" w:type="dxa"/>
          </w:tcPr>
          <w:p w14:paraId="038F5147" w14:textId="15A8A7E0" w:rsidR="00B50E47" w:rsidRDefault="00B50E47"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eine übergeordnete Geschäfts- und Risikostrategie besteht. </w:t>
            </w:r>
          </w:p>
          <w:p w14:paraId="7469EF8C" w14:textId="07906717" w:rsidR="001629CE" w:rsidRDefault="00B50E47"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Entscheidungen und Steuerungsmassnahmen im Rahmen der übergeordneten Geschäfts- und Risikostrategie wirksam in die Prozesse eingebettet werden. </w:t>
            </w:r>
          </w:p>
          <w:p w14:paraId="24DF02F0" w14:textId="77777777" w:rsidR="00B50E47" w:rsidRDefault="00B50E47"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eine gruppenweite Prozesslandkarte besteht. </w:t>
            </w:r>
          </w:p>
          <w:p w14:paraId="4D85F692" w14:textId="5D207520" w:rsidR="00B50E47" w:rsidRPr="00B50E47" w:rsidRDefault="00B50E47" w:rsidP="00B50E47">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Aufgaben – und Kompetenzverteilungen angemessen sind, um die Tochterunternehmen zu steuern und zu koordinieren. </w:t>
            </w:r>
          </w:p>
        </w:tc>
      </w:tr>
      <w:tr w:rsidR="000D47B7" w:rsidRPr="00CE3194" w14:paraId="0EB13446" w14:textId="77777777" w:rsidTr="009B7A8A">
        <w:tc>
          <w:tcPr>
            <w:tcW w:w="2785" w:type="dxa"/>
          </w:tcPr>
          <w:p w14:paraId="4E5E0AD6" w14:textId="019453D4" w:rsidR="000D47B7" w:rsidRDefault="000D47B7" w:rsidP="009B7A8A">
            <w:pPr>
              <w:jc w:val="both"/>
              <w:rPr>
                <w:rFonts w:ascii="Arial" w:hAnsi="Arial" w:cs="Arial"/>
                <w:i/>
                <w:sz w:val="20"/>
                <w:szCs w:val="20"/>
                <w:highlight w:val="lightGray"/>
              </w:rPr>
            </w:pPr>
            <w:r>
              <w:rPr>
                <w:rFonts w:ascii="Arial" w:hAnsi="Arial" w:cs="Arial"/>
                <w:i/>
                <w:sz w:val="20"/>
                <w:szCs w:val="20"/>
                <w:highlight w:val="lightGray"/>
              </w:rPr>
              <w:t>Organisatorische</w:t>
            </w:r>
            <w:r w:rsidR="001D61FF">
              <w:rPr>
                <w:rFonts w:ascii="Arial" w:hAnsi="Arial" w:cs="Arial"/>
                <w:i/>
                <w:sz w:val="20"/>
                <w:szCs w:val="20"/>
                <w:highlight w:val="lightGray"/>
              </w:rPr>
              <w:t>r</w:t>
            </w:r>
            <w:r>
              <w:rPr>
                <w:rFonts w:ascii="Arial" w:hAnsi="Arial" w:cs="Arial"/>
                <w:i/>
                <w:sz w:val="20"/>
                <w:szCs w:val="20"/>
                <w:highlight w:val="lightGray"/>
              </w:rPr>
              <w:t xml:space="preserve"> Aufbau</w:t>
            </w:r>
          </w:p>
        </w:tc>
        <w:tc>
          <w:tcPr>
            <w:tcW w:w="6520" w:type="dxa"/>
          </w:tcPr>
          <w:p w14:paraId="08D28126" w14:textId="457CE284" w:rsidR="000D47B7" w:rsidRDefault="000D47B7"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Der organisatorische Aufbau stellt sich, dass die Pflichten auf Einzelbasis, auf konsolidierter Basis und gegebenenfalls auf teilkonsolidierter Basis </w:t>
            </w:r>
            <w:r w:rsidR="00995C4A">
              <w:rPr>
                <w:rFonts w:cs="Arial"/>
                <w:i/>
                <w:szCs w:val="20"/>
                <w:highlight w:val="lightGray"/>
              </w:rPr>
              <w:t xml:space="preserve">durch deren Ausgestaltung (Beteiligungsstruktur, gruppeninterne Positionierung und Rolle der bewilligten (gemischten) Finanzholdinggesellschaft nicht beeinträchtigt oder verhindert werden. </w:t>
            </w:r>
          </w:p>
        </w:tc>
      </w:tr>
    </w:tbl>
    <w:p w14:paraId="55478B2C" w14:textId="77777777" w:rsidR="001629CE" w:rsidRDefault="001629CE" w:rsidP="001629CE">
      <w:pPr>
        <w:jc w:val="both"/>
      </w:pPr>
    </w:p>
    <w:p w14:paraId="34B307E7" w14:textId="77777777" w:rsidR="001629CE" w:rsidRPr="00667026" w:rsidRDefault="001629CE" w:rsidP="001629CE">
      <w:pPr>
        <w:jc w:val="both"/>
        <w:rPr>
          <w:rFonts w:ascii="Arial" w:hAnsi="Arial" w:cs="Arial"/>
          <w:i/>
          <w:sz w:val="20"/>
          <w:szCs w:val="20"/>
        </w:rPr>
      </w:pPr>
      <w:r w:rsidRPr="00276C60">
        <w:rPr>
          <w:rFonts w:ascii="Arial" w:hAnsi="Arial" w:cs="Arial"/>
          <w:i/>
          <w:sz w:val="20"/>
          <w:szCs w:val="20"/>
          <w:highlight w:val="yellow"/>
        </w:rPr>
        <w:t>Text</w:t>
      </w:r>
    </w:p>
    <w:p w14:paraId="01A7853D" w14:textId="7346A3A9" w:rsidR="001629CE" w:rsidRDefault="001629CE" w:rsidP="00636495">
      <w:pPr>
        <w:jc w:val="both"/>
      </w:pPr>
    </w:p>
    <w:p w14:paraId="78019263" w14:textId="6F59D3E0" w:rsidR="006D37A3" w:rsidRDefault="006D37A3" w:rsidP="00636495">
      <w:pPr>
        <w:jc w:val="both"/>
      </w:pPr>
    </w:p>
    <w:p w14:paraId="0FF3558E" w14:textId="71291A96" w:rsidR="006D37A3" w:rsidRDefault="006D37A3" w:rsidP="006D37A3">
      <w:pPr>
        <w:pStyle w:val="FINMAGliederungEbene3"/>
      </w:pPr>
      <w:bookmarkStart w:id="86" w:name="_Toc147849935"/>
      <w:r>
        <w:t>Gewähr der Personen, die die Geschäfte der bewilligten (gemischten) Finanzholdinggesellschaft tatsächlich führen</w:t>
      </w:r>
      <w:bookmarkEnd w:id="86"/>
    </w:p>
    <w:p w14:paraId="0525E163" w14:textId="77777777" w:rsidR="006D37A3" w:rsidRDefault="006D37A3" w:rsidP="006D37A3">
      <w:pPr>
        <w:jc w:val="both"/>
      </w:pPr>
    </w:p>
    <w:tbl>
      <w:tblPr>
        <w:tblStyle w:val="Tabellenraster"/>
        <w:tblW w:w="0" w:type="auto"/>
        <w:tblLook w:val="04A0" w:firstRow="1" w:lastRow="0" w:firstColumn="1" w:lastColumn="0" w:noHBand="0" w:noVBand="1"/>
      </w:tblPr>
      <w:tblGrid>
        <w:gridCol w:w="1932"/>
        <w:gridCol w:w="2145"/>
        <w:gridCol w:w="1721"/>
        <w:gridCol w:w="3382"/>
      </w:tblGrid>
      <w:tr w:rsidR="006D37A3" w:rsidRPr="009872F3" w14:paraId="706322F5" w14:textId="77777777" w:rsidTr="009B7A8A">
        <w:trPr>
          <w:trHeight w:val="563"/>
        </w:trPr>
        <w:tc>
          <w:tcPr>
            <w:tcW w:w="1932" w:type="dxa"/>
          </w:tcPr>
          <w:p w14:paraId="19443A4E"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Nettorisiko</w:t>
            </w:r>
          </w:p>
        </w:tc>
        <w:tc>
          <w:tcPr>
            <w:tcW w:w="2145" w:type="dxa"/>
          </w:tcPr>
          <w:p w14:paraId="697D83AC"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Intervention Berichtsjahr:</w:t>
            </w:r>
          </w:p>
        </w:tc>
        <w:tc>
          <w:tcPr>
            <w:tcW w:w="5103" w:type="dxa"/>
            <w:gridSpan w:val="2"/>
          </w:tcPr>
          <w:p w14:paraId="0F314650"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Angabe des Jahres mit letzter Intervention mit folgender Prüftiefe (vor dem Berichtsjahr)</w:t>
            </w:r>
          </w:p>
        </w:tc>
      </w:tr>
      <w:tr w:rsidR="006D37A3" w:rsidRPr="009872F3" w14:paraId="686C4434" w14:textId="77777777" w:rsidTr="009B7A8A">
        <w:trPr>
          <w:trHeight w:val="698"/>
        </w:trPr>
        <w:tc>
          <w:tcPr>
            <w:tcW w:w="1932" w:type="dxa"/>
          </w:tcPr>
          <w:p w14:paraId="2640FE2D" w14:textId="77777777" w:rsidR="006D37A3" w:rsidRPr="006749F0" w:rsidRDefault="006D37A3" w:rsidP="009B7A8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2145" w:type="dxa"/>
          </w:tcPr>
          <w:p w14:paraId="2663D0DA" w14:textId="77777777" w:rsidR="006D37A3" w:rsidRPr="006749F0" w:rsidRDefault="006D37A3" w:rsidP="009B7A8A">
            <w:pPr>
              <w:jc w:val="both"/>
              <w:rPr>
                <w:rFonts w:ascii="Arial" w:hAnsi="Arial" w:cs="Arial"/>
                <w:i/>
                <w:sz w:val="18"/>
                <w:szCs w:val="18"/>
                <w:highlight w:val="green"/>
              </w:rPr>
            </w:pPr>
            <w:r w:rsidRPr="006749F0">
              <w:rPr>
                <w:rFonts w:ascii="Arial" w:hAnsi="Arial" w:cs="Arial"/>
                <w:i/>
                <w:sz w:val="18"/>
                <w:szCs w:val="18"/>
                <w:highlight w:val="yellow"/>
              </w:rPr>
              <w:t>Detailprüfung / Kritische Beurteilung</w:t>
            </w:r>
          </w:p>
        </w:tc>
        <w:tc>
          <w:tcPr>
            <w:tcW w:w="1721" w:type="dxa"/>
          </w:tcPr>
          <w:p w14:paraId="5E500021"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Detailprüfung:</w:t>
            </w:r>
            <w:r w:rsidRPr="009872F3">
              <w:rPr>
                <w:rFonts w:ascii="Arial" w:hAnsi="Arial" w:cs="Arial"/>
                <w:sz w:val="18"/>
                <w:szCs w:val="18"/>
                <w:highlight w:val="green"/>
              </w:rPr>
              <w:t xml:space="preserve"> </w:t>
            </w:r>
            <w:r w:rsidRPr="006749F0">
              <w:rPr>
                <w:rFonts w:ascii="Arial" w:hAnsi="Arial" w:cs="Arial"/>
                <w:i/>
                <w:sz w:val="18"/>
                <w:szCs w:val="18"/>
                <w:highlight w:val="yellow"/>
              </w:rPr>
              <w:t>Jahr</w:t>
            </w:r>
          </w:p>
        </w:tc>
        <w:tc>
          <w:tcPr>
            <w:tcW w:w="3382" w:type="dxa"/>
          </w:tcPr>
          <w:p w14:paraId="3E21D006" w14:textId="77777777" w:rsidR="006D37A3" w:rsidRDefault="006D37A3" w:rsidP="009B7A8A">
            <w:pPr>
              <w:jc w:val="both"/>
              <w:rPr>
                <w:rFonts w:ascii="Arial" w:hAnsi="Arial" w:cs="Arial"/>
                <w:sz w:val="18"/>
                <w:szCs w:val="18"/>
                <w:highlight w:val="yellow"/>
              </w:rPr>
            </w:pPr>
            <w:r w:rsidRPr="009872F3">
              <w:rPr>
                <w:rFonts w:ascii="Arial" w:hAnsi="Arial" w:cs="Arial"/>
                <w:sz w:val="18"/>
                <w:szCs w:val="18"/>
              </w:rPr>
              <w:t>Kritische Beurteilung</w:t>
            </w:r>
            <w:r>
              <w:rPr>
                <w:rFonts w:ascii="Arial" w:hAnsi="Arial" w:cs="Arial"/>
                <w:sz w:val="18"/>
                <w:szCs w:val="18"/>
              </w:rPr>
              <w:t>:</w:t>
            </w:r>
            <w:r w:rsidRPr="006749F0">
              <w:rPr>
                <w:rFonts w:ascii="Arial" w:hAnsi="Arial" w:cs="Arial"/>
                <w:sz w:val="18"/>
                <w:szCs w:val="18"/>
                <w:highlight w:val="yellow"/>
              </w:rPr>
              <w:t xml:space="preserve"> </w:t>
            </w:r>
          </w:p>
          <w:p w14:paraId="32364E72" w14:textId="77777777" w:rsidR="006D37A3" w:rsidRPr="006749F0" w:rsidRDefault="006D37A3" w:rsidP="009B7A8A">
            <w:pPr>
              <w:jc w:val="both"/>
              <w:rPr>
                <w:rFonts w:ascii="Arial" w:hAnsi="Arial" w:cs="Arial"/>
                <w:i/>
                <w:sz w:val="18"/>
                <w:szCs w:val="18"/>
              </w:rPr>
            </w:pPr>
            <w:r w:rsidRPr="006749F0">
              <w:rPr>
                <w:rFonts w:ascii="Arial" w:hAnsi="Arial" w:cs="Arial"/>
                <w:i/>
                <w:sz w:val="18"/>
                <w:szCs w:val="18"/>
                <w:highlight w:val="yellow"/>
              </w:rPr>
              <w:t>Jahr</w:t>
            </w:r>
          </w:p>
        </w:tc>
      </w:tr>
      <w:tr w:rsidR="006D37A3" w:rsidRPr="001D61FF" w14:paraId="746A3898" w14:textId="77777777" w:rsidTr="009B7A8A">
        <w:trPr>
          <w:trHeight w:val="133"/>
        </w:trPr>
        <w:tc>
          <w:tcPr>
            <w:tcW w:w="9180" w:type="dxa"/>
            <w:gridSpan w:val="4"/>
          </w:tcPr>
          <w:p w14:paraId="1C816219" w14:textId="77777777" w:rsidR="006D37A3" w:rsidRDefault="006D37A3" w:rsidP="009B7A8A">
            <w:pPr>
              <w:jc w:val="both"/>
              <w:rPr>
                <w:rFonts w:ascii="Arial" w:hAnsi="Arial" w:cs="Arial"/>
                <w:sz w:val="18"/>
                <w:szCs w:val="18"/>
              </w:rPr>
            </w:pPr>
          </w:p>
          <w:p w14:paraId="2A9D1F71" w14:textId="77777777" w:rsidR="006D37A3" w:rsidRPr="00F60909" w:rsidRDefault="006D37A3" w:rsidP="009B7A8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68CBFB07" w14:textId="5D5E0359" w:rsidR="006D37A3" w:rsidRPr="00BF6946" w:rsidRDefault="00A17DB1" w:rsidP="009B7A8A">
            <w:pPr>
              <w:jc w:val="both"/>
              <w:rPr>
                <w:rFonts w:ascii="Arial" w:hAnsi="Arial" w:cs="Arial"/>
                <w:sz w:val="18"/>
                <w:szCs w:val="18"/>
              </w:rPr>
            </w:pPr>
            <w:r w:rsidRPr="00BF6946">
              <w:rPr>
                <w:rFonts w:ascii="Arial" w:hAnsi="Arial" w:cs="Arial"/>
                <w:sz w:val="18"/>
                <w:szCs w:val="18"/>
                <w:highlight w:val="yellow"/>
              </w:rPr>
              <w:t>Art. 30a</w:t>
            </w:r>
            <w:r w:rsidRPr="00BF6946">
              <w:rPr>
                <w:rFonts w:ascii="Arial" w:hAnsi="Arial" w:cs="Arial"/>
                <w:sz w:val="18"/>
                <w:szCs w:val="18"/>
                <w:highlight w:val="yellow"/>
                <w:vertAlign w:val="superscript"/>
              </w:rPr>
              <w:t>quater</w:t>
            </w:r>
            <w:r w:rsidRPr="00BF6946">
              <w:rPr>
                <w:rFonts w:ascii="Arial" w:hAnsi="Arial" w:cs="Arial"/>
                <w:sz w:val="18"/>
                <w:szCs w:val="18"/>
                <w:highlight w:val="yellow"/>
              </w:rPr>
              <w:t xml:space="preserve"> Abs. 6 Bst. c BankG; </w:t>
            </w:r>
            <w:r w:rsidR="006D37A3" w:rsidRPr="00BF6946">
              <w:rPr>
                <w:rFonts w:ascii="Arial" w:hAnsi="Arial" w:cs="Arial"/>
                <w:sz w:val="18"/>
                <w:szCs w:val="18"/>
                <w:highlight w:val="yellow"/>
              </w:rPr>
              <w:t>Art. 41i BankG; Art. 41i</w:t>
            </w:r>
            <w:r w:rsidR="006D37A3" w:rsidRPr="00BF6946">
              <w:rPr>
                <w:rFonts w:ascii="Arial" w:hAnsi="Arial" w:cs="Arial"/>
                <w:sz w:val="18"/>
                <w:szCs w:val="18"/>
                <w:highlight w:val="yellow"/>
                <w:vertAlign w:val="superscript"/>
              </w:rPr>
              <w:t>bis</w:t>
            </w:r>
            <w:r w:rsidR="006D37A3" w:rsidRPr="00BF6946">
              <w:rPr>
                <w:rFonts w:ascii="Arial" w:hAnsi="Arial" w:cs="Arial"/>
                <w:sz w:val="18"/>
                <w:szCs w:val="18"/>
                <w:highlight w:val="yellow"/>
              </w:rPr>
              <w:t xml:space="preserve"> BankG; </w:t>
            </w:r>
            <w:r w:rsidR="00C53872" w:rsidRPr="00BF6946">
              <w:rPr>
                <w:rFonts w:ascii="Arial" w:hAnsi="Arial" w:cs="Arial"/>
                <w:sz w:val="18"/>
                <w:szCs w:val="18"/>
                <w:highlight w:val="yellow"/>
              </w:rPr>
              <w:t>Art. 30 BankV;</w:t>
            </w:r>
          </w:p>
        </w:tc>
      </w:tr>
      <w:tr w:rsidR="006D37A3" w:rsidRPr="001D61FF" w14:paraId="624D196E" w14:textId="77777777" w:rsidTr="009B7A8A">
        <w:trPr>
          <w:trHeight w:val="294"/>
        </w:trPr>
        <w:tc>
          <w:tcPr>
            <w:tcW w:w="9180" w:type="dxa"/>
            <w:gridSpan w:val="4"/>
          </w:tcPr>
          <w:p w14:paraId="2A0A257E" w14:textId="77777777" w:rsidR="006D37A3" w:rsidRPr="00BF6946" w:rsidRDefault="006D37A3" w:rsidP="009B7A8A">
            <w:pPr>
              <w:jc w:val="both"/>
              <w:rPr>
                <w:rFonts w:ascii="Arial" w:hAnsi="Arial" w:cs="Arial"/>
                <w:sz w:val="18"/>
                <w:szCs w:val="18"/>
              </w:rPr>
            </w:pPr>
          </w:p>
        </w:tc>
      </w:tr>
      <w:tr w:rsidR="006D37A3" w:rsidRPr="009872F3" w14:paraId="2E6CCC0A" w14:textId="77777777" w:rsidTr="009B7A8A">
        <w:tc>
          <w:tcPr>
            <w:tcW w:w="5798" w:type="dxa"/>
            <w:gridSpan w:val="3"/>
          </w:tcPr>
          <w:p w14:paraId="67918769" w14:textId="17F501A9" w:rsidR="006D37A3" w:rsidRPr="009872F3" w:rsidRDefault="006D37A3" w:rsidP="009B7A8A">
            <w:pPr>
              <w:jc w:val="both"/>
              <w:rPr>
                <w:rFonts w:ascii="Arial" w:hAnsi="Arial" w:cs="Arial"/>
                <w:sz w:val="18"/>
                <w:szCs w:val="18"/>
              </w:rPr>
            </w:pPr>
            <w:r>
              <w:rPr>
                <w:rFonts w:ascii="Arial" w:hAnsi="Arial" w:cs="Arial"/>
                <w:sz w:val="18"/>
                <w:szCs w:val="18"/>
              </w:rPr>
              <w:t>Bestätigung, dass die Personen, die die Geschäfte der bewilligten (gemischten) Finanzholdinggesellschaft tatsächlich führen über ausreichende Kenntnisse, Fähigkeiten und Erfahrungen für die Wahrnehmung ihrer Aufgaben verfügen</w:t>
            </w:r>
            <w:r w:rsidR="005D4269">
              <w:rPr>
                <w:rFonts w:ascii="Arial" w:hAnsi="Arial" w:cs="Arial"/>
                <w:sz w:val="18"/>
                <w:szCs w:val="18"/>
              </w:rPr>
              <w:t>.</w:t>
            </w:r>
          </w:p>
        </w:tc>
        <w:tc>
          <w:tcPr>
            <w:tcW w:w="3382" w:type="dxa"/>
          </w:tcPr>
          <w:p w14:paraId="5504A64D" w14:textId="77777777" w:rsidR="006D37A3" w:rsidRPr="00E109DF" w:rsidRDefault="006D37A3" w:rsidP="009B7A8A">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64223893" w14:textId="002C41FF" w:rsidR="006D37A3" w:rsidRDefault="006D37A3" w:rsidP="00636495">
      <w:pPr>
        <w:jc w:val="both"/>
      </w:pPr>
    </w:p>
    <w:tbl>
      <w:tblPr>
        <w:tblStyle w:val="Tabellenraster"/>
        <w:tblW w:w="0" w:type="auto"/>
        <w:tblLook w:val="04A0" w:firstRow="1" w:lastRow="0" w:firstColumn="1" w:lastColumn="0" w:noHBand="0" w:noVBand="1"/>
      </w:tblPr>
      <w:tblGrid>
        <w:gridCol w:w="2785"/>
        <w:gridCol w:w="6520"/>
      </w:tblGrid>
      <w:tr w:rsidR="00F96EFF" w:rsidRPr="00CE3194" w14:paraId="5BBF612D" w14:textId="77777777" w:rsidTr="009B7A8A">
        <w:tc>
          <w:tcPr>
            <w:tcW w:w="2785" w:type="dxa"/>
          </w:tcPr>
          <w:p w14:paraId="6D0737B4" w14:textId="77777777" w:rsidR="00F96EFF" w:rsidRPr="00CE3194" w:rsidRDefault="00F96EFF" w:rsidP="009B7A8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6520" w:type="dxa"/>
          </w:tcPr>
          <w:p w14:paraId="48F0DF9D" w14:textId="77777777" w:rsidR="00F96EFF" w:rsidRPr="00CE3194" w:rsidRDefault="00F96EFF" w:rsidP="009B7A8A">
            <w:pPr>
              <w:jc w:val="both"/>
              <w:rPr>
                <w:rFonts w:ascii="Arial" w:hAnsi="Arial" w:cs="Arial"/>
                <w:b/>
                <w:i/>
                <w:sz w:val="20"/>
                <w:szCs w:val="20"/>
                <w:highlight w:val="lightGray"/>
              </w:rPr>
            </w:pPr>
            <w:r>
              <w:rPr>
                <w:rFonts w:ascii="Arial" w:hAnsi="Arial" w:cs="Arial"/>
                <w:b/>
                <w:i/>
                <w:sz w:val="20"/>
                <w:szCs w:val="20"/>
                <w:highlight w:val="lightGray"/>
              </w:rPr>
              <w:t>Mindestprüfinhalte</w:t>
            </w:r>
          </w:p>
        </w:tc>
      </w:tr>
      <w:tr w:rsidR="00F96EFF" w:rsidRPr="00CE3194" w14:paraId="371EDA8E" w14:textId="77777777" w:rsidTr="009B7A8A">
        <w:tc>
          <w:tcPr>
            <w:tcW w:w="2785" w:type="dxa"/>
          </w:tcPr>
          <w:p w14:paraId="3B228B2E" w14:textId="77777777" w:rsidR="00F96EFF" w:rsidRPr="00E55E3C" w:rsidRDefault="00F96EFF" w:rsidP="00E55E3C">
            <w:pPr>
              <w:jc w:val="both"/>
              <w:rPr>
                <w:i/>
                <w:szCs w:val="20"/>
                <w:highlight w:val="lightGray"/>
              </w:rPr>
            </w:pPr>
            <w:r w:rsidRPr="00E55E3C">
              <w:rPr>
                <w:rFonts w:ascii="Arial" w:hAnsi="Arial" w:cs="Arial"/>
                <w:i/>
                <w:sz w:val="20"/>
                <w:szCs w:val="20"/>
                <w:highlight w:val="lightGray"/>
              </w:rPr>
              <w:t>Gewähr der Personen, die die Geschäfte der bewilligten (gemischten) Finanzholdinggesellschaft tatsächlich führen</w:t>
            </w:r>
          </w:p>
          <w:p w14:paraId="57FFDEB4" w14:textId="7CE3683B" w:rsidR="00F96EFF" w:rsidRDefault="00F96EFF" w:rsidP="009B7A8A">
            <w:pPr>
              <w:jc w:val="both"/>
              <w:rPr>
                <w:rFonts w:ascii="Arial" w:hAnsi="Arial" w:cs="Arial"/>
                <w:i/>
                <w:sz w:val="20"/>
                <w:szCs w:val="20"/>
                <w:highlight w:val="lightGray"/>
              </w:rPr>
            </w:pPr>
          </w:p>
        </w:tc>
        <w:tc>
          <w:tcPr>
            <w:tcW w:w="6520" w:type="dxa"/>
          </w:tcPr>
          <w:p w14:paraId="245A98AE" w14:textId="77777777" w:rsidR="00F96EFF" w:rsidRDefault="00F96EFF" w:rsidP="00F96EFF">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Personen, die die Geschäfte der bewilligten (gemischten) Finanzholdinggesellschaft tatsächlich führen sowohl individuell als auch kollektiv geeignet sind</w:t>
            </w:r>
          </w:p>
          <w:p w14:paraId="6EC282BF" w14:textId="2384326A" w:rsidR="00F96EFF" w:rsidRPr="00B50E47" w:rsidRDefault="00F96EFF" w:rsidP="00F96EFF">
            <w:pPr>
              <w:pStyle w:val="Listenabsatz"/>
              <w:numPr>
                <w:ilvl w:val="1"/>
                <w:numId w:val="17"/>
              </w:numPr>
              <w:ind w:left="317" w:hanging="283"/>
              <w:jc w:val="both"/>
              <w:rPr>
                <w:rFonts w:cs="Arial"/>
                <w:i/>
                <w:szCs w:val="20"/>
                <w:highlight w:val="lightGray"/>
              </w:rPr>
            </w:pPr>
            <w:r>
              <w:rPr>
                <w:rFonts w:cs="Arial"/>
                <w:i/>
                <w:szCs w:val="20"/>
                <w:highlight w:val="lightGray"/>
              </w:rPr>
              <w:t xml:space="preserve">Es besteht ein internes Verfahren zur regelmässigen Überprüfung der individuellen und kollektiven Eignung.  </w:t>
            </w:r>
          </w:p>
        </w:tc>
      </w:tr>
    </w:tbl>
    <w:p w14:paraId="3CEC7222" w14:textId="55E3596B" w:rsidR="00F96EFF" w:rsidRDefault="00F96EFF" w:rsidP="00636495">
      <w:pPr>
        <w:jc w:val="both"/>
      </w:pPr>
    </w:p>
    <w:p w14:paraId="0DEA48A6" w14:textId="77777777" w:rsidR="00F96EFF" w:rsidRDefault="00F96EFF" w:rsidP="00636495">
      <w:pPr>
        <w:jc w:val="both"/>
      </w:pPr>
    </w:p>
    <w:p w14:paraId="7351817F" w14:textId="77777777" w:rsidR="006D37A3" w:rsidRDefault="006D37A3" w:rsidP="00636495">
      <w:pPr>
        <w:jc w:val="both"/>
      </w:pPr>
    </w:p>
    <w:p w14:paraId="74B83E34" w14:textId="77777777" w:rsidR="006D37A3" w:rsidRPr="00667026" w:rsidRDefault="006D37A3" w:rsidP="006D37A3">
      <w:pPr>
        <w:jc w:val="both"/>
        <w:rPr>
          <w:rFonts w:ascii="Arial" w:hAnsi="Arial" w:cs="Arial"/>
          <w:i/>
          <w:sz w:val="20"/>
          <w:szCs w:val="20"/>
        </w:rPr>
      </w:pPr>
      <w:r w:rsidRPr="00276C60">
        <w:rPr>
          <w:rFonts w:ascii="Arial" w:hAnsi="Arial" w:cs="Arial"/>
          <w:i/>
          <w:sz w:val="20"/>
          <w:szCs w:val="20"/>
          <w:highlight w:val="yellow"/>
        </w:rPr>
        <w:t>Text</w:t>
      </w:r>
    </w:p>
    <w:p w14:paraId="5C8851D5" w14:textId="2F178860" w:rsidR="006D37A3" w:rsidRDefault="006D37A3" w:rsidP="00636495">
      <w:pPr>
        <w:jc w:val="both"/>
      </w:pPr>
    </w:p>
    <w:p w14:paraId="069960E0" w14:textId="0612A409" w:rsidR="001629CE" w:rsidRDefault="001629CE" w:rsidP="00636495">
      <w:pPr>
        <w:jc w:val="both"/>
      </w:pPr>
    </w:p>
    <w:p w14:paraId="11311C33" w14:textId="0B3999FB" w:rsidR="006D37A3" w:rsidRDefault="006D37A3" w:rsidP="006D37A3">
      <w:pPr>
        <w:pStyle w:val="FINMAGliederungEbene3"/>
      </w:pPr>
      <w:bookmarkStart w:id="87" w:name="_Toc147849936"/>
      <w:r>
        <w:t>Auslagerung</w:t>
      </w:r>
      <w:bookmarkEnd w:id="87"/>
    </w:p>
    <w:p w14:paraId="2413947D" w14:textId="77777777" w:rsidR="006D37A3" w:rsidRDefault="006D37A3" w:rsidP="006D37A3">
      <w:pPr>
        <w:jc w:val="both"/>
      </w:pPr>
    </w:p>
    <w:tbl>
      <w:tblPr>
        <w:tblStyle w:val="Tabellenraster"/>
        <w:tblW w:w="0" w:type="auto"/>
        <w:tblLook w:val="04A0" w:firstRow="1" w:lastRow="0" w:firstColumn="1" w:lastColumn="0" w:noHBand="0" w:noVBand="1"/>
      </w:tblPr>
      <w:tblGrid>
        <w:gridCol w:w="1478"/>
        <w:gridCol w:w="2220"/>
        <w:gridCol w:w="2083"/>
        <w:gridCol w:w="3733"/>
      </w:tblGrid>
      <w:tr w:rsidR="006D37A3" w:rsidRPr="009872F3" w14:paraId="07938CEA" w14:textId="77777777" w:rsidTr="009B7A8A">
        <w:trPr>
          <w:trHeight w:val="563"/>
        </w:trPr>
        <w:tc>
          <w:tcPr>
            <w:tcW w:w="1504" w:type="dxa"/>
          </w:tcPr>
          <w:p w14:paraId="3CE5B6A8" w14:textId="77777777" w:rsidR="006D37A3" w:rsidRPr="009872F3" w:rsidRDefault="006D37A3" w:rsidP="009B7A8A">
            <w:pPr>
              <w:jc w:val="both"/>
              <w:rPr>
                <w:rFonts w:ascii="Arial" w:hAnsi="Arial" w:cs="Arial"/>
                <w:sz w:val="18"/>
                <w:szCs w:val="18"/>
              </w:rPr>
            </w:pPr>
            <w:r w:rsidRPr="009872F3">
              <w:rPr>
                <w:rFonts w:ascii="Arial" w:hAnsi="Arial" w:cs="Arial"/>
                <w:sz w:val="18"/>
                <w:szCs w:val="18"/>
              </w:rPr>
              <w:t>Nettorisiko</w:t>
            </w:r>
          </w:p>
        </w:tc>
        <w:tc>
          <w:tcPr>
            <w:tcW w:w="4409" w:type="dxa"/>
            <w:gridSpan w:val="2"/>
          </w:tcPr>
          <w:p w14:paraId="539D1476" w14:textId="77777777" w:rsidR="006D37A3" w:rsidRPr="009872F3" w:rsidRDefault="006D37A3" w:rsidP="009B7A8A">
            <w:pPr>
              <w:jc w:val="both"/>
              <w:rPr>
                <w:rFonts w:ascii="Arial" w:hAnsi="Arial" w:cs="Arial"/>
                <w:sz w:val="18"/>
                <w:szCs w:val="18"/>
              </w:rPr>
            </w:pPr>
            <w:r>
              <w:rPr>
                <w:rFonts w:ascii="Arial" w:hAnsi="Arial" w:cs="Arial"/>
                <w:sz w:val="18"/>
                <w:szCs w:val="18"/>
              </w:rPr>
              <w:t>Abzudeckende(-s) Prüfelement(-e) im Rahmen der graduellen Abdeckung im Berichtsjahr mit Angabe der Prüftiefe</w:t>
            </w:r>
          </w:p>
        </w:tc>
        <w:tc>
          <w:tcPr>
            <w:tcW w:w="3827" w:type="dxa"/>
          </w:tcPr>
          <w:p w14:paraId="4C26CD01" w14:textId="77777777" w:rsidR="006D37A3" w:rsidRPr="009872F3" w:rsidRDefault="006D37A3" w:rsidP="009B7A8A">
            <w:pPr>
              <w:jc w:val="both"/>
              <w:rPr>
                <w:rFonts w:ascii="Arial" w:hAnsi="Arial" w:cs="Arial"/>
                <w:sz w:val="18"/>
                <w:szCs w:val="18"/>
              </w:rPr>
            </w:pPr>
            <w:r>
              <w:rPr>
                <w:rFonts w:ascii="Arial" w:hAnsi="Arial" w:cs="Arial"/>
                <w:sz w:val="18"/>
                <w:szCs w:val="18"/>
              </w:rPr>
              <w:t xml:space="preserve">In den vorangegangenen fünf Jahren im Rahmen der graduellen Abdeckung abgedeckte Prüfelemente mit Angabe der jeweiligen Prüftiefe und des Prüfjahrs </w:t>
            </w:r>
          </w:p>
        </w:tc>
      </w:tr>
      <w:tr w:rsidR="006D37A3" w:rsidRPr="009872F3" w14:paraId="2E28BE9E" w14:textId="77777777" w:rsidTr="009B7A8A">
        <w:trPr>
          <w:trHeight w:val="698"/>
        </w:trPr>
        <w:tc>
          <w:tcPr>
            <w:tcW w:w="1504" w:type="dxa"/>
          </w:tcPr>
          <w:p w14:paraId="42918F8D" w14:textId="77777777" w:rsidR="006D37A3" w:rsidRPr="006749F0" w:rsidRDefault="006D37A3" w:rsidP="009B7A8A">
            <w:pPr>
              <w:jc w:val="both"/>
              <w:rPr>
                <w:rFonts w:ascii="Arial" w:hAnsi="Arial" w:cs="Arial"/>
                <w:i/>
                <w:sz w:val="18"/>
                <w:szCs w:val="18"/>
                <w:highlight w:val="green"/>
              </w:rPr>
            </w:pPr>
            <w:r w:rsidRPr="006749F0">
              <w:rPr>
                <w:rFonts w:ascii="Arial" w:hAnsi="Arial" w:cs="Arial"/>
                <w:i/>
                <w:sz w:val="18"/>
                <w:szCs w:val="18"/>
                <w:highlight w:val="yellow"/>
              </w:rPr>
              <w:t>niedrig</w:t>
            </w:r>
            <w:r>
              <w:rPr>
                <w:rFonts w:ascii="Arial" w:hAnsi="Arial" w:cs="Arial"/>
                <w:i/>
                <w:sz w:val="18"/>
                <w:szCs w:val="18"/>
                <w:highlight w:val="yellow"/>
              </w:rPr>
              <w:t>/ mittel / hoch</w:t>
            </w:r>
          </w:p>
        </w:tc>
        <w:tc>
          <w:tcPr>
            <w:tcW w:w="4409" w:type="dxa"/>
            <w:gridSpan w:val="2"/>
          </w:tcPr>
          <w:p w14:paraId="653CE3F2" w14:textId="77777777" w:rsidR="006D37A3" w:rsidRPr="00CB3EE6" w:rsidRDefault="006D37A3" w:rsidP="009B7A8A">
            <w:pPr>
              <w:jc w:val="both"/>
              <w:rPr>
                <w:rFonts w:ascii="Arial" w:hAnsi="Arial" w:cs="Arial"/>
                <w:sz w:val="18"/>
                <w:szCs w:val="18"/>
                <w:highlight w:val="yellow"/>
              </w:rPr>
            </w:pPr>
            <w:r>
              <w:rPr>
                <w:rFonts w:ascii="Arial" w:hAnsi="Arial" w:cs="Arial"/>
                <w:sz w:val="18"/>
                <w:szCs w:val="18"/>
                <w:highlight w:val="yellow"/>
              </w:rPr>
              <w:t>Beispiel für Berichtsjahr 2019:</w:t>
            </w:r>
          </w:p>
          <w:p w14:paraId="6C019EF1" w14:textId="77777777" w:rsidR="006D37A3" w:rsidRPr="00255340" w:rsidRDefault="006D37A3" w:rsidP="009B7A8A">
            <w:pPr>
              <w:pStyle w:val="Listenabsatz"/>
              <w:numPr>
                <w:ilvl w:val="1"/>
                <w:numId w:val="17"/>
              </w:numPr>
              <w:ind w:left="197" w:hanging="197"/>
              <w:jc w:val="both"/>
              <w:rPr>
                <w:rFonts w:cs="Arial"/>
                <w:sz w:val="18"/>
                <w:szCs w:val="18"/>
                <w:highlight w:val="yellow"/>
              </w:rPr>
            </w:pPr>
            <w:r w:rsidRPr="00255340">
              <w:rPr>
                <w:rFonts w:cs="Arial"/>
                <w:sz w:val="18"/>
                <w:szCs w:val="18"/>
                <w:highlight w:val="yellow"/>
              </w:rPr>
              <w:t>Auslagerungspolitik / -richtlinien</w:t>
            </w:r>
            <w:r>
              <w:rPr>
                <w:rFonts w:cs="Arial"/>
                <w:sz w:val="18"/>
                <w:szCs w:val="18"/>
                <w:highlight w:val="yellow"/>
              </w:rPr>
              <w:t xml:space="preserve"> (Kritische Beurteilung)</w:t>
            </w:r>
          </w:p>
          <w:p w14:paraId="153B7033" w14:textId="77777777" w:rsidR="006D37A3" w:rsidRPr="00CB3EE6" w:rsidRDefault="006D37A3" w:rsidP="009B7A8A">
            <w:pPr>
              <w:pStyle w:val="Listenabsatz"/>
              <w:numPr>
                <w:ilvl w:val="1"/>
                <w:numId w:val="17"/>
              </w:numPr>
              <w:ind w:left="197" w:hanging="197"/>
              <w:jc w:val="both"/>
              <w:rPr>
                <w:rFonts w:cs="Arial"/>
                <w:sz w:val="18"/>
                <w:szCs w:val="18"/>
              </w:rPr>
            </w:pPr>
            <w:r w:rsidRPr="00255340">
              <w:rPr>
                <w:rFonts w:cs="Arial"/>
                <w:sz w:val="18"/>
                <w:szCs w:val="18"/>
                <w:highlight w:val="yellow"/>
              </w:rPr>
              <w:t>Dokumentationsanforderungen / Registerführung (Detailprüfung)</w:t>
            </w:r>
          </w:p>
        </w:tc>
        <w:tc>
          <w:tcPr>
            <w:tcW w:w="3827" w:type="dxa"/>
          </w:tcPr>
          <w:p w14:paraId="244C16B1" w14:textId="77777777" w:rsidR="006D37A3" w:rsidRDefault="006D37A3" w:rsidP="009B7A8A">
            <w:pPr>
              <w:jc w:val="both"/>
              <w:rPr>
                <w:rFonts w:ascii="Arial" w:hAnsi="Arial" w:cs="Arial"/>
                <w:i/>
                <w:sz w:val="18"/>
                <w:szCs w:val="18"/>
              </w:rPr>
            </w:pPr>
            <w:r w:rsidRPr="00CB3EE6">
              <w:rPr>
                <w:rFonts w:ascii="Arial" w:hAnsi="Arial" w:cs="Arial"/>
                <w:i/>
                <w:sz w:val="18"/>
                <w:szCs w:val="18"/>
                <w:highlight w:val="yellow"/>
              </w:rPr>
              <w:t>Beispiel:</w:t>
            </w:r>
          </w:p>
          <w:p w14:paraId="160F46B1" w14:textId="77777777" w:rsidR="006D37A3" w:rsidRPr="00024116" w:rsidRDefault="006D37A3" w:rsidP="009B7A8A">
            <w:pPr>
              <w:jc w:val="both"/>
              <w:rPr>
                <w:rFonts w:ascii="Arial" w:hAnsi="Arial" w:cs="Arial"/>
                <w:i/>
                <w:sz w:val="18"/>
                <w:szCs w:val="18"/>
                <w:highlight w:val="yellow"/>
              </w:rPr>
            </w:pPr>
            <w:r w:rsidRPr="00024116">
              <w:rPr>
                <w:rFonts w:ascii="Arial" w:hAnsi="Arial" w:cs="Arial"/>
                <w:i/>
                <w:sz w:val="18"/>
                <w:szCs w:val="18"/>
                <w:highlight w:val="yellow"/>
              </w:rPr>
              <w:t>2014: Analyse vor Auslagerung / Auslagerungsvereinbarungen</w:t>
            </w:r>
            <w:r>
              <w:rPr>
                <w:rFonts w:ascii="Arial" w:hAnsi="Arial" w:cs="Arial"/>
                <w:i/>
                <w:sz w:val="18"/>
                <w:szCs w:val="18"/>
                <w:highlight w:val="yellow"/>
              </w:rPr>
              <w:t xml:space="preserve"> (Kritische Beurteilung)</w:t>
            </w:r>
          </w:p>
          <w:p w14:paraId="6317A53A" w14:textId="77777777" w:rsidR="006D37A3" w:rsidRPr="00024116" w:rsidRDefault="006D37A3" w:rsidP="009B7A8A">
            <w:pPr>
              <w:jc w:val="both"/>
              <w:rPr>
                <w:rFonts w:ascii="Arial" w:hAnsi="Arial" w:cs="Arial"/>
                <w:i/>
                <w:sz w:val="18"/>
                <w:szCs w:val="18"/>
                <w:highlight w:val="yellow"/>
              </w:rPr>
            </w:pPr>
            <w:r w:rsidRPr="000F0ACD">
              <w:rPr>
                <w:rFonts w:ascii="Arial" w:hAnsi="Arial" w:cs="Arial"/>
                <w:i/>
                <w:sz w:val="18"/>
                <w:szCs w:val="18"/>
                <w:highlight w:val="yellow"/>
              </w:rPr>
              <w:t xml:space="preserve">2015: </w:t>
            </w:r>
            <w:r w:rsidRPr="00255340">
              <w:rPr>
                <w:rFonts w:ascii="Arial" w:hAnsi="Arial" w:cs="Arial"/>
                <w:i/>
                <w:sz w:val="18"/>
                <w:szCs w:val="18"/>
                <w:highlight w:val="yellow"/>
              </w:rPr>
              <w:t>Identifikation von Auslagerungen iVm kritischer oder wesentlicher Funktionen</w:t>
            </w:r>
            <w:r>
              <w:rPr>
                <w:rFonts w:ascii="Arial" w:hAnsi="Arial" w:cs="Arial"/>
                <w:i/>
                <w:sz w:val="18"/>
                <w:szCs w:val="18"/>
                <w:highlight w:val="yellow"/>
              </w:rPr>
              <w:t xml:space="preserve"> (Kritische Beurteilung)</w:t>
            </w:r>
          </w:p>
          <w:p w14:paraId="1D2A935D" w14:textId="77777777" w:rsidR="006D37A3" w:rsidRPr="00024116" w:rsidRDefault="006D37A3" w:rsidP="009B7A8A">
            <w:pPr>
              <w:jc w:val="both"/>
              <w:rPr>
                <w:rFonts w:ascii="Arial" w:hAnsi="Arial" w:cs="Arial"/>
                <w:i/>
                <w:sz w:val="18"/>
                <w:szCs w:val="18"/>
                <w:highlight w:val="yellow"/>
              </w:rPr>
            </w:pPr>
            <w:r w:rsidRPr="00024116">
              <w:rPr>
                <w:rFonts w:ascii="Arial" w:hAnsi="Arial" w:cs="Arial"/>
                <w:i/>
                <w:sz w:val="18"/>
                <w:szCs w:val="18"/>
                <w:highlight w:val="yellow"/>
              </w:rPr>
              <w:t xml:space="preserve">2016: </w:t>
            </w:r>
            <w:r w:rsidRPr="00255340">
              <w:rPr>
                <w:rFonts w:ascii="Arial" w:hAnsi="Arial" w:cs="Arial"/>
                <w:i/>
                <w:sz w:val="18"/>
                <w:szCs w:val="18"/>
                <w:highlight w:val="yellow"/>
              </w:rPr>
              <w:t>Internes Kontrollsystem von Auslagerungen / Interne Revision der ausgelagerten Tätigkeiten</w:t>
            </w:r>
            <w:r>
              <w:rPr>
                <w:rFonts w:ascii="Arial" w:hAnsi="Arial" w:cs="Arial"/>
                <w:i/>
                <w:sz w:val="18"/>
                <w:szCs w:val="18"/>
                <w:highlight w:val="yellow"/>
              </w:rPr>
              <w:t xml:space="preserve"> (Detailprüfung)</w:t>
            </w:r>
          </w:p>
          <w:p w14:paraId="056422D7" w14:textId="77777777" w:rsidR="006D37A3" w:rsidRPr="00255340" w:rsidRDefault="006D37A3" w:rsidP="009B7A8A">
            <w:pPr>
              <w:jc w:val="both"/>
              <w:rPr>
                <w:rFonts w:ascii="Arial" w:hAnsi="Arial" w:cs="Arial"/>
                <w:i/>
                <w:sz w:val="18"/>
                <w:szCs w:val="18"/>
                <w:highlight w:val="yellow"/>
              </w:rPr>
            </w:pPr>
            <w:r w:rsidRPr="00024116">
              <w:rPr>
                <w:rFonts w:ascii="Arial" w:hAnsi="Arial" w:cs="Arial"/>
                <w:i/>
                <w:sz w:val="18"/>
                <w:szCs w:val="18"/>
                <w:highlight w:val="yellow"/>
              </w:rPr>
              <w:t xml:space="preserve">2017: </w:t>
            </w:r>
            <w:r w:rsidRPr="00255340">
              <w:rPr>
                <w:rFonts w:ascii="Arial" w:hAnsi="Arial" w:cs="Arial"/>
                <w:i/>
                <w:sz w:val="18"/>
                <w:szCs w:val="18"/>
                <w:highlight w:val="yellow"/>
              </w:rPr>
              <w:t>Risikomanagement von Auslagerungen</w:t>
            </w:r>
            <w:r>
              <w:rPr>
                <w:rFonts w:ascii="Arial" w:hAnsi="Arial" w:cs="Arial"/>
                <w:i/>
                <w:sz w:val="18"/>
                <w:szCs w:val="18"/>
                <w:highlight w:val="yellow"/>
              </w:rPr>
              <w:t xml:space="preserve"> (Kritische Beurteilung)</w:t>
            </w:r>
          </w:p>
          <w:p w14:paraId="6D995397" w14:textId="77777777" w:rsidR="006D37A3" w:rsidRPr="006749F0" w:rsidRDefault="006D37A3" w:rsidP="009B7A8A">
            <w:pPr>
              <w:jc w:val="both"/>
              <w:rPr>
                <w:rFonts w:ascii="Arial" w:hAnsi="Arial" w:cs="Arial"/>
                <w:i/>
                <w:sz w:val="18"/>
                <w:szCs w:val="18"/>
              </w:rPr>
            </w:pPr>
            <w:r w:rsidRPr="00255340">
              <w:rPr>
                <w:rFonts w:ascii="Arial" w:hAnsi="Arial" w:cs="Arial"/>
                <w:i/>
                <w:sz w:val="18"/>
                <w:szCs w:val="18"/>
                <w:highlight w:val="yellow"/>
              </w:rPr>
              <w:t>2018: Ausstiegsstrategien (Detailprüfung)</w:t>
            </w:r>
          </w:p>
        </w:tc>
      </w:tr>
      <w:tr w:rsidR="006D37A3" w:rsidRPr="001D61FF" w14:paraId="569BE96E" w14:textId="77777777" w:rsidTr="009B7A8A">
        <w:trPr>
          <w:trHeight w:val="133"/>
        </w:trPr>
        <w:tc>
          <w:tcPr>
            <w:tcW w:w="9740" w:type="dxa"/>
            <w:gridSpan w:val="4"/>
          </w:tcPr>
          <w:p w14:paraId="6C25897D" w14:textId="77777777" w:rsidR="006D37A3" w:rsidRDefault="006D37A3" w:rsidP="009B7A8A">
            <w:pPr>
              <w:jc w:val="both"/>
              <w:rPr>
                <w:rFonts w:ascii="Arial" w:hAnsi="Arial" w:cs="Arial"/>
                <w:sz w:val="18"/>
                <w:szCs w:val="18"/>
              </w:rPr>
            </w:pPr>
          </w:p>
          <w:p w14:paraId="7718754C" w14:textId="77777777" w:rsidR="006D37A3" w:rsidRPr="00F60909" w:rsidRDefault="006D37A3" w:rsidP="009B7A8A">
            <w:pPr>
              <w:jc w:val="both"/>
              <w:rPr>
                <w:rFonts w:ascii="Arial" w:hAnsi="Arial" w:cs="Arial"/>
                <w:sz w:val="18"/>
                <w:szCs w:val="18"/>
                <w:highlight w:val="yellow"/>
              </w:rPr>
            </w:pPr>
            <w:r w:rsidRPr="00F60909">
              <w:rPr>
                <w:rFonts w:ascii="Arial" w:hAnsi="Arial" w:cs="Arial"/>
                <w:sz w:val="18"/>
                <w:szCs w:val="18"/>
              </w:rPr>
              <w:t xml:space="preserve">Referenzen </w:t>
            </w:r>
            <w:r w:rsidRPr="00F60909">
              <w:rPr>
                <w:rFonts w:ascii="Arial" w:hAnsi="Arial" w:cs="Arial"/>
                <w:sz w:val="18"/>
                <w:szCs w:val="18"/>
                <w:highlight w:val="yellow"/>
              </w:rPr>
              <w:t xml:space="preserve">(demonstrativ; nicht abschliessend): </w:t>
            </w:r>
          </w:p>
          <w:p w14:paraId="0058CC3D" w14:textId="77777777" w:rsidR="006D37A3" w:rsidRDefault="006D37A3" w:rsidP="009B7A8A">
            <w:pPr>
              <w:jc w:val="both"/>
              <w:rPr>
                <w:rFonts w:ascii="Arial" w:hAnsi="Arial" w:cs="Arial"/>
                <w:sz w:val="18"/>
                <w:szCs w:val="18"/>
                <w:highlight w:val="yellow"/>
              </w:rPr>
            </w:pPr>
          </w:p>
          <w:p w14:paraId="699FFBBA" w14:textId="559999DD" w:rsidR="006D37A3" w:rsidRPr="00BF6946" w:rsidRDefault="006D37A3" w:rsidP="009B7A8A">
            <w:pPr>
              <w:jc w:val="both"/>
              <w:rPr>
                <w:rFonts w:ascii="Arial" w:hAnsi="Arial" w:cs="Arial"/>
                <w:sz w:val="18"/>
                <w:szCs w:val="18"/>
                <w:highlight w:val="yellow"/>
              </w:rPr>
            </w:pPr>
            <w:r w:rsidRPr="00BF6946">
              <w:rPr>
                <w:rFonts w:ascii="Arial" w:hAnsi="Arial" w:cs="Arial"/>
                <w:sz w:val="18"/>
                <w:szCs w:val="18"/>
                <w:highlight w:val="yellow"/>
              </w:rPr>
              <w:t>Art. 41i</w:t>
            </w:r>
            <w:r w:rsidR="004726B7" w:rsidRPr="00BF6946">
              <w:rPr>
                <w:rFonts w:ascii="Arial" w:hAnsi="Arial" w:cs="Arial"/>
                <w:sz w:val="18"/>
                <w:szCs w:val="18"/>
                <w:highlight w:val="yellow"/>
                <w:vertAlign w:val="superscript"/>
              </w:rPr>
              <w:t>ter</w:t>
            </w:r>
            <w:r w:rsidR="004726B7" w:rsidRPr="00BF6946">
              <w:rPr>
                <w:rFonts w:ascii="Arial" w:hAnsi="Arial" w:cs="Arial"/>
                <w:sz w:val="18"/>
                <w:szCs w:val="18"/>
                <w:highlight w:val="yellow"/>
              </w:rPr>
              <w:t xml:space="preserve"> BankG; </w:t>
            </w:r>
            <w:r w:rsidRPr="00BF6946">
              <w:rPr>
                <w:rFonts w:ascii="Arial" w:hAnsi="Arial" w:cs="Arial"/>
                <w:sz w:val="18"/>
                <w:szCs w:val="18"/>
                <w:highlight w:val="yellow"/>
              </w:rPr>
              <w:t>Art. 14a BankG; Art. 34b BankV; Art. 35 BankV; EBA/GL/2021/05; EBA/GL/2018/03</w:t>
            </w:r>
            <w:r w:rsidRPr="00BF6946">
              <w:rPr>
                <w:rFonts w:ascii="Arial" w:hAnsi="Arial" w:cs="Arial"/>
                <w:sz w:val="18"/>
                <w:szCs w:val="18"/>
              </w:rPr>
              <w:t xml:space="preserve">; </w:t>
            </w:r>
            <w:r w:rsidRPr="00BF6946">
              <w:rPr>
                <w:rFonts w:ascii="Arial" w:hAnsi="Arial" w:cs="Arial"/>
                <w:sz w:val="18"/>
                <w:szCs w:val="18"/>
                <w:highlight w:val="yellow"/>
              </w:rPr>
              <w:t>EBA/GL/2019/02</w:t>
            </w:r>
          </w:p>
          <w:p w14:paraId="3988F7EC" w14:textId="77777777" w:rsidR="006D37A3" w:rsidRPr="00BF6946" w:rsidRDefault="006D37A3" w:rsidP="009B7A8A">
            <w:pPr>
              <w:jc w:val="both"/>
              <w:rPr>
                <w:rFonts w:ascii="Arial" w:hAnsi="Arial" w:cs="Arial"/>
                <w:sz w:val="16"/>
                <w:szCs w:val="16"/>
                <w:highlight w:val="yellow"/>
              </w:rPr>
            </w:pPr>
          </w:p>
        </w:tc>
      </w:tr>
      <w:tr w:rsidR="006D37A3" w:rsidRPr="001D61FF" w14:paraId="1D8697BC" w14:textId="77777777" w:rsidTr="009B7A8A">
        <w:trPr>
          <w:trHeight w:val="294"/>
        </w:trPr>
        <w:tc>
          <w:tcPr>
            <w:tcW w:w="3775" w:type="dxa"/>
            <w:gridSpan w:val="2"/>
          </w:tcPr>
          <w:p w14:paraId="365712DA" w14:textId="77777777" w:rsidR="006D37A3" w:rsidRPr="00BF6946" w:rsidRDefault="006D37A3" w:rsidP="009B7A8A">
            <w:pPr>
              <w:jc w:val="both"/>
              <w:rPr>
                <w:rFonts w:ascii="Arial" w:hAnsi="Arial" w:cs="Arial"/>
                <w:sz w:val="18"/>
                <w:szCs w:val="18"/>
              </w:rPr>
            </w:pPr>
          </w:p>
        </w:tc>
        <w:tc>
          <w:tcPr>
            <w:tcW w:w="5965" w:type="dxa"/>
            <w:gridSpan w:val="2"/>
          </w:tcPr>
          <w:p w14:paraId="457B12A2" w14:textId="77777777" w:rsidR="006D37A3" w:rsidRPr="00BF6946" w:rsidRDefault="006D37A3" w:rsidP="009B7A8A">
            <w:pPr>
              <w:jc w:val="both"/>
              <w:rPr>
                <w:rFonts w:ascii="Arial" w:hAnsi="Arial" w:cs="Arial"/>
                <w:sz w:val="18"/>
                <w:szCs w:val="18"/>
              </w:rPr>
            </w:pPr>
          </w:p>
        </w:tc>
      </w:tr>
      <w:tr w:rsidR="006D37A3" w:rsidRPr="009872F3" w14:paraId="58A095C2" w14:textId="77777777" w:rsidTr="009B7A8A">
        <w:tc>
          <w:tcPr>
            <w:tcW w:w="5913" w:type="dxa"/>
            <w:gridSpan w:val="3"/>
          </w:tcPr>
          <w:p w14:paraId="4F77DAB1" w14:textId="77777777" w:rsidR="006D37A3" w:rsidRPr="00CB3EE6" w:rsidRDefault="006D37A3" w:rsidP="009B7A8A">
            <w:pPr>
              <w:jc w:val="both"/>
              <w:rPr>
                <w:rFonts w:ascii="Arial" w:hAnsi="Arial" w:cs="Arial"/>
                <w:i/>
                <w:sz w:val="18"/>
                <w:szCs w:val="18"/>
              </w:rPr>
            </w:pPr>
            <w:r w:rsidRPr="00CB3EE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CB3EE6">
              <w:rPr>
                <w:rFonts w:ascii="Arial" w:hAnsi="Arial" w:cs="Arial"/>
                <w:i/>
                <w:sz w:val="18"/>
                <w:szCs w:val="18"/>
                <w:highlight w:val="yellow"/>
              </w:rPr>
              <w:t>Tabelle aufzuführen]</w:t>
            </w:r>
          </w:p>
        </w:tc>
        <w:tc>
          <w:tcPr>
            <w:tcW w:w="3827" w:type="dxa"/>
          </w:tcPr>
          <w:p w14:paraId="440D9882" w14:textId="77777777" w:rsidR="006D37A3" w:rsidRPr="00C3479D" w:rsidRDefault="006D37A3" w:rsidP="009B7A8A">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D37A3" w:rsidRPr="009872F3" w14:paraId="0F1C9C75" w14:textId="77777777" w:rsidTr="009B7A8A">
        <w:tc>
          <w:tcPr>
            <w:tcW w:w="5913" w:type="dxa"/>
            <w:gridSpan w:val="3"/>
          </w:tcPr>
          <w:p w14:paraId="239E07D9" w14:textId="77777777" w:rsidR="006D37A3" w:rsidRPr="009872F3" w:rsidRDefault="006D37A3" w:rsidP="009B7A8A">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009FD78B" w14:textId="77777777" w:rsidR="006D37A3" w:rsidRPr="00E109DF" w:rsidRDefault="006D37A3" w:rsidP="009B7A8A">
            <w:pPr>
              <w:jc w:val="both"/>
              <w:rPr>
                <w:rFonts w:ascii="Arial" w:hAnsi="Arial" w:cs="Arial"/>
                <w:i/>
                <w:sz w:val="18"/>
                <w:szCs w:val="18"/>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r w:rsidR="006D37A3" w:rsidRPr="009872F3" w14:paraId="6313ECEF" w14:textId="77777777" w:rsidTr="009B7A8A">
        <w:tc>
          <w:tcPr>
            <w:tcW w:w="5913" w:type="dxa"/>
            <w:gridSpan w:val="3"/>
          </w:tcPr>
          <w:p w14:paraId="57AAE761" w14:textId="77777777" w:rsidR="006D37A3" w:rsidRDefault="006D37A3" w:rsidP="009B7A8A">
            <w:pPr>
              <w:jc w:val="both"/>
              <w:rPr>
                <w:rFonts w:ascii="Arial" w:hAnsi="Arial" w:cs="Arial"/>
                <w:sz w:val="18"/>
                <w:szCs w:val="18"/>
              </w:rPr>
            </w:pPr>
            <w:r w:rsidRPr="00667026">
              <w:rPr>
                <w:rFonts w:ascii="Arial" w:hAnsi="Arial" w:cs="Arial"/>
                <w:i/>
                <w:sz w:val="18"/>
                <w:szCs w:val="18"/>
                <w:highlight w:val="yellow"/>
              </w:rPr>
              <w:t xml:space="preserve">[Prüfbestätigung je nach abzudeckendem Prüfelement </w:t>
            </w:r>
            <w:r>
              <w:rPr>
                <w:rFonts w:ascii="Arial" w:hAnsi="Arial" w:cs="Arial"/>
                <w:i/>
                <w:sz w:val="18"/>
                <w:szCs w:val="18"/>
                <w:highlight w:val="yellow"/>
              </w:rPr>
              <w:t xml:space="preserve">aus der untenstehenden </w:t>
            </w:r>
            <w:r w:rsidRPr="00667026">
              <w:rPr>
                <w:rFonts w:ascii="Arial" w:hAnsi="Arial" w:cs="Arial"/>
                <w:i/>
                <w:sz w:val="18"/>
                <w:szCs w:val="18"/>
                <w:highlight w:val="yellow"/>
              </w:rPr>
              <w:t>Tabelle aufzuführen]</w:t>
            </w:r>
          </w:p>
        </w:tc>
        <w:tc>
          <w:tcPr>
            <w:tcW w:w="3827" w:type="dxa"/>
          </w:tcPr>
          <w:p w14:paraId="527B6664" w14:textId="77777777" w:rsidR="006D37A3" w:rsidRPr="00E109DF" w:rsidRDefault="006D37A3" w:rsidP="009B7A8A">
            <w:pPr>
              <w:jc w:val="both"/>
              <w:rPr>
                <w:rFonts w:ascii="Arial" w:hAnsi="Arial" w:cs="Arial"/>
                <w:i/>
                <w:sz w:val="18"/>
                <w:szCs w:val="18"/>
                <w:highlight w:val="yellow"/>
              </w:rPr>
            </w:pPr>
            <w:r w:rsidRPr="00C3479D">
              <w:rPr>
                <w:rFonts w:ascii="Arial" w:hAnsi="Arial" w:cs="Arial"/>
                <w:i/>
                <w:sz w:val="18"/>
                <w:szCs w:val="18"/>
                <w:highlight w:val="yellow"/>
              </w:rPr>
              <w:t>Ja (</w:t>
            </w:r>
            <w:r>
              <w:rPr>
                <w:rFonts w:ascii="Arial" w:hAnsi="Arial" w:cs="Arial"/>
                <w:i/>
                <w:sz w:val="18"/>
                <w:szCs w:val="18"/>
                <w:highlight w:val="yellow"/>
              </w:rPr>
              <w:t>Detailprüfung</w:t>
            </w:r>
            <w:r w:rsidRPr="00C3479D">
              <w:rPr>
                <w:rFonts w:ascii="Arial" w:hAnsi="Arial" w:cs="Arial"/>
                <w:i/>
                <w:sz w:val="18"/>
                <w:szCs w:val="18"/>
                <w:highlight w:val="yellow"/>
              </w:rPr>
              <w:t xml:space="preserve"> / Kritische Beurteilung) / Nein</w:t>
            </w:r>
          </w:p>
        </w:tc>
      </w:tr>
    </w:tbl>
    <w:p w14:paraId="0E75682A" w14:textId="77777777" w:rsidR="006D37A3" w:rsidRDefault="006D37A3" w:rsidP="006D37A3">
      <w:pPr>
        <w:jc w:val="both"/>
      </w:pPr>
    </w:p>
    <w:tbl>
      <w:tblPr>
        <w:tblStyle w:val="Tabellenraster"/>
        <w:tblW w:w="0" w:type="auto"/>
        <w:tblLayout w:type="fixed"/>
        <w:tblLook w:val="04A0" w:firstRow="1" w:lastRow="0" w:firstColumn="1" w:lastColumn="0" w:noHBand="0" w:noVBand="1"/>
      </w:tblPr>
      <w:tblGrid>
        <w:gridCol w:w="1668"/>
        <w:gridCol w:w="5313"/>
        <w:gridCol w:w="2759"/>
      </w:tblGrid>
      <w:tr w:rsidR="006D37A3" w:rsidRPr="00CE3194" w14:paraId="494C58DE" w14:textId="77777777" w:rsidTr="009B7A8A">
        <w:tc>
          <w:tcPr>
            <w:tcW w:w="1668" w:type="dxa"/>
          </w:tcPr>
          <w:p w14:paraId="4929D6D8" w14:textId="77777777" w:rsidR="006D37A3" w:rsidRPr="00CE3194" w:rsidRDefault="006D37A3" w:rsidP="009B7A8A">
            <w:pPr>
              <w:jc w:val="both"/>
              <w:rPr>
                <w:rFonts w:ascii="Arial" w:hAnsi="Arial" w:cs="Arial"/>
                <w:b/>
                <w:i/>
                <w:sz w:val="20"/>
                <w:szCs w:val="20"/>
                <w:highlight w:val="lightGray"/>
              </w:rPr>
            </w:pPr>
            <w:r w:rsidRPr="00CE3194">
              <w:rPr>
                <w:rFonts w:ascii="Arial" w:hAnsi="Arial" w:cs="Arial"/>
                <w:b/>
                <w:i/>
                <w:sz w:val="20"/>
                <w:szCs w:val="20"/>
                <w:highlight w:val="lightGray"/>
              </w:rPr>
              <w:t>Prüfelemente</w:t>
            </w:r>
          </w:p>
        </w:tc>
        <w:tc>
          <w:tcPr>
            <w:tcW w:w="5313" w:type="dxa"/>
          </w:tcPr>
          <w:p w14:paraId="6523F029" w14:textId="77777777" w:rsidR="006D37A3" w:rsidRPr="00CE3194" w:rsidRDefault="006D37A3" w:rsidP="009B7A8A">
            <w:pPr>
              <w:jc w:val="both"/>
              <w:rPr>
                <w:rFonts w:ascii="Arial" w:hAnsi="Arial" w:cs="Arial"/>
                <w:b/>
                <w:i/>
                <w:sz w:val="20"/>
                <w:szCs w:val="20"/>
                <w:highlight w:val="lightGray"/>
              </w:rPr>
            </w:pPr>
            <w:r>
              <w:rPr>
                <w:rFonts w:ascii="Arial" w:hAnsi="Arial" w:cs="Arial"/>
                <w:b/>
                <w:i/>
                <w:sz w:val="20"/>
                <w:szCs w:val="20"/>
                <w:highlight w:val="lightGray"/>
              </w:rPr>
              <w:t>Mindestprüfinhalte</w:t>
            </w:r>
          </w:p>
        </w:tc>
        <w:tc>
          <w:tcPr>
            <w:tcW w:w="2759" w:type="dxa"/>
          </w:tcPr>
          <w:p w14:paraId="2EC150FA" w14:textId="77777777" w:rsidR="006D37A3" w:rsidRDefault="006D37A3" w:rsidP="009B7A8A">
            <w:pPr>
              <w:jc w:val="both"/>
              <w:rPr>
                <w:rFonts w:ascii="Arial" w:hAnsi="Arial" w:cs="Arial"/>
                <w:b/>
                <w:i/>
                <w:sz w:val="20"/>
                <w:szCs w:val="20"/>
                <w:highlight w:val="lightGray"/>
              </w:rPr>
            </w:pPr>
            <w:r>
              <w:rPr>
                <w:rFonts w:ascii="Arial" w:hAnsi="Arial" w:cs="Arial"/>
                <w:b/>
                <w:i/>
                <w:sz w:val="20"/>
                <w:szCs w:val="20"/>
                <w:highlight w:val="lightGray"/>
              </w:rPr>
              <w:t>Bestätigungen</w:t>
            </w:r>
          </w:p>
        </w:tc>
      </w:tr>
      <w:tr w:rsidR="006D37A3" w:rsidRPr="00CE3194" w14:paraId="62523FBC" w14:textId="77777777" w:rsidTr="009B7A8A">
        <w:tc>
          <w:tcPr>
            <w:tcW w:w="1668" w:type="dxa"/>
          </w:tcPr>
          <w:p w14:paraId="10FA1285" w14:textId="77777777" w:rsidR="006D37A3" w:rsidRPr="005905B2" w:rsidRDefault="006D37A3" w:rsidP="009B7A8A">
            <w:pPr>
              <w:jc w:val="both"/>
              <w:rPr>
                <w:rFonts w:ascii="Arial" w:hAnsi="Arial" w:cs="Arial"/>
                <w:i/>
                <w:sz w:val="20"/>
                <w:szCs w:val="20"/>
                <w:highlight w:val="lightGray"/>
              </w:rPr>
            </w:pPr>
            <w:r>
              <w:rPr>
                <w:rFonts w:ascii="Arial" w:hAnsi="Arial" w:cs="Arial"/>
                <w:i/>
                <w:sz w:val="20"/>
                <w:szCs w:val="20"/>
                <w:highlight w:val="lightGray"/>
              </w:rPr>
              <w:t xml:space="preserve">Auslagerungspolitik / -richtlinien </w:t>
            </w:r>
          </w:p>
        </w:tc>
        <w:tc>
          <w:tcPr>
            <w:tcW w:w="5313" w:type="dxa"/>
          </w:tcPr>
          <w:p w14:paraId="64A531EF"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Auslagerungspolitik sowie die internen Verfahren stellen die Einhaltung der regulatorischen Bestimmungen sicher</w:t>
            </w:r>
          </w:p>
          <w:p w14:paraId="307991D1"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sind angemessen ausgestaltet und decken zumindest folgende Gesichtspunkte ab:</w:t>
            </w:r>
          </w:p>
          <w:p w14:paraId="42DBB94C" w14:textId="0440AB0C"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 xml:space="preserve">Zuständigkeiten </w:t>
            </w:r>
          </w:p>
          <w:p w14:paraId="02605F32"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Einbindung der Geschäftsbereiche und der internen Kontrollfunktionen</w:t>
            </w:r>
          </w:p>
          <w:p w14:paraId="4630B8B0"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Planung von Auslagerungsvereinbarungen</w:t>
            </w:r>
          </w:p>
          <w:p w14:paraId="562A0245"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Umsetzung, Überwachung und das Management von Auslagerungsvereinbarungen</w:t>
            </w:r>
          </w:p>
          <w:p w14:paraId="24A5E2BE"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Dokumentation von Auslagerungsvereinbarungen</w:t>
            </w:r>
          </w:p>
          <w:p w14:paraId="0AF8460E" w14:textId="77777777" w:rsidR="006D37A3" w:rsidRDefault="006D37A3" w:rsidP="009B7A8A">
            <w:pPr>
              <w:pStyle w:val="Listenabsatz"/>
              <w:numPr>
                <w:ilvl w:val="2"/>
                <w:numId w:val="17"/>
              </w:numPr>
              <w:ind w:left="742"/>
              <w:jc w:val="both"/>
              <w:rPr>
                <w:rFonts w:cs="Arial"/>
                <w:i/>
                <w:szCs w:val="20"/>
                <w:highlight w:val="lightGray"/>
              </w:rPr>
            </w:pPr>
            <w:r>
              <w:rPr>
                <w:rFonts w:cs="Arial"/>
                <w:i/>
                <w:szCs w:val="20"/>
                <w:highlight w:val="lightGray"/>
              </w:rPr>
              <w:t xml:space="preserve">Ausstiegsszenarien und Kündigungsverfahren inkl. eines dokumentierten Ausstiegsplans für </w:t>
            </w:r>
            <w:r>
              <w:rPr>
                <w:rFonts w:cs="Arial"/>
                <w:i/>
                <w:szCs w:val="20"/>
                <w:highlight w:val="lightGray"/>
              </w:rPr>
              <w:lastRenderedPageBreak/>
              <w:t xml:space="preserve">jede auszulagernde kritische oder wesentliche Funktion </w:t>
            </w:r>
          </w:p>
          <w:p w14:paraId="71A42EF2" w14:textId="3FEEA97A"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wurden genehmigt</w:t>
            </w:r>
          </w:p>
          <w:p w14:paraId="42A9EC08"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regelmässig überprüft und aktualisiert</w:t>
            </w:r>
          </w:p>
          <w:p w14:paraId="0BD0BAF6" w14:textId="77777777" w:rsidR="006D37A3" w:rsidRPr="005905B2"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Auslagerungsrichtlinien werden angemessen umgesetzt</w:t>
            </w:r>
          </w:p>
        </w:tc>
        <w:tc>
          <w:tcPr>
            <w:tcW w:w="2759" w:type="dxa"/>
          </w:tcPr>
          <w:p w14:paraId="61A130DA" w14:textId="77777777" w:rsidR="006D37A3" w:rsidRDefault="006D37A3" w:rsidP="009B7A8A">
            <w:pPr>
              <w:pStyle w:val="Listenabsatz"/>
              <w:numPr>
                <w:ilvl w:val="1"/>
                <w:numId w:val="17"/>
              </w:numPr>
              <w:ind w:left="317" w:hanging="283"/>
              <w:jc w:val="both"/>
              <w:rPr>
                <w:rFonts w:cs="Arial"/>
                <w:i/>
                <w:szCs w:val="20"/>
                <w:highlight w:val="lightGray"/>
              </w:rPr>
            </w:pPr>
            <w:r w:rsidRPr="000C756C">
              <w:rPr>
                <w:rFonts w:cs="Arial"/>
                <w:i/>
                <w:szCs w:val="20"/>
                <w:highlight w:val="lightGray"/>
              </w:rPr>
              <w:lastRenderedPageBreak/>
              <w:t xml:space="preserve">Bestätigung, dass </w:t>
            </w:r>
            <w:r w:rsidRPr="00255340">
              <w:rPr>
                <w:rFonts w:cs="Arial"/>
                <w:i/>
                <w:szCs w:val="20"/>
                <w:highlight w:val="lightGray"/>
              </w:rPr>
              <w:t xml:space="preserve">eine angemessene Auslagerungspolitik zu Auslagerungen sowie interne Verfahren bestehen, die die Einhaltung der </w:t>
            </w:r>
            <w:r>
              <w:rPr>
                <w:rFonts w:cs="Arial"/>
                <w:i/>
                <w:szCs w:val="20"/>
                <w:highlight w:val="lightGray"/>
              </w:rPr>
              <w:t>regulatorischen</w:t>
            </w:r>
            <w:r w:rsidRPr="00255340">
              <w:rPr>
                <w:rFonts w:cs="Arial"/>
                <w:i/>
                <w:szCs w:val="20"/>
                <w:highlight w:val="lightGray"/>
              </w:rPr>
              <w:t xml:space="preserve"> Bestimmungen zu Auslagerungen sicherstellen</w:t>
            </w:r>
          </w:p>
          <w:p w14:paraId="7FDC11F4" w14:textId="77777777" w:rsidR="006D37A3" w:rsidRPr="000C756C"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 xml:space="preserve">Bestätigung, dass die internen Verfahren sicherstellen, dass die internen Auslagerungsrichtlinien angemessen ausgestaltet sind, regelmässig </w:t>
            </w:r>
            <w:r w:rsidRPr="00255340">
              <w:rPr>
                <w:rFonts w:cs="Arial"/>
                <w:i/>
                <w:szCs w:val="20"/>
                <w:highlight w:val="lightGray"/>
              </w:rPr>
              <w:lastRenderedPageBreak/>
              <w:t>überprüft und aktualisiert werden</w:t>
            </w:r>
          </w:p>
          <w:p w14:paraId="38A9BA06" w14:textId="77777777" w:rsidR="006D37A3" w:rsidRPr="000C756C" w:rsidRDefault="006D37A3" w:rsidP="009B7A8A">
            <w:pPr>
              <w:pStyle w:val="Listenabsatz"/>
              <w:ind w:left="1440"/>
              <w:jc w:val="both"/>
              <w:rPr>
                <w:rFonts w:cs="Arial"/>
                <w:i/>
                <w:szCs w:val="20"/>
                <w:highlight w:val="lightGray"/>
              </w:rPr>
            </w:pPr>
          </w:p>
        </w:tc>
      </w:tr>
      <w:tr w:rsidR="006D37A3" w:rsidRPr="00CE3194" w14:paraId="7BC35ED4" w14:textId="77777777" w:rsidTr="009B7A8A">
        <w:tc>
          <w:tcPr>
            <w:tcW w:w="1668" w:type="dxa"/>
          </w:tcPr>
          <w:p w14:paraId="0863FB0C"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lastRenderedPageBreak/>
              <w:t>Analyse vor der Auslagerung</w:t>
            </w:r>
          </w:p>
        </w:tc>
        <w:tc>
          <w:tcPr>
            <w:tcW w:w="5313" w:type="dxa"/>
          </w:tcPr>
          <w:p w14:paraId="7EA2B679"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vor der Auslagerung die aufsichtlichen Bedingungen für eine Auslagerung geprüft werden und erfüllt sind</w:t>
            </w:r>
          </w:p>
          <w:p w14:paraId="433F4C39"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wesentlichen Risiken der Auslagerungsvereinbarung im Vorfeld ermittelt und bewertet werden</w:t>
            </w:r>
          </w:p>
          <w:p w14:paraId="6E5C01BE"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ein angemessenes Auswahl- und Bewertungsverfahren (Due-Diligence-Prüfung) des künftigen Dienstleisters* sicher</w:t>
            </w:r>
          </w:p>
          <w:p w14:paraId="5ABBCA76"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Das Auswahl- und Bewertungsverfahren für die Auslagerung von kritischen und wesentlichen Funktionen hat die Beurteilung der Reputation, der angemessenen und ausreichenden Fähigkeiten, Fachkenntnisse, Kapazitäten, personelle und finanzielle Mittel und eine angemessene Organisationsstruktur zu beinhalten</w:t>
            </w:r>
          </w:p>
          <w:p w14:paraId="7152F532"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Interessenskonflikte, die durch die Auslagerung entstehen könnten, im Vorfeld der Auslagerungsvereinbarung analysiert und bewertet werden</w:t>
            </w:r>
          </w:p>
        </w:tc>
        <w:tc>
          <w:tcPr>
            <w:tcW w:w="2759" w:type="dxa"/>
          </w:tcPr>
          <w:p w14:paraId="16956153" w14:textId="77777777" w:rsidR="006D37A3" w:rsidRPr="000C756C"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angemessene interne Verfahren für die Analyse des Dienstleister und der auszulagernden Funktionen/Prozesse/Dienstleistungen vor der effektiven Auslagerung bestehen, die die Prüfung der aufsichtlichen Bedingungen, die Berücksichtigung wesentlicher Risiken, eine angemessene Due-Diligence-Prüfung und die Analyse von Interessenskonflikte berücksichtigen</w:t>
            </w:r>
          </w:p>
        </w:tc>
      </w:tr>
      <w:tr w:rsidR="006D37A3" w:rsidRPr="00CE3194" w14:paraId="6397230D" w14:textId="77777777" w:rsidTr="009B7A8A">
        <w:tc>
          <w:tcPr>
            <w:tcW w:w="1668" w:type="dxa"/>
          </w:tcPr>
          <w:p w14:paraId="1119D544"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Auslagerungsvereinbarungen</w:t>
            </w:r>
          </w:p>
        </w:tc>
        <w:tc>
          <w:tcPr>
            <w:tcW w:w="5313" w:type="dxa"/>
          </w:tcPr>
          <w:p w14:paraId="27175B0F"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für sämtliche ausgelagerte Funktionen/Prozesse/Dienstleistungen schriftliche Auslagerungsvereinbarungen abgeschlossen werden</w:t>
            </w:r>
          </w:p>
          <w:p w14:paraId="460D219F" w14:textId="66451FB6"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die Auslagerungsvereinbarung die Rechte und Pflichten des Dienstleisters und der </w:t>
            </w:r>
            <w:r w:rsidR="004726B7">
              <w:rPr>
                <w:rFonts w:cs="Arial"/>
                <w:i/>
                <w:szCs w:val="20"/>
                <w:highlight w:val="lightGray"/>
              </w:rPr>
              <w:t>bewilligten (gemischten) Finanzholdinggesellschaft</w:t>
            </w:r>
            <w:r>
              <w:rPr>
                <w:rFonts w:cs="Arial"/>
                <w:i/>
                <w:szCs w:val="20"/>
                <w:highlight w:val="lightGray"/>
              </w:rPr>
              <w:t xml:space="preserve">, die Ziele und Massnahmen bzgl. der Informationssicherheit (Cybersicherheit, Datenlebenszyklus, Datenverschlüsselung, Standort Rechenzentren etc.), die Prozesse zur Behandlung, Eskalations- und Berichterstattung von Betriebs- und Sicherheitsvorfällen eindeutig festlegt </w:t>
            </w:r>
          </w:p>
          <w:p w14:paraId="00CF9C12"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die Auslagerungsvereinbarung darlegt, ob Weiterverlagerungen von kritischen oder wesentlichen Funktionen zulässig sind oder nicht</w:t>
            </w:r>
          </w:p>
          <w:p w14:paraId="37A300B5"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Auslagerungsvereinbarung beinhaltet Kündigungsrechte</w:t>
            </w:r>
          </w:p>
          <w:p w14:paraId="035EF301" w14:textId="0108FA72" w:rsidR="006D37A3" w:rsidRPr="00DE266B" w:rsidRDefault="006D37A3" w:rsidP="009B7A8A">
            <w:pPr>
              <w:pStyle w:val="Listenabsatz"/>
              <w:numPr>
                <w:ilvl w:val="1"/>
                <w:numId w:val="17"/>
              </w:numPr>
              <w:ind w:left="317" w:hanging="283"/>
              <w:jc w:val="both"/>
              <w:rPr>
                <w:rFonts w:cs="Arial"/>
                <w:i/>
                <w:szCs w:val="20"/>
                <w:highlight w:val="lightGray"/>
              </w:rPr>
            </w:pPr>
            <w:r w:rsidRPr="0070592D">
              <w:rPr>
                <w:rFonts w:cs="Arial"/>
                <w:i/>
                <w:szCs w:val="20"/>
                <w:highlight w:val="lightGray"/>
              </w:rPr>
              <w:t>Die Auslagerungsvereinbarungen stellen sicher, dass die</w:t>
            </w:r>
            <w:r w:rsidR="004726B7">
              <w:rPr>
                <w:rFonts w:cs="Arial"/>
                <w:i/>
                <w:szCs w:val="20"/>
                <w:highlight w:val="lightGray"/>
              </w:rPr>
              <w:t xml:space="preserve"> bewilligte (gemischte) Finanzholdinggesellschaft</w:t>
            </w:r>
            <w:r w:rsidRPr="0070592D">
              <w:rPr>
                <w:rFonts w:cs="Arial"/>
                <w:i/>
                <w:szCs w:val="20"/>
                <w:highlight w:val="lightGray"/>
              </w:rPr>
              <w:t xml:space="preserve">, die interne und externe Revisionsstelle sowie die FMA über uneingeschränkte Zugangs-, Informations- und Prüfungsrechte zu den ausgelagerten Diensten, Systemen und Cloud-Services </w:t>
            </w:r>
            <w:r>
              <w:rPr>
                <w:rFonts w:cs="Arial"/>
                <w:i/>
                <w:szCs w:val="20"/>
                <w:highlight w:val="lightGray"/>
              </w:rPr>
              <w:t>gemäss den einschlägigen Bestimmungen verfügt</w:t>
            </w:r>
            <w:r w:rsidRPr="0070592D">
              <w:rPr>
                <w:rFonts w:cs="Arial"/>
                <w:i/>
                <w:szCs w:val="20"/>
                <w:highlight w:val="lightGray"/>
              </w:rPr>
              <w:t xml:space="preserve"> </w:t>
            </w:r>
            <w:r>
              <w:rPr>
                <w:rFonts w:cs="Arial"/>
                <w:i/>
                <w:szCs w:val="20"/>
                <w:highlight w:val="lightGray"/>
              </w:rPr>
              <w:t xml:space="preserve">(bei kritisch/wesentlich und bei unkritisch/wesentlich) </w:t>
            </w:r>
            <w:r w:rsidRPr="0070592D">
              <w:rPr>
                <w:rFonts w:cs="Arial"/>
                <w:i/>
                <w:szCs w:val="20"/>
                <w:highlight w:val="lightGray"/>
              </w:rPr>
              <w:t>verfügt (im Falle einer Weiterverlagerung auch gegenüber Subunternehmen)</w:t>
            </w:r>
            <w:r>
              <w:rPr>
                <w:rFonts w:cs="Arial"/>
                <w:i/>
                <w:szCs w:val="20"/>
                <w:highlight w:val="lightGray"/>
              </w:rPr>
              <w:t xml:space="preserve"> </w:t>
            </w:r>
          </w:p>
        </w:tc>
        <w:tc>
          <w:tcPr>
            <w:tcW w:w="2759" w:type="dxa"/>
          </w:tcPr>
          <w:p w14:paraId="6C9D24BC"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die schriftlichen Auslagerungsvereinbarungen angemessen ausgestaltet sind</w:t>
            </w:r>
          </w:p>
        </w:tc>
      </w:tr>
      <w:tr w:rsidR="006D37A3" w:rsidRPr="00CE3194" w14:paraId="38DF521E" w14:textId="77777777" w:rsidTr="009B7A8A">
        <w:tc>
          <w:tcPr>
            <w:tcW w:w="1668" w:type="dxa"/>
          </w:tcPr>
          <w:p w14:paraId="38289326"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lastRenderedPageBreak/>
              <w:t>Identifikation von Auslagerungen iVm kritischer oder wesentlicher Funktionen</w:t>
            </w:r>
          </w:p>
        </w:tc>
        <w:tc>
          <w:tcPr>
            <w:tcW w:w="5313" w:type="dxa"/>
          </w:tcPr>
          <w:p w14:paraId="07A1E217"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vollständige und korrekte Identifikation der ausgelagerten Funktionen/Prozesse/Dienstleistungen an einen Dienstleister („Auslagerungen“) sicher</w:t>
            </w:r>
          </w:p>
          <w:p w14:paraId="686B3231" w14:textId="057DDBDF"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die angemessene Identifikation der kritischen oder wesentlichen ausgelagerten Funktionen/Prozesse/Dienstleistungen der </w:t>
            </w:r>
            <w:r w:rsidR="004726B7">
              <w:rPr>
                <w:rFonts w:cs="Arial"/>
                <w:i/>
                <w:szCs w:val="20"/>
                <w:highlight w:val="lightGray"/>
              </w:rPr>
              <w:t>bewilligten (gemischten) Finanzholdinggesellschaft</w:t>
            </w:r>
            <w:r>
              <w:rPr>
                <w:rFonts w:cs="Arial"/>
                <w:i/>
                <w:szCs w:val="20"/>
                <w:highlight w:val="lightGray"/>
              </w:rPr>
              <w:t xml:space="preserve"> gemäss regulatorischer und interner Bestimmungen sicher</w:t>
            </w:r>
          </w:p>
          <w:p w14:paraId="73717796" w14:textId="5FF4AC1A"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bei Weiterverlagerung von kritischen oder wesentlichen Funktionen sicher, dass die Auslagerungsvereinbarung die vorgegebenen regulatorischen Mindestinhalte beinhaltet: Angaben von Tätigkeiten die von einer Weiterverlagerung ausgeschlossen sind; Bedingungen, die bei der Weiterverlagerung vom Dienstleister einzuhalten sind; die Überwachungspflichten des Dienstleisters; die Genehmigungs- und Informationspflichten des Dienstleisters, die Kündigungsrechte für </w:t>
            </w:r>
            <w:r w:rsidR="004726B7">
              <w:rPr>
                <w:rFonts w:cs="Arial"/>
                <w:i/>
                <w:szCs w:val="20"/>
                <w:highlight w:val="lightGray"/>
              </w:rPr>
              <w:t>bewilligte (gemischte) Finanzholdinggesellschaft</w:t>
            </w:r>
            <w:r>
              <w:rPr>
                <w:rFonts w:cs="Arial"/>
                <w:i/>
                <w:szCs w:val="20"/>
                <w:highlight w:val="lightGray"/>
              </w:rPr>
              <w:t xml:space="preserve"> im Falle einer unzulässigen Weiterverlagerung durch den Dienstleister</w:t>
            </w:r>
          </w:p>
        </w:tc>
        <w:tc>
          <w:tcPr>
            <w:tcW w:w="2759" w:type="dxa"/>
          </w:tcPr>
          <w:p w14:paraId="6305A402" w14:textId="77777777" w:rsidR="006D37A3" w:rsidRPr="00255340"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 xml:space="preserve">Bestätigung, dass die internen Verfahren gewährleisten, dass die ausgelagerten Funktionen/Prozesse/Dienstleistungen an einen </w:t>
            </w:r>
            <w:r>
              <w:rPr>
                <w:rFonts w:cs="Arial"/>
                <w:i/>
                <w:szCs w:val="20"/>
                <w:highlight w:val="lightGray"/>
              </w:rPr>
              <w:t>Dienstleister</w:t>
            </w:r>
            <w:r w:rsidRPr="00255340">
              <w:rPr>
                <w:rFonts w:cs="Arial"/>
                <w:i/>
                <w:szCs w:val="20"/>
                <w:highlight w:val="lightGray"/>
              </w:rPr>
              <w:t xml:space="preserve"> vollständig und korrekt identifiziert werden.  </w:t>
            </w:r>
          </w:p>
          <w:p w14:paraId="6A71DDEE" w14:textId="0005BAC3" w:rsidR="006D37A3" w:rsidRPr="00255340"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 xml:space="preserve">Bestätigung, dass die internen Verfahren die angemessene Definition der kritischen oder wesentlichen ausgelagerten Funktionen/Prozesse/Dienstleistungen </w:t>
            </w:r>
            <w:r>
              <w:rPr>
                <w:rFonts w:cs="Arial"/>
                <w:i/>
                <w:szCs w:val="20"/>
                <w:highlight w:val="lightGray"/>
              </w:rPr>
              <w:t xml:space="preserve">der </w:t>
            </w:r>
            <w:r w:rsidR="004726B7">
              <w:rPr>
                <w:rFonts w:cs="Arial"/>
                <w:i/>
                <w:szCs w:val="20"/>
                <w:highlight w:val="lightGray"/>
              </w:rPr>
              <w:t>bewilligten (gemischten) Finanzholdinggesellschaft</w:t>
            </w:r>
            <w:r>
              <w:rPr>
                <w:rFonts w:cs="Arial"/>
                <w:i/>
                <w:szCs w:val="20"/>
                <w:highlight w:val="lightGray"/>
              </w:rPr>
              <w:t xml:space="preserve"> </w:t>
            </w:r>
            <w:r w:rsidRPr="00255340">
              <w:rPr>
                <w:rFonts w:cs="Arial"/>
                <w:i/>
                <w:szCs w:val="20"/>
                <w:highlight w:val="lightGray"/>
              </w:rPr>
              <w:t xml:space="preserve">gemäss regulatorischer </w:t>
            </w:r>
            <w:r>
              <w:rPr>
                <w:rFonts w:cs="Arial"/>
                <w:i/>
                <w:szCs w:val="20"/>
                <w:highlight w:val="lightGray"/>
              </w:rPr>
              <w:t>und interner Bestimmungen</w:t>
            </w:r>
            <w:r w:rsidRPr="00255340">
              <w:rPr>
                <w:rFonts w:cs="Arial"/>
                <w:i/>
                <w:szCs w:val="20"/>
                <w:highlight w:val="lightGray"/>
              </w:rPr>
              <w:t xml:space="preserve"> sicherstellen</w:t>
            </w:r>
          </w:p>
          <w:p w14:paraId="2D5BE14F"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bei der Weiterverlagerung von kritischen oder wesentlichen Funktionen die Auslagerungsvereinbarung die vorgegebenen regulatorischen Mindestinhalte beinhaltet</w:t>
            </w:r>
          </w:p>
        </w:tc>
      </w:tr>
      <w:tr w:rsidR="006D37A3" w:rsidRPr="00CE3194" w14:paraId="59708AFB" w14:textId="77777777" w:rsidTr="009B7A8A">
        <w:tc>
          <w:tcPr>
            <w:tcW w:w="1668" w:type="dxa"/>
          </w:tcPr>
          <w:p w14:paraId="6A5E0823"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Internes Kontrollsystem von Auslagerungen</w:t>
            </w:r>
          </w:p>
        </w:tc>
        <w:tc>
          <w:tcPr>
            <w:tcW w:w="5313" w:type="dxa"/>
          </w:tcPr>
          <w:p w14:paraId="346B0C3E"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Verantwortlichkeiten und Kompetenzen </w:t>
            </w:r>
            <w:r>
              <w:rPr>
                <w:rFonts w:cs="Arial"/>
                <w:i/>
                <w:szCs w:val="20"/>
                <w:highlight w:val="lightGray"/>
              </w:rPr>
              <w:t xml:space="preserve">für die Dokumentation, das Management und die Kontrolle von Auslagerungsvereinbarungen </w:t>
            </w:r>
            <w:r w:rsidRPr="00CE3194">
              <w:rPr>
                <w:rFonts w:cs="Arial"/>
                <w:i/>
                <w:szCs w:val="20"/>
                <w:highlight w:val="lightGray"/>
              </w:rPr>
              <w:t xml:space="preserve">sind klar </w:t>
            </w:r>
            <w:r>
              <w:rPr>
                <w:rFonts w:cs="Arial"/>
                <w:i/>
                <w:szCs w:val="20"/>
                <w:highlight w:val="lightGray"/>
              </w:rPr>
              <w:t>und angemessen</w:t>
            </w:r>
            <w:r w:rsidRPr="00CE3194">
              <w:rPr>
                <w:rFonts w:cs="Arial"/>
                <w:i/>
                <w:szCs w:val="20"/>
                <w:highlight w:val="lightGray"/>
              </w:rPr>
              <w:t xml:space="preserve"> geregelt; </w:t>
            </w:r>
          </w:p>
          <w:p w14:paraId="09C18516" w14:textId="77777777" w:rsidR="006D37A3" w:rsidRPr="002A0999" w:rsidRDefault="006D37A3" w:rsidP="009B7A8A">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Die Verantwortlichkeiten und Kompetenzen zur Instruktion, Steuerung und Überwachung von </w:t>
            </w:r>
            <w:r>
              <w:rPr>
                <w:rFonts w:cs="Arial"/>
                <w:i/>
                <w:szCs w:val="20"/>
                <w:highlight w:val="lightGray"/>
              </w:rPr>
              <w:t>Dienstleistern</w:t>
            </w:r>
            <w:r w:rsidRPr="0070592D">
              <w:rPr>
                <w:rFonts w:cs="Arial"/>
                <w:i/>
                <w:szCs w:val="20"/>
                <w:highlight w:val="lightGray"/>
              </w:rPr>
              <w:t xml:space="preserve"> sind durch die angemessene Ausgestaltung der Auslagerungsfunktion klar geregelt. </w:t>
            </w:r>
          </w:p>
          <w:p w14:paraId="601B594F"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besteht eine angemessene Funktionentrennung zwischen </w:t>
            </w:r>
            <w:r>
              <w:rPr>
                <w:rFonts w:cs="Arial"/>
                <w:i/>
                <w:szCs w:val="20"/>
                <w:highlight w:val="lightGray"/>
              </w:rPr>
              <w:t xml:space="preserve">dem Management und der Kontrolle von Auslagerungsvereinbarungen </w:t>
            </w:r>
          </w:p>
          <w:p w14:paraId="143E0E02" w14:textId="77777777" w:rsidR="006D37A3" w:rsidRPr="00784864" w:rsidRDefault="006D37A3" w:rsidP="009B7A8A">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besteht ein angemessener Prozess zur ordnungsgemässen Überwachung und Bewertung von </w:t>
            </w:r>
            <w:r>
              <w:rPr>
                <w:rFonts w:cs="Arial"/>
                <w:i/>
                <w:szCs w:val="20"/>
                <w:highlight w:val="lightGray"/>
              </w:rPr>
              <w:t>Dienstleistern</w:t>
            </w:r>
            <w:r w:rsidRPr="0070592D">
              <w:rPr>
                <w:rFonts w:cs="Arial"/>
                <w:i/>
                <w:szCs w:val="20"/>
                <w:highlight w:val="lightGray"/>
              </w:rPr>
              <w:t xml:space="preserve"> (</w:t>
            </w:r>
            <w:r>
              <w:rPr>
                <w:rFonts w:cs="Arial"/>
                <w:i/>
                <w:szCs w:val="20"/>
                <w:highlight w:val="lightGray"/>
              </w:rPr>
              <w:t xml:space="preserve">z.B. </w:t>
            </w:r>
            <w:r w:rsidRPr="0070592D">
              <w:rPr>
                <w:rFonts w:cs="Arial"/>
                <w:i/>
                <w:szCs w:val="20"/>
                <w:highlight w:val="lightGray"/>
              </w:rPr>
              <w:t>Service Reports, Bewertungsprogramm, KPIs etc.) und ihrer Leistungserbringung (Aufdeckung, Beurteilung und Behebung von Mängeln)</w:t>
            </w:r>
          </w:p>
          <w:p w14:paraId="2BAC2231" w14:textId="77777777" w:rsidR="006D37A3" w:rsidRDefault="006D37A3" w:rsidP="009B7A8A">
            <w:pPr>
              <w:pStyle w:val="Listenabsatz"/>
              <w:numPr>
                <w:ilvl w:val="1"/>
                <w:numId w:val="17"/>
              </w:numPr>
              <w:ind w:left="317" w:hanging="283"/>
              <w:jc w:val="both"/>
              <w:rPr>
                <w:rFonts w:cs="Arial"/>
                <w:i/>
                <w:szCs w:val="20"/>
                <w:highlight w:val="lightGray"/>
              </w:rPr>
            </w:pPr>
            <w:r w:rsidRPr="0070592D">
              <w:rPr>
                <w:rFonts w:cs="Arial"/>
                <w:i/>
                <w:szCs w:val="20"/>
                <w:highlight w:val="lightGray"/>
              </w:rPr>
              <w:t xml:space="preserve">Es bestehen angemessene Verfahren zur Beurteilung oder zur Gewährleistung von Schlüsselkontrollen, die an die </w:t>
            </w:r>
            <w:r>
              <w:rPr>
                <w:rFonts w:cs="Arial"/>
                <w:i/>
                <w:szCs w:val="20"/>
                <w:highlight w:val="lightGray"/>
              </w:rPr>
              <w:t>Dienstleister</w:t>
            </w:r>
            <w:r w:rsidRPr="0070592D">
              <w:rPr>
                <w:rFonts w:cs="Arial"/>
                <w:i/>
                <w:szCs w:val="20"/>
                <w:highlight w:val="lightGray"/>
              </w:rPr>
              <w:t xml:space="preserve"> ausgelagert wurden (z.B. unabhängige Beurteilungen, etc.)</w:t>
            </w:r>
          </w:p>
          <w:p w14:paraId="05A885E0"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Es bestehen angemessene Verfahren zur </w:t>
            </w:r>
            <w:r>
              <w:rPr>
                <w:rFonts w:cs="Arial"/>
                <w:i/>
                <w:szCs w:val="20"/>
                <w:highlight w:val="lightGray"/>
              </w:rPr>
              <w:t xml:space="preserve">Erkennung, </w:t>
            </w:r>
            <w:r w:rsidRPr="00CE3194">
              <w:rPr>
                <w:rFonts w:cs="Arial"/>
                <w:i/>
                <w:szCs w:val="20"/>
                <w:highlight w:val="lightGray"/>
              </w:rPr>
              <w:t>Vermeidung,</w:t>
            </w:r>
            <w:r>
              <w:rPr>
                <w:rFonts w:cs="Arial"/>
                <w:i/>
                <w:szCs w:val="20"/>
                <w:highlight w:val="lightGray"/>
              </w:rPr>
              <w:t xml:space="preserve"> Bewertung,</w:t>
            </w:r>
            <w:r w:rsidRPr="00CE3194">
              <w:rPr>
                <w:rFonts w:cs="Arial"/>
                <w:i/>
                <w:szCs w:val="20"/>
                <w:highlight w:val="lightGray"/>
              </w:rPr>
              <w:t xml:space="preserve"> Reduzierung und </w:t>
            </w:r>
            <w:r w:rsidRPr="00CE3194">
              <w:rPr>
                <w:rFonts w:cs="Arial"/>
                <w:i/>
                <w:szCs w:val="20"/>
                <w:highlight w:val="lightGray"/>
              </w:rPr>
              <w:lastRenderedPageBreak/>
              <w:t>Offenlegung von Interessenkonflikten</w:t>
            </w:r>
            <w:r>
              <w:rPr>
                <w:rFonts w:cs="Arial"/>
                <w:i/>
                <w:szCs w:val="20"/>
                <w:highlight w:val="lightGray"/>
              </w:rPr>
              <w:t xml:space="preserve"> hinsichtlich der Auslagerungsvereinbarungen</w:t>
            </w:r>
          </w:p>
          <w:p w14:paraId="2D248E36" w14:textId="77777777" w:rsidR="006D37A3" w:rsidRPr="005F3514" w:rsidRDefault="006D37A3" w:rsidP="009B7A8A">
            <w:pPr>
              <w:pStyle w:val="Listenabsatz"/>
              <w:numPr>
                <w:ilvl w:val="1"/>
                <w:numId w:val="17"/>
              </w:numPr>
              <w:ind w:left="317" w:hanging="283"/>
              <w:jc w:val="both"/>
              <w:rPr>
                <w:rFonts w:cs="Arial"/>
                <w:i/>
                <w:szCs w:val="20"/>
                <w:highlight w:val="lightGray"/>
              </w:rPr>
            </w:pPr>
            <w:r w:rsidRPr="004D71A2">
              <w:rPr>
                <w:rFonts w:cs="Arial"/>
                <w:i/>
                <w:szCs w:val="20"/>
                <w:highlight w:val="lightGray"/>
              </w:rPr>
              <w:t>Es bestehen</w:t>
            </w:r>
            <w:r>
              <w:rPr>
                <w:rFonts w:cs="Arial"/>
                <w:i/>
                <w:szCs w:val="20"/>
                <w:highlight w:val="lightGray"/>
              </w:rPr>
              <w:t xml:space="preserve"> </w:t>
            </w:r>
            <w:r w:rsidRPr="005F3514">
              <w:rPr>
                <w:rFonts w:cs="Arial"/>
                <w:i/>
                <w:szCs w:val="20"/>
                <w:highlight w:val="lightGray"/>
              </w:rPr>
              <w:t>angemessene Personalressourcen (A</w:t>
            </w:r>
            <w:r w:rsidRPr="003021FD">
              <w:rPr>
                <w:rFonts w:cs="Arial"/>
                <w:i/>
                <w:szCs w:val="20"/>
                <w:highlight w:val="lightGray"/>
              </w:rPr>
              <w:t>n</w:t>
            </w:r>
            <w:r w:rsidRPr="004D71A2">
              <w:rPr>
                <w:rFonts w:cs="Arial"/>
                <w:i/>
                <w:szCs w:val="20"/>
                <w:highlight w:val="lightGray"/>
              </w:rPr>
              <w:t>zahl, Eignung, Zuverlässi</w:t>
            </w:r>
            <w:r w:rsidRPr="003021FD">
              <w:rPr>
                <w:rFonts w:cs="Arial"/>
                <w:i/>
                <w:szCs w:val="20"/>
                <w:highlight w:val="lightGray"/>
              </w:rPr>
              <w:t>g</w:t>
            </w:r>
            <w:r w:rsidRPr="004D71A2">
              <w:rPr>
                <w:rFonts w:cs="Arial"/>
                <w:i/>
                <w:szCs w:val="20"/>
                <w:highlight w:val="lightGray"/>
              </w:rPr>
              <w:t>keit) um ein angemessenes Manag</w:t>
            </w:r>
            <w:r w:rsidRPr="003021FD">
              <w:rPr>
                <w:rFonts w:cs="Arial"/>
                <w:i/>
                <w:szCs w:val="20"/>
                <w:highlight w:val="lightGray"/>
              </w:rPr>
              <w:t>e</w:t>
            </w:r>
            <w:r w:rsidRPr="004D71A2">
              <w:rPr>
                <w:rFonts w:cs="Arial"/>
                <w:i/>
                <w:szCs w:val="20"/>
                <w:highlight w:val="lightGray"/>
              </w:rPr>
              <w:t>ment und die Über</w:t>
            </w:r>
            <w:r w:rsidRPr="005F3514">
              <w:rPr>
                <w:rFonts w:cs="Arial"/>
                <w:i/>
                <w:szCs w:val="20"/>
                <w:highlight w:val="lightGray"/>
              </w:rPr>
              <w:t>wachung der Auslagerungsvereinbarungen s</w:t>
            </w:r>
            <w:r w:rsidRPr="003021FD">
              <w:rPr>
                <w:rFonts w:cs="Arial"/>
                <w:i/>
                <w:szCs w:val="20"/>
                <w:highlight w:val="lightGray"/>
              </w:rPr>
              <w:t>i</w:t>
            </w:r>
            <w:r w:rsidRPr="004D71A2">
              <w:rPr>
                <w:rFonts w:cs="Arial"/>
                <w:i/>
                <w:szCs w:val="20"/>
                <w:highlight w:val="lightGray"/>
              </w:rPr>
              <w:t>cherzu</w:t>
            </w:r>
            <w:r w:rsidRPr="005F3514">
              <w:rPr>
                <w:rFonts w:cs="Arial"/>
                <w:i/>
                <w:szCs w:val="20"/>
                <w:highlight w:val="lightGray"/>
              </w:rPr>
              <w:t>stellen</w:t>
            </w:r>
          </w:p>
          <w:p w14:paraId="6E706B0E" w14:textId="77777777" w:rsidR="006D37A3" w:rsidRPr="00E1476E"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Es bestehen angemessene interne Verfahren um sicherzustellen, dass die Auslagerung nicht zur Delegation der Aufgaben des Verwaltungsrats führt</w:t>
            </w:r>
          </w:p>
          <w:p w14:paraId="69C7F630"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Es bestehen wirksame</w:t>
            </w:r>
            <w:r>
              <w:rPr>
                <w:rFonts w:cs="Arial"/>
                <w:i/>
                <w:szCs w:val="20"/>
                <w:highlight w:val="lightGray"/>
              </w:rPr>
              <w:t xml:space="preserve"> interne Eskalationsmechanismen in Bezug auf die Nicht-Einhaltung von Kontrollen zur Überwachung der Auslagerungen</w:t>
            </w:r>
          </w:p>
          <w:p w14:paraId="373C8440"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 xml:space="preserve">Die internen Verfahren </w:t>
            </w:r>
            <w:r>
              <w:rPr>
                <w:rFonts w:cs="Arial"/>
                <w:i/>
                <w:szCs w:val="20"/>
                <w:highlight w:val="lightGray"/>
              </w:rPr>
              <w:t>gewährleisten</w:t>
            </w:r>
            <w:r w:rsidRPr="00CE3194">
              <w:rPr>
                <w:rFonts w:cs="Arial"/>
                <w:i/>
                <w:szCs w:val="20"/>
                <w:highlight w:val="lightGray"/>
              </w:rPr>
              <w:t xml:space="preserve"> ein angemessenes Dokumen</w:t>
            </w:r>
            <w:r>
              <w:rPr>
                <w:rFonts w:cs="Arial"/>
                <w:i/>
                <w:szCs w:val="20"/>
                <w:highlight w:val="lightGray"/>
              </w:rPr>
              <w:t>tations- und Archivierungswesen</w:t>
            </w:r>
          </w:p>
          <w:p w14:paraId="27AA6BE9" w14:textId="77777777" w:rsidR="006D37A3" w:rsidRDefault="006D37A3" w:rsidP="009B7A8A">
            <w:pPr>
              <w:pStyle w:val="Listenabsatz"/>
              <w:numPr>
                <w:ilvl w:val="1"/>
                <w:numId w:val="17"/>
              </w:numPr>
              <w:ind w:left="317" w:hanging="283"/>
              <w:jc w:val="both"/>
              <w:rPr>
                <w:rFonts w:cs="Arial"/>
                <w:i/>
                <w:szCs w:val="20"/>
                <w:highlight w:val="lightGray"/>
              </w:rPr>
            </w:pPr>
            <w:r w:rsidRPr="00D2046C">
              <w:rPr>
                <w:rFonts w:cs="Arial"/>
                <w:i/>
                <w:szCs w:val="20"/>
                <w:highlight w:val="lightGray"/>
              </w:rPr>
              <w:t>Die internen Verfahren stellen den internen Wissenstransfer (B</w:t>
            </w:r>
            <w:r w:rsidRPr="00304114">
              <w:rPr>
                <w:rFonts w:cs="Arial"/>
                <w:i/>
                <w:szCs w:val="20"/>
                <w:highlight w:val="lightGray"/>
              </w:rPr>
              <w:t>e</w:t>
            </w:r>
            <w:r w:rsidRPr="00D2046C">
              <w:rPr>
                <w:rFonts w:cs="Arial"/>
                <w:i/>
                <w:szCs w:val="20"/>
                <w:highlight w:val="lightGray"/>
              </w:rPr>
              <w:t>richterstattung) angemessen sicher</w:t>
            </w:r>
          </w:p>
        </w:tc>
        <w:tc>
          <w:tcPr>
            <w:tcW w:w="2759" w:type="dxa"/>
          </w:tcPr>
          <w:p w14:paraId="4FFA8942"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Bestätigung, dass das Interne Kontrollsystem für die Dokumentation, das Management und die Kontrolle von Auslagerungsvereinbarungen</w:t>
            </w:r>
            <w:r>
              <w:rPr>
                <w:rFonts w:cs="Arial"/>
                <w:i/>
                <w:szCs w:val="20"/>
                <w:highlight w:val="lightGray"/>
              </w:rPr>
              <w:t xml:space="preserve"> und Outsourcing-Dienstleistern/Drittanbietern</w:t>
            </w:r>
            <w:r w:rsidRPr="00255340" w:rsidDel="00BE0B96">
              <w:rPr>
                <w:rFonts w:cs="Arial"/>
                <w:i/>
                <w:szCs w:val="20"/>
                <w:highlight w:val="lightGray"/>
              </w:rPr>
              <w:t xml:space="preserve"> </w:t>
            </w:r>
            <w:r w:rsidRPr="00255340">
              <w:rPr>
                <w:rFonts w:cs="Arial"/>
                <w:i/>
                <w:szCs w:val="20"/>
                <w:highlight w:val="lightGray"/>
              </w:rPr>
              <w:t>angemessen ist und im Falle der Prüftiefe Detailprüfung effektiv angewendet wurden.</w:t>
            </w:r>
          </w:p>
        </w:tc>
      </w:tr>
      <w:tr w:rsidR="006D37A3" w:rsidRPr="00CE3194" w14:paraId="57DBE5F1" w14:textId="77777777" w:rsidTr="009B7A8A">
        <w:tc>
          <w:tcPr>
            <w:tcW w:w="1668" w:type="dxa"/>
          </w:tcPr>
          <w:p w14:paraId="4D90AF80"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Risikomanagement von Auslagerungen</w:t>
            </w:r>
          </w:p>
        </w:tc>
        <w:tc>
          <w:tcPr>
            <w:tcW w:w="5313" w:type="dxa"/>
          </w:tcPr>
          <w:p w14:paraId="42A9A60E"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wesentlichen Risiken, welche durch Vereinbarungen mit Dienstleistern verursacht werden, </w:t>
            </w:r>
            <w:r w:rsidRPr="00CE3194">
              <w:rPr>
                <w:rFonts w:cs="Arial"/>
                <w:i/>
                <w:szCs w:val="20"/>
                <w:highlight w:val="lightGray"/>
              </w:rPr>
              <w:t>werden laufend identifiziert, bewertet, gemessen, begrenzt</w:t>
            </w:r>
            <w:r>
              <w:rPr>
                <w:rFonts w:cs="Arial"/>
                <w:i/>
                <w:szCs w:val="20"/>
                <w:highlight w:val="lightGray"/>
              </w:rPr>
              <w:t xml:space="preserve">, überwacht, </w:t>
            </w:r>
            <w:r w:rsidRPr="00CE3194">
              <w:rPr>
                <w:rFonts w:cs="Arial"/>
                <w:i/>
                <w:szCs w:val="20"/>
                <w:highlight w:val="lightGray"/>
              </w:rPr>
              <w:t>gesteuert</w:t>
            </w:r>
            <w:r>
              <w:rPr>
                <w:rFonts w:cs="Arial"/>
                <w:i/>
                <w:szCs w:val="20"/>
                <w:highlight w:val="lightGray"/>
              </w:rPr>
              <w:t xml:space="preserve"> und dokumentiert</w:t>
            </w:r>
            <w:r w:rsidRPr="00CE3194">
              <w:rPr>
                <w:rFonts w:cs="Arial"/>
                <w:i/>
                <w:szCs w:val="20"/>
                <w:highlight w:val="lightGray"/>
              </w:rPr>
              <w:t>;</w:t>
            </w:r>
          </w:p>
          <w:p w14:paraId="015437CA"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Bei Weiterverlagerungen an einen anderen Dienstleister („Ketten-Auslagerungen“) sind die daraus entstehenden Risiken in der Risikobewertung zu berücksichtigen</w:t>
            </w:r>
          </w:p>
          <w:p w14:paraId="16ECE58D"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Risikobewertung hat zumindest Folgendes zu umfassen: Sensitivität der Daten und Systeme, Sicherheitsmassnahmen, Folgen des Standorts des Dienstleisters, politische Stabilität, Sicherheitslage der betreffenden Rechtsordnungen, Vertraulichkeit von Daten, Kontinuität ausgelagerter Tätigkeiten, Integrität und Rückverfolgbarkeit von Daten und Systemen</w:t>
            </w:r>
          </w:p>
          <w:p w14:paraId="192F094C"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Auslagerungsfunktion innerhalb der Risikomanagementfunktion ist angemessen ausgestaltet und unmittelbar dem Leitungsorgan unterstellt </w:t>
            </w:r>
          </w:p>
          <w:p w14:paraId="3C847AFE"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dokumentiert sämtliche Auslagerungsvereinbarungen</w:t>
            </w:r>
          </w:p>
          <w:p w14:paraId="416F4451"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Auslagerungsfunktion ist für die Steuerung und Kontrolle des Risikos aus Auslagerungen verantwortlich</w:t>
            </w:r>
          </w:p>
          <w:p w14:paraId="649CB815"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Szenarien berücksichtigen mögliche Auswirkungen unterlassener oder unzureichender Dienstleistungen von Dienstleistern</w:t>
            </w:r>
          </w:p>
          <w:p w14:paraId="6B4EE39B" w14:textId="77777777" w:rsidR="006D37A3" w:rsidRPr="00CE3194"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Annahmen, Parameter und Szenarien des Risikomanagements werden regelmässig validiert</w:t>
            </w:r>
          </w:p>
          <w:p w14:paraId="4C7E9350" w14:textId="77777777" w:rsidR="006D37A3" w:rsidRPr="00CE3194"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Die verwendeten Daten sind von hoher Aktualität und Qualität;</w:t>
            </w:r>
          </w:p>
          <w:p w14:paraId="2EE65462" w14:textId="77777777" w:rsidR="006D37A3" w:rsidRDefault="006D37A3" w:rsidP="009B7A8A">
            <w:pPr>
              <w:pStyle w:val="Listenabsatz"/>
              <w:numPr>
                <w:ilvl w:val="1"/>
                <w:numId w:val="17"/>
              </w:numPr>
              <w:ind w:left="317" w:hanging="283"/>
              <w:jc w:val="both"/>
              <w:rPr>
                <w:rFonts w:cs="Arial"/>
                <w:i/>
                <w:szCs w:val="20"/>
                <w:highlight w:val="lightGray"/>
              </w:rPr>
            </w:pPr>
            <w:r w:rsidRPr="00CE3194">
              <w:rPr>
                <w:rFonts w:cs="Arial"/>
                <w:i/>
                <w:szCs w:val="20"/>
                <w:highlight w:val="lightGray"/>
              </w:rPr>
              <w:t>Die Risiken werden transparent und angemessen quantifiziert</w:t>
            </w:r>
          </w:p>
          <w:p w14:paraId="553FF1CB" w14:textId="77777777" w:rsidR="006D37A3" w:rsidRPr="00CE3194"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Ergebnisse und Analysen werden angemessen dokumentiert</w:t>
            </w:r>
          </w:p>
        </w:tc>
        <w:tc>
          <w:tcPr>
            <w:tcW w:w="2759" w:type="dxa"/>
          </w:tcPr>
          <w:p w14:paraId="112BC972"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Methoden zur Identifikation, Bewertung, Messung, Begrenzung, Überwachung</w:t>
            </w:r>
            <w:r>
              <w:rPr>
                <w:rFonts w:cs="Arial"/>
                <w:i/>
                <w:szCs w:val="20"/>
                <w:highlight w:val="lightGray"/>
              </w:rPr>
              <w:t xml:space="preserve">, </w:t>
            </w:r>
            <w:r w:rsidRPr="00255340">
              <w:rPr>
                <w:rFonts w:cs="Arial"/>
                <w:i/>
                <w:szCs w:val="20"/>
                <w:highlight w:val="lightGray"/>
              </w:rPr>
              <w:t xml:space="preserve">Steuerung </w:t>
            </w:r>
            <w:r>
              <w:rPr>
                <w:rFonts w:cs="Arial"/>
                <w:i/>
                <w:szCs w:val="20"/>
                <w:highlight w:val="lightGray"/>
              </w:rPr>
              <w:t xml:space="preserve">und Dokumentation </w:t>
            </w:r>
            <w:r w:rsidRPr="00255340">
              <w:rPr>
                <w:rFonts w:cs="Arial"/>
                <w:i/>
                <w:szCs w:val="20"/>
                <w:highlight w:val="lightGray"/>
              </w:rPr>
              <w:t>von Risiken, welche durch Vereinbarungen mit Dienstleistern für Auslagerungen verursacht werden angemessen sind und im Falle der Prüftiefe Detailprüfung effektiv angewendet wurden</w:t>
            </w:r>
          </w:p>
        </w:tc>
      </w:tr>
      <w:tr w:rsidR="006D37A3" w:rsidRPr="00CE3194" w14:paraId="4252BEFC" w14:textId="77777777" w:rsidTr="009B7A8A">
        <w:tc>
          <w:tcPr>
            <w:tcW w:w="1668" w:type="dxa"/>
          </w:tcPr>
          <w:p w14:paraId="2A112BFD"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Interne Revision der ausgelagerten Tätigkeiten</w:t>
            </w:r>
          </w:p>
        </w:tc>
        <w:tc>
          <w:tcPr>
            <w:tcW w:w="5313" w:type="dxa"/>
          </w:tcPr>
          <w:p w14:paraId="6FD14FCA"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 Revision verfügt über uneingeschränktes Zugangs-, Informations- und Prüfungsrecht zu den ausgelagerten Tätigkeiten</w:t>
            </w:r>
          </w:p>
          <w:p w14:paraId="4BEEF224"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lastRenderedPageBreak/>
              <w:t>Die internen Verfahren stellen sicher, dass der risikobasierte Prüfplan der internen Revision u.a. die Prüfung der Auslagerungsvereinbarungen für kritische oder wesentliche Funktionen umfasst</w:t>
            </w:r>
          </w:p>
          <w:p w14:paraId="28CC2F5D"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 Revision prüft hinsichtlich des Auslagerungsprozess zumindest Folgendes: Rahmenwerk für Auslagerungen inkl. Auslagerungsrichtlinien; Bewertung der Kritikalität oder Wesentlichkeit von Funktionen; die Risikobewertung der Auslagerungsvereinbarungen, die angemessene Einbringung vom Verwaltungsrat, die angemessene Überwachung und das Management von Auslagerungsvereinbarungen</w:t>
            </w:r>
          </w:p>
        </w:tc>
        <w:tc>
          <w:tcPr>
            <w:tcW w:w="2759" w:type="dxa"/>
          </w:tcPr>
          <w:p w14:paraId="3C41C5EC"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lastRenderedPageBreak/>
              <w:t xml:space="preserve">Bestätigung, dass die interne Revisionsfunktion für die Überprüfung der ausgelagerten </w:t>
            </w:r>
            <w:r w:rsidRPr="00255340">
              <w:rPr>
                <w:rFonts w:cs="Arial"/>
                <w:i/>
                <w:szCs w:val="20"/>
                <w:highlight w:val="lightGray"/>
              </w:rPr>
              <w:lastRenderedPageBreak/>
              <w:t>Funktionen/Prozesse/Dienstleistungen angemessen ausgestaltet ist und die ausgelagerten Funktionen/Prozesse/Dienstleistungen im risikobasierten Prüfplan der Internen Revision angemessen adressiert und geprüft werden</w:t>
            </w:r>
          </w:p>
        </w:tc>
      </w:tr>
      <w:tr w:rsidR="006D37A3" w:rsidRPr="00CE3194" w14:paraId="715A8EF5" w14:textId="77777777" w:rsidTr="009B7A8A">
        <w:tc>
          <w:tcPr>
            <w:tcW w:w="1668" w:type="dxa"/>
          </w:tcPr>
          <w:p w14:paraId="7B7591A0"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lastRenderedPageBreak/>
              <w:t>Dokumentationsanforderungen / Registerführung</w:t>
            </w:r>
          </w:p>
        </w:tc>
        <w:tc>
          <w:tcPr>
            <w:tcW w:w="5313" w:type="dxa"/>
          </w:tcPr>
          <w:p w14:paraId="68609D49"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ein Register mit Informationen über alle Auslagerungsvereinbarungen geführt und laufend aktualisiert wird</w:t>
            </w:r>
          </w:p>
          <w:p w14:paraId="5D7EE497"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sicher, dass das Register vollständig und den Mindestinhalten der regulatorischen Vorschriften entspricht</w:t>
            </w:r>
          </w:p>
        </w:tc>
        <w:tc>
          <w:tcPr>
            <w:tcW w:w="2759" w:type="dxa"/>
          </w:tcPr>
          <w:p w14:paraId="68146459"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ein Register mit Informationen über alle Auslagerungsvereinbarungen vollständig, gemäss den regulatorischen Mindestinhalten, geführt und laufend aktualisiert wird</w:t>
            </w:r>
          </w:p>
        </w:tc>
      </w:tr>
      <w:tr w:rsidR="006D37A3" w:rsidRPr="00CE3194" w14:paraId="22715C78" w14:textId="77777777" w:rsidTr="009B7A8A">
        <w:tc>
          <w:tcPr>
            <w:tcW w:w="1668" w:type="dxa"/>
          </w:tcPr>
          <w:p w14:paraId="3A2B4B09" w14:textId="77777777" w:rsidR="006D37A3" w:rsidRDefault="006D37A3" w:rsidP="009B7A8A">
            <w:pPr>
              <w:jc w:val="both"/>
              <w:rPr>
                <w:rFonts w:ascii="Arial" w:hAnsi="Arial" w:cs="Arial"/>
                <w:i/>
                <w:sz w:val="20"/>
                <w:szCs w:val="20"/>
                <w:highlight w:val="lightGray"/>
              </w:rPr>
            </w:pPr>
            <w:r>
              <w:rPr>
                <w:rFonts w:ascii="Arial" w:hAnsi="Arial" w:cs="Arial"/>
                <w:i/>
                <w:sz w:val="20"/>
                <w:szCs w:val="20"/>
                <w:highlight w:val="lightGray"/>
              </w:rPr>
              <w:t>Ausstiegsstrategien</w:t>
            </w:r>
          </w:p>
        </w:tc>
        <w:tc>
          <w:tcPr>
            <w:tcW w:w="5313" w:type="dxa"/>
          </w:tcPr>
          <w:p w14:paraId="29EA5FD4"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Ausstiegsstrategie stimmt mit der Auslagerungspolitik und den Plänen zur Geschäftsfortführung (BCM) überein</w:t>
            </w:r>
          </w:p>
          <w:p w14:paraId="1F6B0D67"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internen Verfahren stellen die Entwicklung von angemessenen Ausstiegspläne sicher</w:t>
            </w:r>
          </w:p>
          <w:p w14:paraId="68EDE389"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Ausstiegspläne werden angemessen dokumentiert</w:t>
            </w:r>
          </w:p>
          <w:p w14:paraId="093EE4AD"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Die Ausstiegspläne sind ausreichend erprobt (z.B. Durchführung einer Analyse der potenziellen Kosten, Folgen, Mittel und zeitlicher Auswirkungen der Übertragung auf einen anderen Anbieter)</w:t>
            </w:r>
          </w:p>
          <w:p w14:paraId="4CD77586" w14:textId="77777777"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Für Wiedereingliederungen von ausgelagerten Funktionen bestehen angemessene interne Verfahren</w:t>
            </w:r>
          </w:p>
          <w:p w14:paraId="00C463C2" w14:textId="5B5E3564" w:rsidR="006D37A3" w:rsidRDefault="006D37A3" w:rsidP="009B7A8A">
            <w:pPr>
              <w:pStyle w:val="Listenabsatz"/>
              <w:numPr>
                <w:ilvl w:val="1"/>
                <w:numId w:val="17"/>
              </w:numPr>
              <w:ind w:left="317" w:hanging="283"/>
              <w:jc w:val="both"/>
              <w:rPr>
                <w:rFonts w:cs="Arial"/>
                <w:i/>
                <w:szCs w:val="20"/>
                <w:highlight w:val="lightGray"/>
              </w:rPr>
            </w:pPr>
            <w:r>
              <w:rPr>
                <w:rFonts w:cs="Arial"/>
                <w:i/>
                <w:szCs w:val="20"/>
                <w:highlight w:val="lightGray"/>
              </w:rPr>
              <w:t xml:space="preserve">Die internen Verfahren stellen sicher, dass ausgelagerte Tätigkeiten ohne wesentlichen Unterbruch der Geschäftstätigkeiten wieder in die </w:t>
            </w:r>
            <w:r w:rsidR="004726B7">
              <w:rPr>
                <w:rFonts w:cs="Arial"/>
                <w:i/>
                <w:szCs w:val="20"/>
                <w:highlight w:val="lightGray"/>
              </w:rPr>
              <w:t>bewilligte (gemischte) Finanzholdinggesellschaft</w:t>
            </w:r>
            <w:r>
              <w:rPr>
                <w:rFonts w:cs="Arial"/>
                <w:i/>
                <w:szCs w:val="20"/>
                <w:highlight w:val="lightGray"/>
              </w:rPr>
              <w:t xml:space="preserve"> eingegliedert werden können. </w:t>
            </w:r>
          </w:p>
        </w:tc>
        <w:tc>
          <w:tcPr>
            <w:tcW w:w="2759" w:type="dxa"/>
          </w:tcPr>
          <w:p w14:paraId="0933C74C" w14:textId="77777777" w:rsidR="006D37A3" w:rsidRPr="00024116" w:rsidRDefault="006D37A3" w:rsidP="009B7A8A">
            <w:pPr>
              <w:pStyle w:val="Listenabsatz"/>
              <w:numPr>
                <w:ilvl w:val="1"/>
                <w:numId w:val="17"/>
              </w:numPr>
              <w:ind w:left="317" w:hanging="283"/>
              <w:jc w:val="both"/>
              <w:rPr>
                <w:rFonts w:cs="Arial"/>
                <w:i/>
                <w:szCs w:val="20"/>
                <w:highlight w:val="lightGray"/>
              </w:rPr>
            </w:pPr>
            <w:r w:rsidRPr="00255340">
              <w:rPr>
                <w:rFonts w:cs="Arial"/>
                <w:i/>
                <w:szCs w:val="20"/>
                <w:highlight w:val="lightGray"/>
              </w:rPr>
              <w:t>Bestätigung, dass die internen Verfahren sicherstellen, dass angemessene Ausstiegsstrategien und –pläne existieren, die mit der Auslagerungspolitik und den Plänen zur Geschäftsfortführung (BCM) übereinstimmen und die regelmässig erprobt werden</w:t>
            </w:r>
          </w:p>
        </w:tc>
      </w:tr>
    </w:tbl>
    <w:p w14:paraId="71F52CDD" w14:textId="77777777" w:rsidR="006D37A3" w:rsidRDefault="006D37A3" w:rsidP="006D37A3">
      <w:pPr>
        <w:jc w:val="both"/>
      </w:pPr>
    </w:p>
    <w:p w14:paraId="65C7047E" w14:textId="77777777" w:rsidR="006D37A3" w:rsidRPr="00B037A6" w:rsidRDefault="006D37A3" w:rsidP="006D37A3">
      <w:pPr>
        <w:jc w:val="both"/>
        <w:rPr>
          <w:sz w:val="20"/>
          <w:szCs w:val="20"/>
        </w:rPr>
      </w:pPr>
      <w:r w:rsidRPr="00B037A6">
        <w:rPr>
          <w:sz w:val="20"/>
          <w:szCs w:val="20"/>
        </w:rPr>
        <w:t xml:space="preserve">*Der Begriff </w:t>
      </w:r>
      <w:r>
        <w:rPr>
          <w:sz w:val="20"/>
          <w:szCs w:val="20"/>
        </w:rPr>
        <w:t>„</w:t>
      </w:r>
      <w:r w:rsidRPr="00B037A6">
        <w:rPr>
          <w:sz w:val="20"/>
          <w:szCs w:val="20"/>
        </w:rPr>
        <w:t>Dienstleister</w:t>
      </w:r>
      <w:r>
        <w:rPr>
          <w:sz w:val="20"/>
          <w:szCs w:val="20"/>
        </w:rPr>
        <w:t>“</w:t>
      </w:r>
      <w:r w:rsidRPr="00B037A6">
        <w:rPr>
          <w:sz w:val="20"/>
          <w:szCs w:val="20"/>
        </w:rPr>
        <w:t xml:space="preserve"> beinhaltet gruppeninterne Dienstleister als auch Dritte. </w:t>
      </w:r>
    </w:p>
    <w:p w14:paraId="284BF141" w14:textId="77777777" w:rsidR="006D37A3" w:rsidRDefault="006D37A3" w:rsidP="006D37A3">
      <w:pPr>
        <w:jc w:val="both"/>
      </w:pPr>
    </w:p>
    <w:p w14:paraId="142BA28C" w14:textId="69078DF4" w:rsidR="006D37A3" w:rsidRDefault="006D37A3" w:rsidP="00636495">
      <w:pPr>
        <w:jc w:val="both"/>
      </w:pPr>
    </w:p>
    <w:p w14:paraId="61DDB336" w14:textId="77777777" w:rsidR="006D37A3" w:rsidRDefault="006D37A3" w:rsidP="00636495">
      <w:pPr>
        <w:jc w:val="both"/>
      </w:pPr>
    </w:p>
    <w:p w14:paraId="754BB8ED" w14:textId="77777777" w:rsidR="001605C4" w:rsidRDefault="001605C4" w:rsidP="00636495">
      <w:pPr>
        <w:jc w:val="both"/>
      </w:pPr>
    </w:p>
    <w:p w14:paraId="0828FB72" w14:textId="77777777" w:rsidR="009C6380" w:rsidRDefault="009C6380" w:rsidP="00897485">
      <w:pPr>
        <w:pStyle w:val="Listenabsatz"/>
        <w:ind w:left="792"/>
        <w:jc w:val="both"/>
      </w:pPr>
    </w:p>
    <w:p w14:paraId="27430468" w14:textId="77777777" w:rsidR="009C6380" w:rsidRDefault="0084034D" w:rsidP="006F7AB5">
      <w:pPr>
        <w:pStyle w:val="FINMAGliederungEbene2"/>
      </w:pPr>
      <w:bookmarkStart w:id="88" w:name="_Toc147849937"/>
      <w:r>
        <w:t>Prüfresultate aus v</w:t>
      </w:r>
      <w:r w:rsidR="009C6380">
        <w:t>on der FMA Liechtenstein zusätzlich festgelegte</w:t>
      </w:r>
      <w:r>
        <w:t>n</w:t>
      </w:r>
      <w:r w:rsidR="009C6380">
        <w:t xml:space="preserve"> Prüfgebiete</w:t>
      </w:r>
      <w:r>
        <w:t>n</w:t>
      </w:r>
      <w:r w:rsidR="009C6380">
        <w:t xml:space="preserve"> / Risikoarten bzw. Prüffelder</w:t>
      </w:r>
      <w:bookmarkEnd w:id="88"/>
    </w:p>
    <w:p w14:paraId="510CC1E7" w14:textId="77777777" w:rsidR="009C6380" w:rsidRDefault="009C6380" w:rsidP="00CB3EE6">
      <w:pPr>
        <w:jc w:val="both"/>
      </w:pPr>
    </w:p>
    <w:p w14:paraId="717796A1" w14:textId="77777777" w:rsidR="00946366" w:rsidRDefault="009C6380" w:rsidP="00CB3EE6">
      <w:pPr>
        <w:jc w:val="both"/>
        <w:rPr>
          <w:rFonts w:cs="Arial"/>
          <w:i/>
          <w:szCs w:val="20"/>
          <w:highlight w:val="lightGray"/>
        </w:rPr>
      </w:pPr>
      <w:r w:rsidRPr="00CB3EE6">
        <w:rPr>
          <w:rFonts w:ascii="Arial" w:hAnsi="Arial" w:cs="Arial"/>
          <w:i/>
          <w:sz w:val="20"/>
          <w:szCs w:val="20"/>
          <w:highlight w:val="lightGray"/>
        </w:rPr>
        <w:lastRenderedPageBreak/>
        <w:t>Unter diesem Abschnitt sind die Prüfresultate sämtliche</w:t>
      </w:r>
      <w:r>
        <w:rPr>
          <w:rFonts w:ascii="Arial" w:hAnsi="Arial" w:cs="Arial"/>
          <w:i/>
          <w:sz w:val="20"/>
          <w:szCs w:val="20"/>
          <w:highlight w:val="lightGray"/>
        </w:rPr>
        <w:t>r,</w:t>
      </w:r>
      <w:r w:rsidRPr="00CB3EE6">
        <w:rPr>
          <w:rFonts w:ascii="Arial" w:hAnsi="Arial" w:cs="Arial"/>
          <w:i/>
          <w:sz w:val="20"/>
          <w:szCs w:val="20"/>
          <w:highlight w:val="lightGray"/>
        </w:rPr>
        <w:t xml:space="preserve"> von der FMA Liechtenstein </w:t>
      </w:r>
      <w:r>
        <w:rPr>
          <w:rFonts w:ascii="Arial" w:hAnsi="Arial" w:cs="Arial"/>
          <w:i/>
          <w:sz w:val="20"/>
          <w:szCs w:val="20"/>
          <w:highlight w:val="lightGray"/>
        </w:rPr>
        <w:t xml:space="preserve">vorgängig </w:t>
      </w:r>
      <w:r w:rsidRPr="00CB3EE6">
        <w:rPr>
          <w:rFonts w:ascii="Arial" w:hAnsi="Arial" w:cs="Arial"/>
          <w:i/>
          <w:sz w:val="20"/>
          <w:szCs w:val="20"/>
          <w:highlight w:val="lightGray"/>
        </w:rPr>
        <w:t>kommunizierten</w:t>
      </w:r>
      <w:r>
        <w:rPr>
          <w:rFonts w:ascii="Arial" w:hAnsi="Arial" w:cs="Arial"/>
          <w:i/>
          <w:sz w:val="20"/>
          <w:szCs w:val="20"/>
          <w:highlight w:val="lightGray"/>
        </w:rPr>
        <w:t>,</w:t>
      </w:r>
      <w:r w:rsidRPr="00CB3EE6">
        <w:rPr>
          <w:rFonts w:ascii="Arial" w:hAnsi="Arial" w:cs="Arial"/>
          <w:i/>
          <w:sz w:val="20"/>
          <w:szCs w:val="20"/>
          <w:highlight w:val="lightGray"/>
        </w:rPr>
        <w:t xml:space="preserve"> zusätzlich festgelegte</w:t>
      </w:r>
      <w:r>
        <w:rPr>
          <w:rFonts w:ascii="Arial" w:hAnsi="Arial" w:cs="Arial"/>
          <w:i/>
          <w:sz w:val="20"/>
          <w:szCs w:val="20"/>
          <w:highlight w:val="lightGray"/>
        </w:rPr>
        <w:t>r</w:t>
      </w:r>
      <w:r w:rsidRPr="00CB3EE6">
        <w:rPr>
          <w:rFonts w:ascii="Arial" w:hAnsi="Arial" w:cs="Arial"/>
          <w:i/>
          <w:sz w:val="20"/>
          <w:szCs w:val="20"/>
          <w:highlight w:val="lightGray"/>
        </w:rPr>
        <w:t xml:space="preserve"> Prüfgebiete / Risikoarten bzw. Prü</w:t>
      </w:r>
      <w:r w:rsidR="0084034D">
        <w:rPr>
          <w:rFonts w:ascii="Arial" w:hAnsi="Arial" w:cs="Arial"/>
          <w:i/>
          <w:sz w:val="20"/>
          <w:szCs w:val="20"/>
          <w:highlight w:val="lightGray"/>
        </w:rPr>
        <w:t>f</w:t>
      </w:r>
      <w:r w:rsidRPr="00CB3EE6">
        <w:rPr>
          <w:rFonts w:ascii="Arial" w:hAnsi="Arial" w:cs="Arial"/>
          <w:i/>
          <w:sz w:val="20"/>
          <w:szCs w:val="20"/>
          <w:highlight w:val="lightGray"/>
        </w:rPr>
        <w:t>felder</w:t>
      </w:r>
      <w:r w:rsidR="0084034D">
        <w:rPr>
          <w:rFonts w:ascii="Arial" w:hAnsi="Arial" w:cs="Arial"/>
          <w:i/>
          <w:sz w:val="20"/>
          <w:szCs w:val="20"/>
          <w:highlight w:val="lightGray"/>
        </w:rPr>
        <w:t>,</w:t>
      </w:r>
      <w:r w:rsidRPr="00CB3EE6">
        <w:rPr>
          <w:rFonts w:ascii="Arial" w:hAnsi="Arial" w:cs="Arial"/>
          <w:i/>
          <w:sz w:val="20"/>
          <w:szCs w:val="20"/>
          <w:highlight w:val="lightGray"/>
        </w:rPr>
        <w:t xml:space="preserve"> </w:t>
      </w:r>
      <w:r w:rsidR="0084034D">
        <w:rPr>
          <w:rFonts w:ascii="Arial" w:hAnsi="Arial" w:cs="Arial"/>
          <w:i/>
          <w:sz w:val="20"/>
          <w:szCs w:val="20"/>
          <w:highlight w:val="lightGray"/>
        </w:rPr>
        <w:t xml:space="preserve">welche im Rahmen der Aufsichtsprüfung abzudecken sind, </w:t>
      </w:r>
      <w:r w:rsidR="00946366">
        <w:rPr>
          <w:rFonts w:ascii="Arial" w:hAnsi="Arial" w:cs="Arial"/>
          <w:i/>
          <w:sz w:val="20"/>
          <w:szCs w:val="20"/>
          <w:highlight w:val="lightGray"/>
        </w:rPr>
        <w:t>aufzuführen.</w:t>
      </w:r>
    </w:p>
    <w:p w14:paraId="13DA84EB" w14:textId="77777777" w:rsidR="00946366" w:rsidRDefault="00946366" w:rsidP="00CB3EE6">
      <w:pPr>
        <w:jc w:val="both"/>
        <w:rPr>
          <w:rFonts w:cs="Arial"/>
          <w:i/>
          <w:szCs w:val="20"/>
          <w:highlight w:val="lightGray"/>
        </w:rPr>
      </w:pPr>
    </w:p>
    <w:p w14:paraId="4129EA89" w14:textId="77777777" w:rsidR="00946366" w:rsidRDefault="00946366" w:rsidP="00CB3EE6">
      <w:pPr>
        <w:jc w:val="both"/>
        <w:rPr>
          <w:rFonts w:cs="Arial"/>
          <w:i/>
          <w:szCs w:val="20"/>
          <w:highlight w:val="lightGray"/>
        </w:rPr>
      </w:pPr>
      <w:r>
        <w:rPr>
          <w:rFonts w:ascii="Arial" w:hAnsi="Arial" w:cs="Arial"/>
          <w:i/>
          <w:sz w:val="20"/>
          <w:szCs w:val="20"/>
          <w:highlight w:val="lightGray"/>
        </w:rPr>
        <w:t>Die vorgängige Kommunikation durch die FMA Liechtenstein gibt an, welche Prüffelder im Rahmen der Aufsichtsprüfung mit welcher Prüftiefe abzudecken sind und welche Prüfbestätigung</w:t>
      </w:r>
      <w:r w:rsidR="0084034D">
        <w:rPr>
          <w:rFonts w:ascii="Arial" w:hAnsi="Arial" w:cs="Arial"/>
          <w:i/>
          <w:sz w:val="20"/>
          <w:szCs w:val="20"/>
          <w:highlight w:val="lightGray"/>
        </w:rPr>
        <w:t>en des jeweiligen Prüffelds</w:t>
      </w:r>
      <w:r>
        <w:rPr>
          <w:rFonts w:ascii="Arial" w:hAnsi="Arial" w:cs="Arial"/>
          <w:i/>
          <w:sz w:val="20"/>
          <w:szCs w:val="20"/>
          <w:highlight w:val="lightGray"/>
        </w:rPr>
        <w:t xml:space="preserve"> im Rahmen des vorliegenden Berichts über die</w:t>
      </w:r>
      <w:r w:rsidR="00C32537">
        <w:rPr>
          <w:rFonts w:ascii="Arial" w:hAnsi="Arial" w:cs="Arial"/>
          <w:i/>
          <w:sz w:val="20"/>
          <w:szCs w:val="20"/>
          <w:highlight w:val="lightGray"/>
        </w:rPr>
        <w:t xml:space="preserve"> Aufsichtsprüfung a</w:t>
      </w:r>
      <w:r w:rsidR="0084034D">
        <w:rPr>
          <w:rFonts w:ascii="Arial" w:hAnsi="Arial" w:cs="Arial"/>
          <w:i/>
          <w:sz w:val="20"/>
          <w:szCs w:val="20"/>
          <w:highlight w:val="lightGray"/>
        </w:rPr>
        <w:t>ufzuführen und zu beurteilen sind.</w:t>
      </w:r>
      <w:r w:rsidR="00C32537">
        <w:rPr>
          <w:rFonts w:ascii="Arial" w:hAnsi="Arial" w:cs="Arial"/>
          <w:i/>
          <w:sz w:val="20"/>
          <w:szCs w:val="20"/>
          <w:highlight w:val="lightGray"/>
        </w:rPr>
        <w:t xml:space="preserve"> </w:t>
      </w:r>
    </w:p>
    <w:p w14:paraId="00176855" w14:textId="77777777" w:rsidR="00C32537" w:rsidRDefault="00C32537" w:rsidP="00CB3EE6">
      <w:pPr>
        <w:jc w:val="both"/>
        <w:rPr>
          <w:rFonts w:cs="Arial"/>
          <w:i/>
          <w:szCs w:val="20"/>
          <w:highlight w:val="lightGray"/>
        </w:rPr>
      </w:pPr>
    </w:p>
    <w:p w14:paraId="1D0A4133" w14:textId="77777777" w:rsidR="00C32537" w:rsidRDefault="00C32537" w:rsidP="00CB3EE6">
      <w:pPr>
        <w:jc w:val="both"/>
        <w:rPr>
          <w:rFonts w:cs="Arial"/>
          <w:i/>
          <w:szCs w:val="20"/>
          <w:highlight w:val="lightGray"/>
        </w:rPr>
      </w:pPr>
      <w:r>
        <w:rPr>
          <w:rFonts w:ascii="Arial" w:hAnsi="Arial" w:cs="Arial"/>
          <w:i/>
          <w:sz w:val="20"/>
          <w:szCs w:val="20"/>
          <w:highlight w:val="lightGray"/>
        </w:rPr>
        <w:t xml:space="preserve">Dieser Abschnitt betrifft vorwiegend </w:t>
      </w:r>
      <w:r w:rsidR="005477F5">
        <w:rPr>
          <w:rFonts w:ascii="Arial" w:hAnsi="Arial" w:cs="Arial"/>
          <w:i/>
          <w:sz w:val="20"/>
          <w:szCs w:val="20"/>
          <w:highlight w:val="lightGray"/>
        </w:rPr>
        <w:t>Prüfungshandlungen im</w:t>
      </w:r>
      <w:r>
        <w:rPr>
          <w:rFonts w:ascii="Arial" w:hAnsi="Arial" w:cs="Arial"/>
          <w:i/>
          <w:sz w:val="20"/>
          <w:szCs w:val="20"/>
          <w:highlight w:val="lightGray"/>
        </w:rPr>
        <w:t xml:space="preserve"> „Meldewesen“ und „andere Vorschriften“. </w:t>
      </w:r>
    </w:p>
    <w:p w14:paraId="2D73FD79" w14:textId="77777777" w:rsidR="00C32537" w:rsidRDefault="00C32537" w:rsidP="00CB3EE6">
      <w:pPr>
        <w:jc w:val="both"/>
        <w:rPr>
          <w:rFonts w:cs="Arial"/>
          <w:i/>
          <w:szCs w:val="20"/>
          <w:highlight w:val="lightGray"/>
        </w:rPr>
      </w:pPr>
    </w:p>
    <w:p w14:paraId="55CFD80F" w14:textId="4A86DC6F" w:rsidR="00C32537" w:rsidRDefault="00C32537" w:rsidP="00CB3EE6">
      <w:pPr>
        <w:jc w:val="both"/>
        <w:rPr>
          <w:rFonts w:cs="Arial"/>
          <w:i/>
          <w:szCs w:val="20"/>
          <w:highlight w:val="lightGray"/>
        </w:rPr>
      </w:pPr>
      <w:r>
        <w:rPr>
          <w:rFonts w:ascii="Arial" w:hAnsi="Arial" w:cs="Arial"/>
          <w:i/>
          <w:sz w:val="20"/>
          <w:szCs w:val="20"/>
          <w:highlight w:val="lightGray"/>
        </w:rPr>
        <w:t xml:space="preserve">Das „Meldewesen“ umfasst sämtliche geltende periodische Meldepflichten der </w:t>
      </w:r>
      <w:r w:rsidR="006179DA" w:rsidRPr="00BF6946">
        <w:rPr>
          <w:rFonts w:ascii="Arial" w:hAnsi="Arial" w:cs="Arial"/>
          <w:i/>
          <w:sz w:val="20"/>
          <w:szCs w:val="20"/>
          <w:highlight w:val="lightGray"/>
        </w:rPr>
        <w:t>Bank/Wertpapierfirma bzw. der Gruppe</w:t>
      </w:r>
      <w:r w:rsidR="006179DA" w:rsidDel="006179DA">
        <w:rPr>
          <w:rFonts w:ascii="Arial" w:hAnsi="Arial" w:cs="Arial"/>
          <w:i/>
          <w:sz w:val="20"/>
          <w:szCs w:val="20"/>
          <w:highlight w:val="lightGray"/>
        </w:rPr>
        <w:t xml:space="preserve"> </w:t>
      </w:r>
      <w:r>
        <w:rPr>
          <w:rFonts w:ascii="Arial" w:hAnsi="Arial" w:cs="Arial"/>
          <w:i/>
          <w:sz w:val="20"/>
          <w:szCs w:val="20"/>
          <w:highlight w:val="lightGray"/>
        </w:rPr>
        <w:t xml:space="preserve">auf Einzelbasis und/oder auf konsolidierter </w:t>
      </w:r>
      <w:r w:rsidR="00306BC7">
        <w:rPr>
          <w:rFonts w:ascii="Arial" w:hAnsi="Arial" w:cs="Arial"/>
          <w:i/>
          <w:sz w:val="20"/>
          <w:szCs w:val="20"/>
          <w:highlight w:val="lightGray"/>
        </w:rPr>
        <w:t>Basis</w:t>
      </w:r>
      <w:r>
        <w:rPr>
          <w:rFonts w:ascii="Arial" w:hAnsi="Arial" w:cs="Arial"/>
          <w:i/>
          <w:sz w:val="20"/>
          <w:szCs w:val="20"/>
          <w:highlight w:val="lightGray"/>
        </w:rPr>
        <w:t xml:space="preserve">. </w:t>
      </w:r>
    </w:p>
    <w:p w14:paraId="21A08DC5" w14:textId="77777777" w:rsidR="00C32537" w:rsidRDefault="00C32537" w:rsidP="00CB3EE6">
      <w:pPr>
        <w:jc w:val="both"/>
        <w:rPr>
          <w:rFonts w:cs="Arial"/>
          <w:i/>
          <w:szCs w:val="20"/>
          <w:highlight w:val="lightGray"/>
        </w:rPr>
      </w:pPr>
    </w:p>
    <w:p w14:paraId="276B7BA3" w14:textId="77777777" w:rsidR="00C32537" w:rsidRDefault="00C32537" w:rsidP="00CB3EE6">
      <w:pPr>
        <w:jc w:val="both"/>
        <w:rPr>
          <w:rFonts w:cs="Arial"/>
          <w:i/>
          <w:szCs w:val="20"/>
          <w:highlight w:val="lightGray"/>
        </w:rPr>
      </w:pPr>
      <w:r>
        <w:rPr>
          <w:rFonts w:ascii="Arial" w:hAnsi="Arial" w:cs="Arial"/>
          <w:i/>
          <w:sz w:val="20"/>
          <w:szCs w:val="20"/>
          <w:highlight w:val="lightGray"/>
        </w:rPr>
        <w:t>Das Prüfgebiet „Andere Vorschriften“ umfasst folgende Prüffelder, welche nicht im Rahmen der</w:t>
      </w:r>
      <w:r w:rsidR="0084034D">
        <w:rPr>
          <w:rFonts w:ascii="Arial" w:hAnsi="Arial" w:cs="Arial"/>
          <w:i/>
          <w:sz w:val="20"/>
          <w:szCs w:val="20"/>
          <w:highlight w:val="lightGray"/>
        </w:rPr>
        <w:t xml:space="preserve"> Risikoanalyse / Prüfstrategie zu beurteilen gewesen sind: </w:t>
      </w:r>
    </w:p>
    <w:p w14:paraId="0CCD2885" w14:textId="37240339" w:rsidR="00C32537" w:rsidRPr="005B66F8" w:rsidRDefault="00C32537" w:rsidP="005B66F8">
      <w:pPr>
        <w:pStyle w:val="Listenabsatz"/>
        <w:numPr>
          <w:ilvl w:val="0"/>
          <w:numId w:val="36"/>
        </w:numPr>
        <w:jc w:val="both"/>
        <w:rPr>
          <w:rFonts w:cs="Arial"/>
          <w:i/>
          <w:szCs w:val="20"/>
          <w:highlight w:val="lightGray"/>
        </w:rPr>
      </w:pPr>
      <w:r>
        <w:rPr>
          <w:rFonts w:cs="Arial"/>
          <w:i/>
          <w:szCs w:val="20"/>
          <w:highlight w:val="lightGray"/>
        </w:rPr>
        <w:t>Nachrichtenlose Vermögenswerte</w:t>
      </w:r>
    </w:p>
    <w:p w14:paraId="359827C5" w14:textId="77777777" w:rsidR="00C32537" w:rsidRDefault="00C32537" w:rsidP="00CB3EE6">
      <w:pPr>
        <w:pStyle w:val="Listenabsatz"/>
        <w:numPr>
          <w:ilvl w:val="0"/>
          <w:numId w:val="36"/>
        </w:numPr>
        <w:jc w:val="both"/>
        <w:rPr>
          <w:rFonts w:cs="Arial"/>
          <w:i/>
          <w:szCs w:val="20"/>
          <w:highlight w:val="lightGray"/>
        </w:rPr>
      </w:pPr>
      <w:r>
        <w:rPr>
          <w:rFonts w:cs="Arial"/>
          <w:i/>
          <w:szCs w:val="20"/>
          <w:highlight w:val="lightGray"/>
        </w:rPr>
        <w:t>Einlagensicherung</w:t>
      </w:r>
    </w:p>
    <w:p w14:paraId="293A85E9" w14:textId="77777777" w:rsidR="000C756C" w:rsidRPr="000C756C" w:rsidRDefault="00C32537" w:rsidP="00494050">
      <w:pPr>
        <w:pStyle w:val="Listenabsatz"/>
        <w:numPr>
          <w:ilvl w:val="0"/>
          <w:numId w:val="36"/>
        </w:numPr>
        <w:jc w:val="both"/>
      </w:pPr>
      <w:r>
        <w:rPr>
          <w:rFonts w:cs="Arial"/>
          <w:i/>
          <w:szCs w:val="20"/>
          <w:highlight w:val="lightGray"/>
        </w:rPr>
        <w:t>Ausserbörslicher Handel mit Derivaten – OTC-Derivate, zentrale Gegenparteien und Transaktionsregister (EMIR)</w:t>
      </w:r>
    </w:p>
    <w:p w14:paraId="45301136" w14:textId="61C880BF" w:rsidR="00801D7B" w:rsidRPr="00B037A6" w:rsidRDefault="00C32537" w:rsidP="00494050">
      <w:pPr>
        <w:pStyle w:val="Listenabsatz"/>
        <w:numPr>
          <w:ilvl w:val="0"/>
          <w:numId w:val="36"/>
        </w:numPr>
        <w:jc w:val="both"/>
      </w:pPr>
      <w:r w:rsidRPr="00494050">
        <w:rPr>
          <w:rFonts w:cs="Arial"/>
          <w:i/>
          <w:szCs w:val="20"/>
          <w:highlight w:val="lightGray"/>
        </w:rPr>
        <w:t>Basisinformationsblätter für verpackte Anlageprodukte für Kleinanleger und Versicherungsanlageprodukte (PRIIPS)</w:t>
      </w:r>
    </w:p>
    <w:p w14:paraId="63FFFB3F" w14:textId="692AA7E1" w:rsidR="00F811CB" w:rsidRPr="005B66F8" w:rsidRDefault="00F811CB" w:rsidP="00494050">
      <w:pPr>
        <w:pStyle w:val="Listenabsatz"/>
        <w:numPr>
          <w:ilvl w:val="0"/>
          <w:numId w:val="36"/>
        </w:numPr>
        <w:jc w:val="both"/>
        <w:rPr>
          <w:rFonts w:cs="Arial"/>
          <w:i/>
          <w:szCs w:val="20"/>
          <w:highlight w:val="lightGray"/>
        </w:rPr>
      </w:pPr>
      <w:r w:rsidRPr="005B66F8">
        <w:rPr>
          <w:rFonts w:cs="Arial"/>
          <w:i/>
          <w:szCs w:val="20"/>
          <w:highlight w:val="lightGray"/>
        </w:rPr>
        <w:t>Zentralverwahrer-Verordnung (CSDR)</w:t>
      </w:r>
    </w:p>
    <w:p w14:paraId="24774B31" w14:textId="6BA8E4E1" w:rsidR="00F811CB" w:rsidRPr="005B66F8" w:rsidRDefault="00F811CB" w:rsidP="00494050">
      <w:pPr>
        <w:pStyle w:val="Listenabsatz"/>
        <w:numPr>
          <w:ilvl w:val="0"/>
          <w:numId w:val="36"/>
        </w:numPr>
        <w:jc w:val="both"/>
        <w:rPr>
          <w:rFonts w:cs="Arial"/>
          <w:i/>
          <w:szCs w:val="20"/>
          <w:highlight w:val="lightGray"/>
        </w:rPr>
      </w:pPr>
      <w:r w:rsidRPr="005B66F8">
        <w:rPr>
          <w:rFonts w:cs="Arial"/>
          <w:i/>
          <w:szCs w:val="20"/>
          <w:highlight w:val="lightGray"/>
        </w:rPr>
        <w:t>Marktmissbrauchsverordnung (MAR) bzw. EWR-Marktmissbrauchsverordnung-Durchführungsgesetz (EWR-MDG)</w:t>
      </w:r>
    </w:p>
    <w:p w14:paraId="49616B89" w14:textId="37F5BE68" w:rsidR="00F811CB" w:rsidRPr="005B66F8" w:rsidRDefault="00F811CB" w:rsidP="00494050">
      <w:pPr>
        <w:pStyle w:val="Listenabsatz"/>
        <w:numPr>
          <w:ilvl w:val="0"/>
          <w:numId w:val="36"/>
        </w:numPr>
        <w:jc w:val="both"/>
        <w:rPr>
          <w:rFonts w:cs="Arial"/>
          <w:i/>
          <w:szCs w:val="20"/>
          <w:highlight w:val="lightGray"/>
        </w:rPr>
      </w:pPr>
      <w:r w:rsidRPr="005B66F8">
        <w:rPr>
          <w:rFonts w:cs="Arial"/>
          <w:i/>
          <w:szCs w:val="20"/>
          <w:highlight w:val="lightGray"/>
        </w:rPr>
        <w:t xml:space="preserve">Hypothekar- und Immobilienkreditgesetz (HIKG) </w:t>
      </w:r>
    </w:p>
    <w:p w14:paraId="60112F17" w14:textId="77777777" w:rsidR="00801D7B" w:rsidRDefault="00801D7B" w:rsidP="00CB3EE6">
      <w:pPr>
        <w:jc w:val="both"/>
      </w:pPr>
    </w:p>
    <w:p w14:paraId="0E486378" w14:textId="77777777" w:rsidR="001469E9" w:rsidRDefault="001469E9" w:rsidP="001469E9">
      <w:pPr>
        <w:pStyle w:val="Listenabsatz"/>
        <w:ind w:left="1224"/>
        <w:jc w:val="both"/>
      </w:pPr>
    </w:p>
    <w:p w14:paraId="0A1CAB78" w14:textId="77777777" w:rsidR="001469E9" w:rsidRDefault="009464E8" w:rsidP="006F7AB5">
      <w:pPr>
        <w:pStyle w:val="FINMAGliederungEbene1"/>
      </w:pPr>
      <w:bookmarkStart w:id="89" w:name="_Toc147849938"/>
      <w:r>
        <w:t>Weitere Bemerkungen</w:t>
      </w:r>
      <w:bookmarkEnd w:id="89"/>
    </w:p>
    <w:p w14:paraId="08EAC8E7" w14:textId="77777777" w:rsidR="009464E8" w:rsidRDefault="009464E8" w:rsidP="009464E8">
      <w:pPr>
        <w:pStyle w:val="Listenabsatz"/>
        <w:ind w:left="360"/>
        <w:jc w:val="both"/>
      </w:pPr>
    </w:p>
    <w:p w14:paraId="322A0323" w14:textId="77777777" w:rsidR="009464E8" w:rsidRDefault="009464E8" w:rsidP="009464E8">
      <w:pPr>
        <w:jc w:val="both"/>
        <w:rPr>
          <w:rFonts w:ascii="Arial" w:hAnsi="Arial" w:cs="Arial"/>
          <w:i/>
          <w:sz w:val="20"/>
          <w:szCs w:val="20"/>
        </w:rPr>
      </w:pPr>
      <w:r w:rsidRPr="009464E8">
        <w:rPr>
          <w:rFonts w:ascii="Arial" w:hAnsi="Arial" w:cs="Arial"/>
          <w:i/>
          <w:sz w:val="20"/>
          <w:szCs w:val="20"/>
          <w:highlight w:val="lightGray"/>
        </w:rPr>
        <w:t>Die weiteren Bemerkungen/Hinweise dienen der Ergänzung der vorgehend aufgeführten Sachverhalte. Sie sollen, wo es die Revisionsstelle für erforderlich hält, dazu dienen, das Gesamtbild des Berichts über die Aufsichtsprüfung abzurunden. Sie dürfen nicht so formuliert werden, dass sie die im vorliegenden Bericht eindeutig getroffenen Prüfbestätigungen der Revisionsstelle relativieren.</w:t>
      </w:r>
      <w:r>
        <w:rPr>
          <w:rFonts w:ascii="Arial" w:hAnsi="Arial" w:cs="Arial"/>
          <w:i/>
          <w:sz w:val="20"/>
          <w:szCs w:val="20"/>
        </w:rPr>
        <w:t xml:space="preserve"> </w:t>
      </w:r>
    </w:p>
    <w:p w14:paraId="10C7188E" w14:textId="77777777" w:rsidR="00543DCA" w:rsidRDefault="00543DCA" w:rsidP="009464E8">
      <w:pPr>
        <w:jc w:val="both"/>
        <w:rPr>
          <w:rFonts w:ascii="Arial" w:hAnsi="Arial" w:cs="Arial"/>
          <w:i/>
          <w:sz w:val="20"/>
          <w:szCs w:val="20"/>
        </w:rPr>
      </w:pPr>
    </w:p>
    <w:p w14:paraId="12D5BCEF" w14:textId="77777777" w:rsidR="002D19EC" w:rsidRDefault="002D19EC" w:rsidP="00CB3EE6">
      <w:pPr>
        <w:pStyle w:val="Listenabsatz"/>
        <w:ind w:left="360"/>
        <w:jc w:val="both"/>
      </w:pPr>
    </w:p>
    <w:p w14:paraId="2CBDEB20" w14:textId="77777777" w:rsidR="001469E9" w:rsidRDefault="001469E9" w:rsidP="006F7AB5">
      <w:pPr>
        <w:pStyle w:val="FINMAGliederungEbene1"/>
      </w:pPr>
      <w:bookmarkStart w:id="90" w:name="_Toc147849939"/>
      <w:r>
        <w:t>Unterschrift / Bestätigung der Revisionsstelle</w:t>
      </w:r>
      <w:bookmarkEnd w:id="90"/>
    </w:p>
    <w:p w14:paraId="0CF1FD59" w14:textId="77777777" w:rsidR="001469E9" w:rsidRDefault="001469E9" w:rsidP="001469E9">
      <w:pPr>
        <w:jc w:val="both"/>
      </w:pPr>
    </w:p>
    <w:p w14:paraId="3A910730" w14:textId="2E83BD5C" w:rsidR="001469E9" w:rsidRPr="009464E8" w:rsidRDefault="001469E9" w:rsidP="001469E9">
      <w:pPr>
        <w:jc w:val="both"/>
        <w:rPr>
          <w:rFonts w:ascii="Arial" w:hAnsi="Arial" w:cs="Arial"/>
          <w:i/>
          <w:sz w:val="20"/>
          <w:szCs w:val="20"/>
        </w:rPr>
      </w:pPr>
      <w:r w:rsidRPr="009464E8">
        <w:rPr>
          <w:rFonts w:ascii="Arial" w:hAnsi="Arial" w:cs="Arial"/>
          <w:i/>
          <w:sz w:val="20"/>
          <w:szCs w:val="20"/>
          <w:highlight w:val="lightGray"/>
        </w:rPr>
        <w:t xml:space="preserve">Der Bericht über die Aufsichtsprüfung </w:t>
      </w:r>
      <w:r w:rsidR="00A04645" w:rsidRPr="009464E8">
        <w:rPr>
          <w:rFonts w:ascii="Arial" w:hAnsi="Arial" w:cs="Arial"/>
          <w:i/>
          <w:sz w:val="20"/>
          <w:szCs w:val="20"/>
          <w:highlight w:val="lightGray"/>
        </w:rPr>
        <w:t xml:space="preserve">von </w:t>
      </w:r>
      <w:r w:rsidR="006179DA" w:rsidRPr="00BF6946">
        <w:rPr>
          <w:rFonts w:ascii="Arial" w:hAnsi="Arial" w:cs="Arial"/>
          <w:i/>
          <w:sz w:val="20"/>
          <w:szCs w:val="20"/>
          <w:highlight w:val="lightGray"/>
        </w:rPr>
        <w:t>Bank/Wertpapierfirma bzw. der Gruppe</w:t>
      </w:r>
      <w:r w:rsidR="006179DA" w:rsidRPr="009464E8" w:rsidDel="006179DA">
        <w:rPr>
          <w:rFonts w:ascii="Arial" w:hAnsi="Arial" w:cs="Arial"/>
          <w:i/>
          <w:sz w:val="20"/>
          <w:szCs w:val="20"/>
          <w:highlight w:val="lightGray"/>
        </w:rPr>
        <w:t xml:space="preserve"> </w:t>
      </w:r>
      <w:r w:rsidR="00ED6CC2">
        <w:rPr>
          <w:rFonts w:ascii="Arial" w:hAnsi="Arial" w:cs="Arial"/>
          <w:i/>
          <w:sz w:val="20"/>
          <w:szCs w:val="20"/>
          <w:highlight w:val="lightGray"/>
        </w:rPr>
        <w:t>ist</w:t>
      </w:r>
      <w:r w:rsidR="00ED6CC2" w:rsidRPr="009464E8">
        <w:rPr>
          <w:rFonts w:ascii="Arial" w:hAnsi="Arial" w:cs="Arial"/>
          <w:i/>
          <w:sz w:val="20"/>
          <w:szCs w:val="20"/>
          <w:highlight w:val="lightGray"/>
        </w:rPr>
        <w:t xml:space="preserve"> </w:t>
      </w:r>
      <w:r w:rsidR="00A04645" w:rsidRPr="009464E8">
        <w:rPr>
          <w:rFonts w:ascii="Arial" w:hAnsi="Arial" w:cs="Arial"/>
          <w:i/>
          <w:sz w:val="20"/>
          <w:szCs w:val="20"/>
          <w:highlight w:val="lightGray"/>
        </w:rPr>
        <w:t xml:space="preserve">vom leitenden Revisor sowie einer weiteren Person mit Zeichnungsberechtigung </w:t>
      </w:r>
      <w:r w:rsidR="009464E8" w:rsidRPr="009464E8">
        <w:rPr>
          <w:rFonts w:ascii="Arial" w:hAnsi="Arial" w:cs="Arial"/>
          <w:i/>
          <w:sz w:val="20"/>
          <w:szCs w:val="20"/>
          <w:highlight w:val="lightGray"/>
        </w:rPr>
        <w:t>zu unterzeichnen.</w:t>
      </w:r>
      <w:r w:rsidR="009464E8" w:rsidRPr="009464E8">
        <w:rPr>
          <w:rFonts w:ascii="Arial" w:hAnsi="Arial" w:cs="Arial"/>
          <w:i/>
          <w:sz w:val="20"/>
          <w:szCs w:val="20"/>
        </w:rPr>
        <w:t xml:space="preserve"> </w:t>
      </w:r>
    </w:p>
    <w:p w14:paraId="68CD9DB1" w14:textId="77777777" w:rsidR="001469E9" w:rsidRDefault="001469E9" w:rsidP="001469E9">
      <w:pPr>
        <w:jc w:val="both"/>
      </w:pPr>
    </w:p>
    <w:p w14:paraId="332786AA" w14:textId="77777777" w:rsidR="001469E9" w:rsidRDefault="001469E9" w:rsidP="006F7AB5">
      <w:pPr>
        <w:pStyle w:val="FINMAGliederungEbene1"/>
      </w:pPr>
      <w:bookmarkStart w:id="91" w:name="_Toc147849940"/>
      <w:r>
        <w:t>Anhang</w:t>
      </w:r>
      <w:bookmarkEnd w:id="91"/>
    </w:p>
    <w:p w14:paraId="0E65E8CD" w14:textId="77777777" w:rsidR="001469E9" w:rsidRDefault="001469E9" w:rsidP="001469E9">
      <w:pPr>
        <w:pStyle w:val="Listenabsatz"/>
        <w:ind w:left="360"/>
        <w:jc w:val="both"/>
      </w:pPr>
    </w:p>
    <w:p w14:paraId="76A0A70F" w14:textId="77777777" w:rsidR="007A36D2" w:rsidRDefault="005316F9" w:rsidP="000D36E0">
      <w:pPr>
        <w:jc w:val="both"/>
        <w:rPr>
          <w:rFonts w:ascii="Arial" w:hAnsi="Arial" w:cs="Arial"/>
          <w:i/>
          <w:sz w:val="20"/>
          <w:szCs w:val="20"/>
          <w:highlight w:val="lightGray"/>
        </w:rPr>
      </w:pPr>
      <w:r>
        <w:rPr>
          <w:rFonts w:ascii="Arial" w:hAnsi="Arial" w:cs="Arial"/>
          <w:i/>
          <w:sz w:val="20"/>
          <w:szCs w:val="20"/>
          <w:highlight w:val="lightGray"/>
        </w:rPr>
        <w:t>Folgende Unterlagen sind mit dem Bericht über die Aufsichtsprüfung einzureichen:</w:t>
      </w:r>
    </w:p>
    <w:p w14:paraId="0C35D932" w14:textId="77777777" w:rsidR="005316F9" w:rsidRDefault="005316F9" w:rsidP="000D36E0">
      <w:pPr>
        <w:jc w:val="both"/>
        <w:rPr>
          <w:rFonts w:ascii="Arial" w:hAnsi="Arial" w:cs="Arial"/>
          <w:i/>
          <w:sz w:val="20"/>
          <w:szCs w:val="20"/>
          <w:highlight w:val="lightGray"/>
        </w:rPr>
      </w:pPr>
    </w:p>
    <w:p w14:paraId="08DA18A0" w14:textId="77777777" w:rsidR="005316F9" w:rsidRPr="00CB3EE6" w:rsidRDefault="005316F9" w:rsidP="005316F9">
      <w:pPr>
        <w:pStyle w:val="Listenabsatz"/>
        <w:numPr>
          <w:ilvl w:val="0"/>
          <w:numId w:val="19"/>
        </w:numPr>
        <w:jc w:val="both"/>
        <w:rPr>
          <w:rFonts w:cs="Arial"/>
          <w:szCs w:val="20"/>
          <w:highlight w:val="lightGray"/>
        </w:rPr>
      </w:pPr>
      <w:r w:rsidRPr="00CB3EE6">
        <w:rPr>
          <w:rFonts w:cs="Arial"/>
          <w:szCs w:val="20"/>
          <w:highlight w:val="lightGray"/>
        </w:rPr>
        <w:t>Formular Risikoanalyse / Prüfstrategie; falls Abweichungen zu an die FMA eingereichte</w:t>
      </w:r>
      <w:r w:rsidR="0028626E" w:rsidRPr="00CB3EE6">
        <w:rPr>
          <w:rFonts w:cs="Arial"/>
          <w:szCs w:val="20"/>
          <w:highlight w:val="lightGray"/>
        </w:rPr>
        <w:t>n</w:t>
      </w:r>
      <w:r w:rsidRPr="00CB3EE6">
        <w:rPr>
          <w:rFonts w:cs="Arial"/>
          <w:szCs w:val="20"/>
          <w:highlight w:val="lightGray"/>
        </w:rPr>
        <w:t xml:space="preserve"> Version</w:t>
      </w:r>
      <w:r w:rsidR="0028626E" w:rsidRPr="00CB3EE6">
        <w:rPr>
          <w:rFonts w:cs="Arial"/>
          <w:szCs w:val="20"/>
          <w:highlight w:val="lightGray"/>
        </w:rPr>
        <w:t>en</w:t>
      </w:r>
      <w:r w:rsidRPr="00CB3EE6">
        <w:rPr>
          <w:rFonts w:cs="Arial"/>
          <w:szCs w:val="20"/>
          <w:highlight w:val="lightGray"/>
        </w:rPr>
        <w:t xml:space="preserve"> bestehen</w:t>
      </w:r>
    </w:p>
    <w:p w14:paraId="4A4A1D66" w14:textId="77777777"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Aktuelle Organigramme (im Minimum mit Angabe der verantwortlichen Personen pro Geschäftsbereich bzw. Abteilung)</w:t>
      </w:r>
    </w:p>
    <w:p w14:paraId="1856AD78" w14:textId="77777777" w:rsidR="0028626E" w:rsidRPr="00CB3EE6" w:rsidRDefault="0028626E" w:rsidP="005316F9">
      <w:pPr>
        <w:pStyle w:val="Listenabsatz"/>
        <w:numPr>
          <w:ilvl w:val="0"/>
          <w:numId w:val="19"/>
        </w:numPr>
        <w:jc w:val="both"/>
        <w:rPr>
          <w:rFonts w:cs="Arial"/>
          <w:szCs w:val="20"/>
          <w:highlight w:val="lightGray"/>
        </w:rPr>
      </w:pPr>
      <w:r w:rsidRPr="00CB3EE6">
        <w:rPr>
          <w:rFonts w:cs="Arial"/>
          <w:szCs w:val="20"/>
          <w:highlight w:val="lightGray"/>
        </w:rPr>
        <w:t>Grafische Darstellung der Gruppenstruktur inkl. Beteiligungsverhältnisse</w:t>
      </w:r>
    </w:p>
    <w:p w14:paraId="50917267" w14:textId="77777777" w:rsidR="004C7DB3" w:rsidRPr="005316F9" w:rsidRDefault="004C7DB3" w:rsidP="0018175F">
      <w:pPr>
        <w:pStyle w:val="Listenabsatz"/>
        <w:jc w:val="both"/>
        <w:rPr>
          <w:rFonts w:cs="Arial"/>
          <w:i/>
          <w:szCs w:val="20"/>
          <w:highlight w:val="lightGray"/>
        </w:rPr>
      </w:pPr>
    </w:p>
    <w:p w14:paraId="76DEC10A" w14:textId="77777777" w:rsidR="007A36D2" w:rsidRPr="00515AB5" w:rsidRDefault="007A36D2" w:rsidP="000D36E0">
      <w:pPr>
        <w:jc w:val="both"/>
        <w:rPr>
          <w:rFonts w:ascii="Arial" w:hAnsi="Arial" w:cs="Arial"/>
          <w:i/>
          <w:sz w:val="20"/>
          <w:szCs w:val="20"/>
          <w:highlight w:val="lightGray"/>
        </w:rPr>
      </w:pPr>
    </w:p>
    <w:sectPr w:rsidR="007A36D2" w:rsidRPr="00515AB5" w:rsidSect="008D629D">
      <w:headerReference w:type="first" r:id="rId16"/>
      <w:footerReference w:type="first" r:id="rId17"/>
      <w:pgSz w:w="11906" w:h="16838" w:code="9"/>
      <w:pgMar w:top="2892" w:right="1191" w:bottom="1418" w:left="1191" w:header="851" w:footer="454"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49F62" w14:textId="77777777" w:rsidR="001D61FF" w:rsidRDefault="001D61FF">
      <w:r>
        <w:separator/>
      </w:r>
    </w:p>
  </w:endnote>
  <w:endnote w:type="continuationSeparator" w:id="0">
    <w:p w14:paraId="6C231F82" w14:textId="77777777" w:rsidR="001D61FF" w:rsidRDefault="001D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E7B" w14:textId="77777777" w:rsidR="001D61FF" w:rsidRDefault="001D61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15B591F0" w14:textId="77777777" w:rsidR="001D61FF" w:rsidRDefault="001D61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7473" w14:textId="77777777" w:rsidR="001D61FF" w:rsidRPr="000864B2" w:rsidRDefault="001D61FF" w:rsidP="008D629D">
    <w:pPr>
      <w:spacing w:line="193" w:lineRule="atLeast"/>
      <w:rPr>
        <w:color w:val="666666"/>
        <w:sz w:val="16"/>
      </w:rPr>
    </w:pPr>
  </w:p>
  <w:p w14:paraId="6CEF623A" w14:textId="41A68B29" w:rsidR="001D61FF" w:rsidRDefault="001D61FF" w:rsidP="008D629D">
    <w:pPr>
      <w:pStyle w:val="Fusszeile"/>
    </w:pPr>
    <w:r>
      <w:tab/>
    </w:r>
    <w:r>
      <w:tab/>
    </w:r>
    <w:r>
      <w:fldChar w:fldCharType="begin"/>
    </w:r>
    <w:r>
      <w:instrText xml:space="preserve"> PAGE </w:instrText>
    </w:r>
    <w:r>
      <w:fldChar w:fldCharType="separate"/>
    </w:r>
    <w:r>
      <w:rPr>
        <w:noProof/>
      </w:rPr>
      <w:t>11</w:t>
    </w:r>
    <w:r>
      <w:fldChar w:fldCharType="end"/>
    </w:r>
    <w:r>
      <w:t xml:space="preserve"> / </w:t>
    </w:r>
    <w:r>
      <w:fldChar w:fldCharType="begin"/>
    </w:r>
    <w:r>
      <w:instrText xml:space="preserve"> NUMPAGES </w:instrText>
    </w:r>
    <w:r>
      <w:fldChar w:fldCharType="separate"/>
    </w:r>
    <w:r>
      <w:rPr>
        <w:noProof/>
      </w:rPr>
      <w:t>100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450F" w14:textId="77777777" w:rsidR="001D61FF" w:rsidRPr="000864B2" w:rsidRDefault="001D61FF" w:rsidP="000E5A8C">
    <w:pPr>
      <w:spacing w:line="193" w:lineRule="atLeast"/>
      <w:rPr>
        <w:color w:val="666666"/>
        <w:sz w:val="16"/>
      </w:rPr>
    </w:pPr>
  </w:p>
  <w:p w14:paraId="31843EF8" w14:textId="410085A9" w:rsidR="001D61FF" w:rsidRDefault="001D61FF" w:rsidP="000E5A8C">
    <w:pPr>
      <w:pStyle w:val="Fusszeile"/>
    </w:pPr>
    <w:r>
      <w:tab/>
    </w:r>
    <w:r>
      <w:tab/>
    </w:r>
    <w:r>
      <w:fldChar w:fldCharType="begin"/>
    </w:r>
    <w:r>
      <w:instrText xml:space="preserve"> PAGE </w:instrText>
    </w:r>
    <w:r>
      <w:fldChar w:fldCharType="separate"/>
    </w:r>
    <w:r>
      <w:rPr>
        <w:noProof/>
      </w:rPr>
      <w:t>2</w:t>
    </w:r>
    <w:r>
      <w:fldChar w:fldCharType="end"/>
    </w:r>
    <w:r>
      <w:t xml:space="preserve"> / </w:t>
    </w:r>
    <w:r>
      <w:fldChar w:fldCharType="begin"/>
    </w:r>
    <w:r>
      <w:instrText xml:space="preserve"> NUMPAGES </w:instrText>
    </w:r>
    <w:r>
      <w:fldChar w:fldCharType="separate"/>
    </w:r>
    <w:r>
      <w:rPr>
        <w:noProof/>
      </w:rPr>
      <w:t>95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4095F" w14:textId="77777777" w:rsidR="001D61FF" w:rsidRDefault="001D61FF">
      <w:r>
        <w:separator/>
      </w:r>
    </w:p>
  </w:footnote>
  <w:footnote w:type="continuationSeparator" w:id="0">
    <w:p w14:paraId="792DA7DB" w14:textId="77777777" w:rsidR="001D61FF" w:rsidRDefault="001D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669CB" w14:textId="77777777" w:rsidR="001D61FF" w:rsidRDefault="001D61F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297</w:t>
    </w:r>
    <w:r>
      <w:rPr>
        <w:rStyle w:val="Seitenzahl"/>
      </w:rPr>
      <w:fldChar w:fldCharType="end"/>
    </w:r>
  </w:p>
  <w:p w14:paraId="53154C03" w14:textId="77777777" w:rsidR="001D61FF" w:rsidRDefault="001D61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3742" w14:textId="77777777" w:rsidR="001D61FF" w:rsidRDefault="001D61FF" w:rsidP="008D629D">
    <w:pPr>
      <w:pStyle w:val="Kopfzeile"/>
      <w:tabs>
        <w:tab w:val="clear" w:pos="9072"/>
        <w:tab w:val="right" w:pos="949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809E" w14:textId="77777777" w:rsidR="001D61FF" w:rsidRDefault="001D61FF">
    <w:pPr>
      <w:pStyle w:val="Kopfzeile"/>
    </w:pPr>
    <w:r>
      <w:rPr>
        <w:noProof/>
        <w:lang w:eastAsia="de-CH"/>
      </w:rPr>
      <w:drawing>
        <wp:anchor distT="0" distB="0" distL="114300" distR="114300" simplePos="0" relativeHeight="251657216" behindDoc="1" locked="0" layoutInCell="1" allowOverlap="1" wp14:anchorId="5E56C0E6" wp14:editId="41331D28">
          <wp:simplePos x="0" y="0"/>
          <wp:positionH relativeFrom="column">
            <wp:posOffset>1916430</wp:posOffset>
          </wp:positionH>
          <wp:positionV relativeFrom="paragraph">
            <wp:posOffset>-32385</wp:posOffset>
          </wp:positionV>
          <wp:extent cx="1955800" cy="901700"/>
          <wp:effectExtent l="0" t="0" r="6350" b="0"/>
          <wp:wrapTight wrapText="bothSides">
            <wp:wrapPolygon edited="0">
              <wp:start x="5681" y="0"/>
              <wp:lineTo x="0" y="456"/>
              <wp:lineTo x="0" y="3651"/>
              <wp:lineTo x="5891" y="7301"/>
              <wp:lineTo x="3156" y="15972"/>
              <wp:lineTo x="3366" y="17797"/>
              <wp:lineTo x="5681" y="20992"/>
              <wp:lineTo x="15779" y="20992"/>
              <wp:lineTo x="18304" y="17341"/>
              <wp:lineTo x="18094" y="14603"/>
              <wp:lineTo x="14938" y="14603"/>
              <wp:lineTo x="15779" y="9583"/>
              <wp:lineTo x="15148" y="7301"/>
              <wp:lineTo x="21460" y="3651"/>
              <wp:lineTo x="21460" y="456"/>
              <wp:lineTo x="15779" y="0"/>
              <wp:lineTo x="5681" y="0"/>
            </wp:wrapPolygon>
          </wp:wrapTight>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1E359" w14:textId="77777777" w:rsidR="001D61FF" w:rsidRDefault="001D61FF" w:rsidP="00D82DD9">
    <w:pPr>
      <w:pStyle w:val="Kopfzeile"/>
    </w:pPr>
  </w:p>
  <w:p w14:paraId="1CAB9EC8" w14:textId="77777777" w:rsidR="001D61FF" w:rsidRDefault="001D61FF" w:rsidP="00D82DD9">
    <w:pPr>
      <w:pStyle w:val="Kopfzeile"/>
    </w:pPr>
  </w:p>
  <w:p w14:paraId="7EF72323" w14:textId="77777777" w:rsidR="001D61FF" w:rsidRDefault="001D61FF" w:rsidP="00D82DD9">
    <w:pPr>
      <w:pStyle w:val="Kopfzeile"/>
    </w:pPr>
  </w:p>
  <w:p w14:paraId="6A0BF6AA" w14:textId="77777777" w:rsidR="001D61FF" w:rsidRDefault="001D61FF" w:rsidP="00D82DD9">
    <w:pPr>
      <w:pStyle w:val="Kopfzeile"/>
    </w:pPr>
  </w:p>
  <w:p w14:paraId="6802C8D3" w14:textId="77777777" w:rsidR="001D61FF" w:rsidRDefault="001D61FF" w:rsidP="00D82DD9">
    <w:pPr>
      <w:pStyle w:val="Kopfzeile"/>
    </w:pPr>
  </w:p>
  <w:p w14:paraId="4DDF242A" w14:textId="77777777" w:rsidR="001D61FF" w:rsidRDefault="001D61FF" w:rsidP="00D82DD9">
    <w:pPr>
      <w:pStyle w:val="Kopfzeile"/>
    </w:pPr>
  </w:p>
  <w:p w14:paraId="047B2D1D" w14:textId="77777777" w:rsidR="001D61FF" w:rsidRDefault="001D61FF" w:rsidP="00D82DD9">
    <w:pPr>
      <w:pStyle w:val="Kopfzeile"/>
    </w:pPr>
  </w:p>
  <w:p w14:paraId="047E5A73" w14:textId="77777777" w:rsidR="001D61FF" w:rsidRDefault="001D61FF" w:rsidP="00D82DD9">
    <w:pPr>
      <w:pStyle w:val="Kopfzeile"/>
    </w:pPr>
  </w:p>
  <w:p w14:paraId="7E60A7FE" w14:textId="77777777" w:rsidR="001D61FF" w:rsidRDefault="001D61FF" w:rsidP="00D82DD9">
    <w:pPr>
      <w:pStyle w:val="Kopfzeile"/>
    </w:pPr>
  </w:p>
  <w:p w14:paraId="5D19C0A5" w14:textId="77777777" w:rsidR="001D61FF" w:rsidRDefault="001D61FF" w:rsidP="00D82DD9">
    <w:pPr>
      <w:pStyle w:val="Kopfzeile"/>
    </w:pPr>
  </w:p>
  <w:p w14:paraId="40006012" w14:textId="77777777" w:rsidR="001D61FF" w:rsidRDefault="001D61FF" w:rsidP="00D82DD9">
    <w:pPr>
      <w:pStyle w:val="Kopfzeile"/>
    </w:pPr>
  </w:p>
  <w:p w14:paraId="69725C1E" w14:textId="77777777" w:rsidR="001D61FF" w:rsidRDefault="001D61FF" w:rsidP="00D82DD9">
    <w:pPr>
      <w:pStyle w:val="Kopfzeile"/>
    </w:pPr>
  </w:p>
  <w:p w14:paraId="6344D2F9" w14:textId="77777777" w:rsidR="001D61FF" w:rsidRDefault="001D61FF" w:rsidP="00D82DD9">
    <w:pPr>
      <w:pStyle w:val="Kopfzeile"/>
    </w:pPr>
  </w:p>
  <w:p w14:paraId="625E7FC2" w14:textId="77777777" w:rsidR="001D61FF" w:rsidRDefault="001D61FF" w:rsidP="00D82DD9">
    <w:pPr>
      <w:pStyle w:val="Kopfzeile"/>
    </w:pPr>
  </w:p>
  <w:p w14:paraId="5E58257E" w14:textId="77777777" w:rsidR="001D61FF" w:rsidRDefault="001D61FF" w:rsidP="00D82DD9">
    <w:pPr>
      <w:pStyle w:val="Kopfzeile"/>
    </w:pPr>
    <w:r>
      <w:rPr>
        <w:noProof/>
        <w:lang w:eastAsia="de-CH"/>
      </w:rPr>
      <w:drawing>
        <wp:anchor distT="0" distB="0" distL="114300" distR="114300" simplePos="0" relativeHeight="251658240" behindDoc="0" locked="0" layoutInCell="1" allowOverlap="1" wp14:anchorId="60F26D0F" wp14:editId="4F4EB702">
          <wp:simplePos x="0" y="0"/>
          <wp:positionH relativeFrom="column">
            <wp:posOffset>-911225</wp:posOffset>
          </wp:positionH>
          <wp:positionV relativeFrom="paragraph">
            <wp:posOffset>168910</wp:posOffset>
          </wp:positionV>
          <wp:extent cx="7602855" cy="1869440"/>
          <wp:effectExtent l="0" t="0" r="0" b="0"/>
          <wp:wrapNone/>
          <wp:docPr id="2" name="Bild 6" descr="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2855" cy="186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341D0" w14:textId="77777777" w:rsidR="001D61FF" w:rsidRDefault="001D61FF" w:rsidP="00D82D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C47" w14:textId="77777777" w:rsidR="001D61FF" w:rsidRDefault="001D61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C2687E"/>
    <w:lvl w:ilvl="0">
      <w:start w:val="1"/>
      <w:numFmt w:val="bullet"/>
      <w:pStyle w:val="Aufzhlungszeichen"/>
      <w:lvlText w:val="-"/>
      <w:lvlJc w:val="left"/>
      <w:pPr>
        <w:tabs>
          <w:tab w:val="num" w:pos="284"/>
        </w:tabs>
        <w:ind w:left="284" w:hanging="284"/>
      </w:pPr>
      <w:rPr>
        <w:rFonts w:ascii="Arial" w:hAnsi="Arial" w:hint="default"/>
      </w:rPr>
    </w:lvl>
  </w:abstractNum>
  <w:abstractNum w:abstractNumId="1" w15:restartNumberingAfterBreak="0">
    <w:nsid w:val="08BA09AC"/>
    <w:multiLevelType w:val="hybridMultilevel"/>
    <w:tmpl w:val="63D6749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3" w15:restartNumberingAfterBreak="0">
    <w:nsid w:val="0CD15E23"/>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3826A9"/>
    <w:multiLevelType w:val="hybridMultilevel"/>
    <w:tmpl w:val="CBFE5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1A603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C6328"/>
    <w:multiLevelType w:val="hybridMultilevel"/>
    <w:tmpl w:val="6E4E2520"/>
    <w:lvl w:ilvl="0" w:tplc="9BD25E6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F63FD9"/>
    <w:multiLevelType w:val="hybridMultilevel"/>
    <w:tmpl w:val="63424D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B7C1BB0"/>
    <w:multiLevelType w:val="hybridMultilevel"/>
    <w:tmpl w:val="DE68C8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B3453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32F25"/>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F2E71C7"/>
    <w:multiLevelType w:val="hybridMultilevel"/>
    <w:tmpl w:val="5B2C1E82"/>
    <w:lvl w:ilvl="0" w:tplc="08070003">
      <w:start w:val="1"/>
      <w:numFmt w:val="bullet"/>
      <w:lvlText w:val="o"/>
      <w:lvlJc w:val="left"/>
      <w:pPr>
        <w:ind w:left="754" w:hanging="360"/>
      </w:pPr>
      <w:rPr>
        <w:rFonts w:ascii="Courier New" w:hAnsi="Courier New" w:cs="Courier New"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12" w15:restartNumberingAfterBreak="0">
    <w:nsid w:val="20755C2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091258"/>
    <w:multiLevelType w:val="multilevel"/>
    <w:tmpl w:val="69B84B26"/>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lang w:val="x-none" w:eastAsia="x-none" w:bidi="x-none"/>
        <w:specVanish w:val="0"/>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6A2815"/>
    <w:multiLevelType w:val="hybridMultilevel"/>
    <w:tmpl w:val="9460BB5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4D70B1D"/>
    <w:multiLevelType w:val="hybridMultilevel"/>
    <w:tmpl w:val="1A5C7B74"/>
    <w:lvl w:ilvl="0" w:tplc="73ACFE7A">
      <w:start w:val="1"/>
      <w:numFmt w:val="decimal"/>
      <w:pStyle w:val="Formatvorlageberschrift3TimesNewRoman13ptFettNichtKursivZ"/>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2A250150"/>
    <w:multiLevelType w:val="hybridMultilevel"/>
    <w:tmpl w:val="78B6812A"/>
    <w:lvl w:ilvl="0" w:tplc="0E5C1B8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A874364"/>
    <w:multiLevelType w:val="hybridMultilevel"/>
    <w:tmpl w:val="06D80E0E"/>
    <w:lvl w:ilvl="0" w:tplc="EC18E1F6">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D0B39FF"/>
    <w:multiLevelType w:val="hybridMultilevel"/>
    <w:tmpl w:val="53C63E54"/>
    <w:lvl w:ilvl="0" w:tplc="0EF880BC">
      <w:numFmt w:val="bullet"/>
      <w:lvlText w:val="-"/>
      <w:lvlJc w:val="left"/>
      <w:pPr>
        <w:ind w:left="720" w:hanging="360"/>
      </w:pPr>
      <w:rPr>
        <w:rFonts w:ascii="Calibri" w:eastAsia="Times New Roman" w:hAnsi="Calibri" w:cs="Times New Roman"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31067A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59087A"/>
    <w:multiLevelType w:val="hybridMultilevel"/>
    <w:tmpl w:val="A19A1E22"/>
    <w:lvl w:ilvl="0" w:tplc="08070017">
      <w:start w:val="1"/>
      <w:numFmt w:val="lowerLetter"/>
      <w:lvlText w:val="%1)"/>
      <w:lvlJc w:val="left"/>
      <w:pPr>
        <w:ind w:left="1128" w:hanging="360"/>
      </w:pPr>
      <w:rPr>
        <w:sz w:val="20"/>
      </w:rPr>
    </w:lvl>
    <w:lvl w:ilvl="1" w:tplc="08070003">
      <w:start w:val="1"/>
      <w:numFmt w:val="bullet"/>
      <w:lvlText w:val="o"/>
      <w:lvlJc w:val="left"/>
      <w:pPr>
        <w:ind w:left="1848" w:hanging="360"/>
      </w:pPr>
      <w:rPr>
        <w:rFonts w:ascii="Courier New" w:hAnsi="Courier New" w:cs="Courier New" w:hint="default"/>
      </w:rPr>
    </w:lvl>
    <w:lvl w:ilvl="2" w:tplc="08070005">
      <w:start w:val="1"/>
      <w:numFmt w:val="bullet"/>
      <w:lvlText w:val=""/>
      <w:lvlJc w:val="left"/>
      <w:pPr>
        <w:ind w:left="2568" w:hanging="360"/>
      </w:pPr>
      <w:rPr>
        <w:rFonts w:ascii="Wingdings" w:hAnsi="Wingdings" w:hint="default"/>
      </w:rPr>
    </w:lvl>
    <w:lvl w:ilvl="3" w:tplc="08070001">
      <w:start w:val="1"/>
      <w:numFmt w:val="bullet"/>
      <w:lvlText w:val=""/>
      <w:lvlJc w:val="left"/>
      <w:pPr>
        <w:ind w:left="3288" w:hanging="360"/>
      </w:pPr>
      <w:rPr>
        <w:rFonts w:ascii="Symbol" w:hAnsi="Symbol" w:hint="default"/>
      </w:rPr>
    </w:lvl>
    <w:lvl w:ilvl="4" w:tplc="08070003">
      <w:start w:val="1"/>
      <w:numFmt w:val="bullet"/>
      <w:lvlText w:val="o"/>
      <w:lvlJc w:val="left"/>
      <w:pPr>
        <w:ind w:left="4008" w:hanging="360"/>
      </w:pPr>
      <w:rPr>
        <w:rFonts w:ascii="Courier New" w:hAnsi="Courier New" w:cs="Courier New" w:hint="default"/>
      </w:rPr>
    </w:lvl>
    <w:lvl w:ilvl="5" w:tplc="08070005">
      <w:start w:val="1"/>
      <w:numFmt w:val="bullet"/>
      <w:lvlText w:val=""/>
      <w:lvlJc w:val="left"/>
      <w:pPr>
        <w:ind w:left="4728" w:hanging="360"/>
      </w:pPr>
      <w:rPr>
        <w:rFonts w:ascii="Wingdings" w:hAnsi="Wingdings" w:hint="default"/>
      </w:rPr>
    </w:lvl>
    <w:lvl w:ilvl="6" w:tplc="08070001">
      <w:start w:val="1"/>
      <w:numFmt w:val="bullet"/>
      <w:lvlText w:val=""/>
      <w:lvlJc w:val="left"/>
      <w:pPr>
        <w:ind w:left="5448" w:hanging="360"/>
      </w:pPr>
      <w:rPr>
        <w:rFonts w:ascii="Symbol" w:hAnsi="Symbol" w:hint="default"/>
      </w:rPr>
    </w:lvl>
    <w:lvl w:ilvl="7" w:tplc="08070003">
      <w:start w:val="1"/>
      <w:numFmt w:val="bullet"/>
      <w:lvlText w:val="o"/>
      <w:lvlJc w:val="left"/>
      <w:pPr>
        <w:ind w:left="6168" w:hanging="360"/>
      </w:pPr>
      <w:rPr>
        <w:rFonts w:ascii="Courier New" w:hAnsi="Courier New" w:cs="Courier New" w:hint="default"/>
      </w:rPr>
    </w:lvl>
    <w:lvl w:ilvl="8" w:tplc="08070005">
      <w:start w:val="1"/>
      <w:numFmt w:val="bullet"/>
      <w:lvlText w:val=""/>
      <w:lvlJc w:val="left"/>
      <w:pPr>
        <w:ind w:left="6888" w:hanging="360"/>
      </w:pPr>
      <w:rPr>
        <w:rFonts w:ascii="Wingdings" w:hAnsi="Wingdings" w:hint="default"/>
      </w:rPr>
    </w:lvl>
  </w:abstractNum>
  <w:abstractNum w:abstractNumId="21" w15:restartNumberingAfterBreak="0">
    <w:nsid w:val="38914CD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EB1FCF"/>
    <w:multiLevelType w:val="hybridMultilevel"/>
    <w:tmpl w:val="4ACE12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793164C"/>
    <w:multiLevelType w:val="hybridMultilevel"/>
    <w:tmpl w:val="D7DCB4A2"/>
    <w:lvl w:ilvl="0" w:tplc="08070001">
      <w:start w:val="1"/>
      <w:numFmt w:val="bullet"/>
      <w:lvlText w:val=""/>
      <w:lvlJc w:val="left"/>
      <w:pPr>
        <w:ind w:left="720" w:hanging="360"/>
      </w:pPr>
      <w:rPr>
        <w:rFonts w:ascii="Symbol" w:hAnsi="Symbol" w:hint="default"/>
      </w:rPr>
    </w:lvl>
    <w:lvl w:ilvl="1" w:tplc="18D6092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040844"/>
    <w:multiLevelType w:val="hybridMultilevel"/>
    <w:tmpl w:val="99BA16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D481615"/>
    <w:multiLevelType w:val="hybridMultilevel"/>
    <w:tmpl w:val="A28C58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D824C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321D21"/>
    <w:multiLevelType w:val="hybridMultilevel"/>
    <w:tmpl w:val="347A93C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F3D2C21"/>
    <w:multiLevelType w:val="hybridMultilevel"/>
    <w:tmpl w:val="65AAA33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CD5B90"/>
    <w:multiLevelType w:val="hybridMultilevel"/>
    <w:tmpl w:val="8F76332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1C33676"/>
    <w:multiLevelType w:val="hybridMultilevel"/>
    <w:tmpl w:val="F83015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4270235"/>
    <w:multiLevelType w:val="hybridMultilevel"/>
    <w:tmpl w:val="BC8AA58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674E5690"/>
    <w:multiLevelType w:val="hybridMultilevel"/>
    <w:tmpl w:val="5148C73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9A951D9"/>
    <w:multiLevelType w:val="hybridMultilevel"/>
    <w:tmpl w:val="7088B1D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AD07E7A"/>
    <w:multiLevelType w:val="hybridMultilevel"/>
    <w:tmpl w:val="C21651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85827ED"/>
    <w:multiLevelType w:val="singleLevel"/>
    <w:tmpl w:val="8ADC7C5A"/>
    <w:lvl w:ilvl="0">
      <w:start w:val="1"/>
      <w:numFmt w:val="upperRoman"/>
      <w:pStyle w:val="berschrift5"/>
      <w:lvlText w:val="%1."/>
      <w:lvlJc w:val="left"/>
      <w:pPr>
        <w:tabs>
          <w:tab w:val="num" w:pos="720"/>
        </w:tabs>
        <w:ind w:left="720" w:hanging="720"/>
      </w:pPr>
      <w:rPr>
        <w:rFonts w:hint="default"/>
      </w:rPr>
    </w:lvl>
  </w:abstractNum>
  <w:abstractNum w:abstractNumId="36" w15:restartNumberingAfterBreak="0">
    <w:nsid w:val="7A3400AB"/>
    <w:multiLevelType w:val="hybridMultilevel"/>
    <w:tmpl w:val="3900FF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0"/>
  </w:num>
  <w:num w:numId="4">
    <w:abstractNumId w:val="12"/>
  </w:num>
  <w:num w:numId="5">
    <w:abstractNumId w:val="8"/>
  </w:num>
  <w:num w:numId="6">
    <w:abstractNumId w:val="25"/>
  </w:num>
  <w:num w:numId="7">
    <w:abstractNumId w:val="3"/>
  </w:num>
  <w:num w:numId="8">
    <w:abstractNumId w:val="10"/>
  </w:num>
  <w:num w:numId="9">
    <w:abstractNumId w:val="16"/>
  </w:num>
  <w:num w:numId="10">
    <w:abstractNumId w:val="30"/>
  </w:num>
  <w:num w:numId="11">
    <w:abstractNumId w:val="9"/>
  </w:num>
  <w:num w:numId="12">
    <w:abstractNumId w:val="26"/>
  </w:num>
  <w:num w:numId="13">
    <w:abstractNumId w:val="23"/>
  </w:num>
  <w:num w:numId="14">
    <w:abstractNumId w:val="34"/>
  </w:num>
  <w:num w:numId="15">
    <w:abstractNumId w:val="13"/>
  </w:num>
  <w:num w:numId="16">
    <w:abstractNumId w:val="24"/>
  </w:num>
  <w:num w:numId="17">
    <w:abstractNumId w:val="36"/>
  </w:num>
  <w:num w:numId="18">
    <w:abstractNumId w:val="11"/>
  </w:num>
  <w:num w:numId="19">
    <w:abstractNumId w:val="28"/>
  </w:num>
  <w:num w:numId="20">
    <w:abstractNumId w:val="2"/>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
  </w:num>
  <w:num w:numId="23">
    <w:abstractNumId w:val="20"/>
  </w:num>
  <w:num w:numId="24">
    <w:abstractNumId w:val="31"/>
  </w:num>
  <w:num w:numId="25">
    <w:abstractNumId w:val="22"/>
  </w:num>
  <w:num w:numId="26">
    <w:abstractNumId w:val="6"/>
  </w:num>
  <w:num w:numId="27">
    <w:abstractNumId w:val="1"/>
  </w:num>
  <w:num w:numId="28">
    <w:abstractNumId w:val="27"/>
  </w:num>
  <w:num w:numId="29">
    <w:abstractNumId w:val="17"/>
  </w:num>
  <w:num w:numId="30">
    <w:abstractNumId w:val="33"/>
  </w:num>
  <w:num w:numId="31">
    <w:abstractNumId w:val="14"/>
  </w:num>
  <w:num w:numId="32">
    <w:abstractNumId w:val="32"/>
  </w:num>
  <w:num w:numId="33">
    <w:abstractNumId w:val="29"/>
  </w:num>
  <w:num w:numId="34">
    <w:abstractNumId w:val="19"/>
  </w:num>
  <w:num w:numId="35">
    <w:abstractNumId w:val="21"/>
  </w:num>
  <w:num w:numId="36">
    <w:abstractNumId w:val="4"/>
  </w:num>
  <w:num w:numId="37">
    <w:abstractNumId w:val="5"/>
  </w:num>
  <w:num w:numId="38">
    <w:abstractNumId w:val="18"/>
  </w:num>
  <w:num w:numId="39">
    <w:abstractNumId w:val="36"/>
  </w:num>
  <w:num w:numId="4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CH"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autoHyphenation/>
  <w:hyphenationZone w:val="397"/>
  <w:doNotHyphenateCaps/>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D0"/>
    <w:rsid w:val="00002F69"/>
    <w:rsid w:val="00004C8E"/>
    <w:rsid w:val="00006FB6"/>
    <w:rsid w:val="00014AAF"/>
    <w:rsid w:val="00017946"/>
    <w:rsid w:val="00020CD7"/>
    <w:rsid w:val="00021309"/>
    <w:rsid w:val="00022BDB"/>
    <w:rsid w:val="0003063F"/>
    <w:rsid w:val="00032FE9"/>
    <w:rsid w:val="000362E2"/>
    <w:rsid w:val="00036BD5"/>
    <w:rsid w:val="0004542C"/>
    <w:rsid w:val="000464E3"/>
    <w:rsid w:val="00047F52"/>
    <w:rsid w:val="00051D0D"/>
    <w:rsid w:val="0005430B"/>
    <w:rsid w:val="00055C5A"/>
    <w:rsid w:val="00063CE6"/>
    <w:rsid w:val="00067398"/>
    <w:rsid w:val="00067515"/>
    <w:rsid w:val="00067854"/>
    <w:rsid w:val="00072BE1"/>
    <w:rsid w:val="00073D5A"/>
    <w:rsid w:val="0008336D"/>
    <w:rsid w:val="000846E4"/>
    <w:rsid w:val="000901C6"/>
    <w:rsid w:val="000901CB"/>
    <w:rsid w:val="00093B3E"/>
    <w:rsid w:val="00093EEC"/>
    <w:rsid w:val="00094143"/>
    <w:rsid w:val="00096979"/>
    <w:rsid w:val="0009766E"/>
    <w:rsid w:val="000A19CE"/>
    <w:rsid w:val="000A1CA7"/>
    <w:rsid w:val="000A1EB8"/>
    <w:rsid w:val="000A72EA"/>
    <w:rsid w:val="000B020D"/>
    <w:rsid w:val="000B0FF6"/>
    <w:rsid w:val="000B17A8"/>
    <w:rsid w:val="000B1ED2"/>
    <w:rsid w:val="000B20E4"/>
    <w:rsid w:val="000B2909"/>
    <w:rsid w:val="000B56AB"/>
    <w:rsid w:val="000B69F6"/>
    <w:rsid w:val="000B7DF6"/>
    <w:rsid w:val="000C27E2"/>
    <w:rsid w:val="000C3F1F"/>
    <w:rsid w:val="000C6993"/>
    <w:rsid w:val="000C756C"/>
    <w:rsid w:val="000D081B"/>
    <w:rsid w:val="000D22E2"/>
    <w:rsid w:val="000D36E0"/>
    <w:rsid w:val="000D47B7"/>
    <w:rsid w:val="000E0B73"/>
    <w:rsid w:val="000E105F"/>
    <w:rsid w:val="000E5A8C"/>
    <w:rsid w:val="000F209C"/>
    <w:rsid w:val="000F657D"/>
    <w:rsid w:val="000F7AF4"/>
    <w:rsid w:val="00103265"/>
    <w:rsid w:val="00105562"/>
    <w:rsid w:val="00115C45"/>
    <w:rsid w:val="001178DE"/>
    <w:rsid w:val="00121C6C"/>
    <w:rsid w:val="001241BE"/>
    <w:rsid w:val="001264D7"/>
    <w:rsid w:val="00127590"/>
    <w:rsid w:val="00127F95"/>
    <w:rsid w:val="0013025F"/>
    <w:rsid w:val="00130556"/>
    <w:rsid w:val="00132670"/>
    <w:rsid w:val="00141F6A"/>
    <w:rsid w:val="00142DBB"/>
    <w:rsid w:val="001469E9"/>
    <w:rsid w:val="0015284E"/>
    <w:rsid w:val="00152F81"/>
    <w:rsid w:val="001605C4"/>
    <w:rsid w:val="001629CE"/>
    <w:rsid w:val="00167878"/>
    <w:rsid w:val="001719F0"/>
    <w:rsid w:val="00174C08"/>
    <w:rsid w:val="0018175F"/>
    <w:rsid w:val="00184118"/>
    <w:rsid w:val="001842F3"/>
    <w:rsid w:val="00184A77"/>
    <w:rsid w:val="00187840"/>
    <w:rsid w:val="00193A84"/>
    <w:rsid w:val="00194553"/>
    <w:rsid w:val="001A1A8F"/>
    <w:rsid w:val="001A4932"/>
    <w:rsid w:val="001A52CF"/>
    <w:rsid w:val="001B0DAE"/>
    <w:rsid w:val="001B2B32"/>
    <w:rsid w:val="001B7BDD"/>
    <w:rsid w:val="001C1823"/>
    <w:rsid w:val="001C5CA5"/>
    <w:rsid w:val="001C63B8"/>
    <w:rsid w:val="001D03E4"/>
    <w:rsid w:val="001D1DF0"/>
    <w:rsid w:val="001D3A55"/>
    <w:rsid w:val="001D61FF"/>
    <w:rsid w:val="001E12FA"/>
    <w:rsid w:val="001E314C"/>
    <w:rsid w:val="001E3453"/>
    <w:rsid w:val="001E6C4C"/>
    <w:rsid w:val="001E7F2D"/>
    <w:rsid w:val="001F1858"/>
    <w:rsid w:val="00205653"/>
    <w:rsid w:val="00205681"/>
    <w:rsid w:val="002113BC"/>
    <w:rsid w:val="00222C2B"/>
    <w:rsid w:val="00224FF0"/>
    <w:rsid w:val="00227ADB"/>
    <w:rsid w:val="00227CEA"/>
    <w:rsid w:val="00227F3E"/>
    <w:rsid w:val="002309A6"/>
    <w:rsid w:val="00230FA1"/>
    <w:rsid w:val="0023252E"/>
    <w:rsid w:val="00232727"/>
    <w:rsid w:val="002331D2"/>
    <w:rsid w:val="002342A7"/>
    <w:rsid w:val="002353A1"/>
    <w:rsid w:val="00241213"/>
    <w:rsid w:val="00243B63"/>
    <w:rsid w:val="00246F1E"/>
    <w:rsid w:val="002517F4"/>
    <w:rsid w:val="00254B93"/>
    <w:rsid w:val="00255E86"/>
    <w:rsid w:val="0026076E"/>
    <w:rsid w:val="00260AC7"/>
    <w:rsid w:val="0026350F"/>
    <w:rsid w:val="0026683E"/>
    <w:rsid w:val="00266CC3"/>
    <w:rsid w:val="00270A10"/>
    <w:rsid w:val="00271FDA"/>
    <w:rsid w:val="00274045"/>
    <w:rsid w:val="002746A3"/>
    <w:rsid w:val="00282891"/>
    <w:rsid w:val="002848D4"/>
    <w:rsid w:val="002853EC"/>
    <w:rsid w:val="0028626E"/>
    <w:rsid w:val="00287C4E"/>
    <w:rsid w:val="00290E54"/>
    <w:rsid w:val="0029354E"/>
    <w:rsid w:val="00295664"/>
    <w:rsid w:val="00296DCC"/>
    <w:rsid w:val="002A0999"/>
    <w:rsid w:val="002A45EA"/>
    <w:rsid w:val="002A4B24"/>
    <w:rsid w:val="002A5B2C"/>
    <w:rsid w:val="002A5EB7"/>
    <w:rsid w:val="002B7F63"/>
    <w:rsid w:val="002C17F7"/>
    <w:rsid w:val="002C33A9"/>
    <w:rsid w:val="002C623F"/>
    <w:rsid w:val="002D19EC"/>
    <w:rsid w:val="002D25B5"/>
    <w:rsid w:val="002D2B27"/>
    <w:rsid w:val="002D2DB7"/>
    <w:rsid w:val="002D31A9"/>
    <w:rsid w:val="002D3DED"/>
    <w:rsid w:val="002D4D4E"/>
    <w:rsid w:val="002E2E45"/>
    <w:rsid w:val="002E3094"/>
    <w:rsid w:val="002E4301"/>
    <w:rsid w:val="002E51D3"/>
    <w:rsid w:val="002E5C20"/>
    <w:rsid w:val="002F19E4"/>
    <w:rsid w:val="002F2B78"/>
    <w:rsid w:val="002F3C44"/>
    <w:rsid w:val="00301F5D"/>
    <w:rsid w:val="0030307F"/>
    <w:rsid w:val="0030349B"/>
    <w:rsid w:val="00306BC7"/>
    <w:rsid w:val="00310057"/>
    <w:rsid w:val="00311129"/>
    <w:rsid w:val="00311F8A"/>
    <w:rsid w:val="00313969"/>
    <w:rsid w:val="003221ED"/>
    <w:rsid w:val="0032230B"/>
    <w:rsid w:val="00325C5D"/>
    <w:rsid w:val="00325DD5"/>
    <w:rsid w:val="003269A8"/>
    <w:rsid w:val="00326E88"/>
    <w:rsid w:val="00330C00"/>
    <w:rsid w:val="003322B0"/>
    <w:rsid w:val="003351F3"/>
    <w:rsid w:val="00340842"/>
    <w:rsid w:val="0034112A"/>
    <w:rsid w:val="003422EB"/>
    <w:rsid w:val="00346F70"/>
    <w:rsid w:val="003470D4"/>
    <w:rsid w:val="003479B9"/>
    <w:rsid w:val="00354E9D"/>
    <w:rsid w:val="00363410"/>
    <w:rsid w:val="003639B0"/>
    <w:rsid w:val="00365BF1"/>
    <w:rsid w:val="00365C54"/>
    <w:rsid w:val="00365E5A"/>
    <w:rsid w:val="0036650A"/>
    <w:rsid w:val="003731AA"/>
    <w:rsid w:val="00373A27"/>
    <w:rsid w:val="00373E08"/>
    <w:rsid w:val="00374575"/>
    <w:rsid w:val="003751BE"/>
    <w:rsid w:val="00377A0B"/>
    <w:rsid w:val="00381E36"/>
    <w:rsid w:val="00382558"/>
    <w:rsid w:val="00385EF7"/>
    <w:rsid w:val="003869D8"/>
    <w:rsid w:val="00390FA7"/>
    <w:rsid w:val="00393093"/>
    <w:rsid w:val="00394320"/>
    <w:rsid w:val="00395180"/>
    <w:rsid w:val="003971BD"/>
    <w:rsid w:val="003A2A77"/>
    <w:rsid w:val="003A4F00"/>
    <w:rsid w:val="003A65D2"/>
    <w:rsid w:val="003A6985"/>
    <w:rsid w:val="003B19A8"/>
    <w:rsid w:val="003B2824"/>
    <w:rsid w:val="003B4E60"/>
    <w:rsid w:val="003B59C0"/>
    <w:rsid w:val="003B5EE4"/>
    <w:rsid w:val="003D18A4"/>
    <w:rsid w:val="003D2C33"/>
    <w:rsid w:val="003D3ED8"/>
    <w:rsid w:val="003D6150"/>
    <w:rsid w:val="003E149D"/>
    <w:rsid w:val="003E2995"/>
    <w:rsid w:val="003E47E1"/>
    <w:rsid w:val="003E60B1"/>
    <w:rsid w:val="003F0019"/>
    <w:rsid w:val="003F2BF8"/>
    <w:rsid w:val="00401A5A"/>
    <w:rsid w:val="004040AC"/>
    <w:rsid w:val="00404436"/>
    <w:rsid w:val="00404617"/>
    <w:rsid w:val="00412B9E"/>
    <w:rsid w:val="00413A07"/>
    <w:rsid w:val="00414DC9"/>
    <w:rsid w:val="0041731C"/>
    <w:rsid w:val="00417B23"/>
    <w:rsid w:val="0042389D"/>
    <w:rsid w:val="00433F12"/>
    <w:rsid w:val="00435360"/>
    <w:rsid w:val="00436348"/>
    <w:rsid w:val="00447685"/>
    <w:rsid w:val="00455CC3"/>
    <w:rsid w:val="00457B88"/>
    <w:rsid w:val="004726B7"/>
    <w:rsid w:val="0047398B"/>
    <w:rsid w:val="00475319"/>
    <w:rsid w:val="004805B6"/>
    <w:rsid w:val="0049142B"/>
    <w:rsid w:val="00491EA9"/>
    <w:rsid w:val="00494050"/>
    <w:rsid w:val="00494350"/>
    <w:rsid w:val="0049484D"/>
    <w:rsid w:val="00496C91"/>
    <w:rsid w:val="00497112"/>
    <w:rsid w:val="00497813"/>
    <w:rsid w:val="004A1D76"/>
    <w:rsid w:val="004A2464"/>
    <w:rsid w:val="004A405F"/>
    <w:rsid w:val="004A550A"/>
    <w:rsid w:val="004A6299"/>
    <w:rsid w:val="004B12AF"/>
    <w:rsid w:val="004B3F53"/>
    <w:rsid w:val="004B6F11"/>
    <w:rsid w:val="004B7B6C"/>
    <w:rsid w:val="004C0037"/>
    <w:rsid w:val="004C0D20"/>
    <w:rsid w:val="004C0F59"/>
    <w:rsid w:val="004C2743"/>
    <w:rsid w:val="004C7DB3"/>
    <w:rsid w:val="004D4B39"/>
    <w:rsid w:val="004D5057"/>
    <w:rsid w:val="004D604F"/>
    <w:rsid w:val="004E120F"/>
    <w:rsid w:val="004E14E7"/>
    <w:rsid w:val="004E2370"/>
    <w:rsid w:val="004E334C"/>
    <w:rsid w:val="004E4AAF"/>
    <w:rsid w:val="004F188A"/>
    <w:rsid w:val="004F1B33"/>
    <w:rsid w:val="004F4D49"/>
    <w:rsid w:val="004F6209"/>
    <w:rsid w:val="004F6D55"/>
    <w:rsid w:val="004F737B"/>
    <w:rsid w:val="004F7B49"/>
    <w:rsid w:val="00500CE2"/>
    <w:rsid w:val="005034FA"/>
    <w:rsid w:val="0050402B"/>
    <w:rsid w:val="0050689F"/>
    <w:rsid w:val="00511890"/>
    <w:rsid w:val="00513323"/>
    <w:rsid w:val="005147EB"/>
    <w:rsid w:val="00515064"/>
    <w:rsid w:val="00515AB5"/>
    <w:rsid w:val="0052155F"/>
    <w:rsid w:val="0052342D"/>
    <w:rsid w:val="00524607"/>
    <w:rsid w:val="005316F9"/>
    <w:rsid w:val="005317BD"/>
    <w:rsid w:val="005334AD"/>
    <w:rsid w:val="00535EE5"/>
    <w:rsid w:val="00542456"/>
    <w:rsid w:val="005434CA"/>
    <w:rsid w:val="00543DCA"/>
    <w:rsid w:val="00546003"/>
    <w:rsid w:val="005477F5"/>
    <w:rsid w:val="005538F9"/>
    <w:rsid w:val="00556DBB"/>
    <w:rsid w:val="005573E0"/>
    <w:rsid w:val="0056593A"/>
    <w:rsid w:val="00581FB2"/>
    <w:rsid w:val="005854EE"/>
    <w:rsid w:val="005905B2"/>
    <w:rsid w:val="00591165"/>
    <w:rsid w:val="005932E9"/>
    <w:rsid w:val="0059338D"/>
    <w:rsid w:val="005A2D8E"/>
    <w:rsid w:val="005A35B1"/>
    <w:rsid w:val="005A7873"/>
    <w:rsid w:val="005B66F8"/>
    <w:rsid w:val="005B7426"/>
    <w:rsid w:val="005C18BB"/>
    <w:rsid w:val="005C5BF3"/>
    <w:rsid w:val="005C640B"/>
    <w:rsid w:val="005D2CDC"/>
    <w:rsid w:val="005D4269"/>
    <w:rsid w:val="005D5049"/>
    <w:rsid w:val="005E18C5"/>
    <w:rsid w:val="005E281B"/>
    <w:rsid w:val="005E4EA3"/>
    <w:rsid w:val="005F51BD"/>
    <w:rsid w:val="005F5358"/>
    <w:rsid w:val="00602B18"/>
    <w:rsid w:val="00603B15"/>
    <w:rsid w:val="0060672A"/>
    <w:rsid w:val="00606745"/>
    <w:rsid w:val="006067FE"/>
    <w:rsid w:val="00606908"/>
    <w:rsid w:val="00610880"/>
    <w:rsid w:val="00611F2C"/>
    <w:rsid w:val="006179DA"/>
    <w:rsid w:val="00621D29"/>
    <w:rsid w:val="00624857"/>
    <w:rsid w:val="00625CFC"/>
    <w:rsid w:val="00630128"/>
    <w:rsid w:val="00630376"/>
    <w:rsid w:val="0063155B"/>
    <w:rsid w:val="00633761"/>
    <w:rsid w:val="00635064"/>
    <w:rsid w:val="00635FFA"/>
    <w:rsid w:val="00636495"/>
    <w:rsid w:val="006453CF"/>
    <w:rsid w:val="00646418"/>
    <w:rsid w:val="00652496"/>
    <w:rsid w:val="006557D7"/>
    <w:rsid w:val="00655B83"/>
    <w:rsid w:val="00662268"/>
    <w:rsid w:val="006634A7"/>
    <w:rsid w:val="00665A4B"/>
    <w:rsid w:val="00666210"/>
    <w:rsid w:val="0066663A"/>
    <w:rsid w:val="00666855"/>
    <w:rsid w:val="0067062C"/>
    <w:rsid w:val="0067106F"/>
    <w:rsid w:val="00671DBD"/>
    <w:rsid w:val="006730AC"/>
    <w:rsid w:val="006749F0"/>
    <w:rsid w:val="006819F9"/>
    <w:rsid w:val="00685D19"/>
    <w:rsid w:val="00694776"/>
    <w:rsid w:val="00694ABC"/>
    <w:rsid w:val="006A2FE6"/>
    <w:rsid w:val="006A378B"/>
    <w:rsid w:val="006A6AAA"/>
    <w:rsid w:val="006A7683"/>
    <w:rsid w:val="006C2ABA"/>
    <w:rsid w:val="006C48BB"/>
    <w:rsid w:val="006C5798"/>
    <w:rsid w:val="006D174B"/>
    <w:rsid w:val="006D37A3"/>
    <w:rsid w:val="006D41E2"/>
    <w:rsid w:val="006E1DCF"/>
    <w:rsid w:val="006E2847"/>
    <w:rsid w:val="006E3DFE"/>
    <w:rsid w:val="006E6F89"/>
    <w:rsid w:val="006F1862"/>
    <w:rsid w:val="006F543F"/>
    <w:rsid w:val="006F7AB5"/>
    <w:rsid w:val="006F7CFC"/>
    <w:rsid w:val="0070270A"/>
    <w:rsid w:val="007029E2"/>
    <w:rsid w:val="00706801"/>
    <w:rsid w:val="00706985"/>
    <w:rsid w:val="00712239"/>
    <w:rsid w:val="0071465F"/>
    <w:rsid w:val="00714FC1"/>
    <w:rsid w:val="0071565C"/>
    <w:rsid w:val="00721507"/>
    <w:rsid w:val="007218CC"/>
    <w:rsid w:val="00726A8A"/>
    <w:rsid w:val="00730181"/>
    <w:rsid w:val="00732BCF"/>
    <w:rsid w:val="0073680F"/>
    <w:rsid w:val="00736AED"/>
    <w:rsid w:val="00743771"/>
    <w:rsid w:val="0074539F"/>
    <w:rsid w:val="007458BE"/>
    <w:rsid w:val="00746BAD"/>
    <w:rsid w:val="00747A7A"/>
    <w:rsid w:val="00751CF7"/>
    <w:rsid w:val="007557A9"/>
    <w:rsid w:val="00757204"/>
    <w:rsid w:val="007645E1"/>
    <w:rsid w:val="00764E6A"/>
    <w:rsid w:val="00766184"/>
    <w:rsid w:val="0076760C"/>
    <w:rsid w:val="00767793"/>
    <w:rsid w:val="007749EF"/>
    <w:rsid w:val="00774C32"/>
    <w:rsid w:val="007755D2"/>
    <w:rsid w:val="007758D5"/>
    <w:rsid w:val="00776C82"/>
    <w:rsid w:val="00777F26"/>
    <w:rsid w:val="00781320"/>
    <w:rsid w:val="00784864"/>
    <w:rsid w:val="007927FE"/>
    <w:rsid w:val="007935F6"/>
    <w:rsid w:val="007A2541"/>
    <w:rsid w:val="007A36D2"/>
    <w:rsid w:val="007A7A35"/>
    <w:rsid w:val="007A7AC7"/>
    <w:rsid w:val="007B1593"/>
    <w:rsid w:val="007C5580"/>
    <w:rsid w:val="007C5C6F"/>
    <w:rsid w:val="007C79C0"/>
    <w:rsid w:val="007D00DF"/>
    <w:rsid w:val="007D341F"/>
    <w:rsid w:val="007D4408"/>
    <w:rsid w:val="007D4A8D"/>
    <w:rsid w:val="007D4EE8"/>
    <w:rsid w:val="007D5D01"/>
    <w:rsid w:val="007D69AB"/>
    <w:rsid w:val="007E0400"/>
    <w:rsid w:val="007E12DD"/>
    <w:rsid w:val="007E5B82"/>
    <w:rsid w:val="007F05E1"/>
    <w:rsid w:val="007F0BB7"/>
    <w:rsid w:val="007F30B0"/>
    <w:rsid w:val="007F7AF5"/>
    <w:rsid w:val="008011F5"/>
    <w:rsid w:val="00801D7B"/>
    <w:rsid w:val="008049D5"/>
    <w:rsid w:val="00804EC6"/>
    <w:rsid w:val="00812236"/>
    <w:rsid w:val="00820F08"/>
    <w:rsid w:val="00823FD2"/>
    <w:rsid w:val="00825587"/>
    <w:rsid w:val="00827ACC"/>
    <w:rsid w:val="00827C26"/>
    <w:rsid w:val="008321CB"/>
    <w:rsid w:val="00833936"/>
    <w:rsid w:val="00836F15"/>
    <w:rsid w:val="00840200"/>
    <w:rsid w:val="0084034D"/>
    <w:rsid w:val="0084047C"/>
    <w:rsid w:val="008416D7"/>
    <w:rsid w:val="00842BBA"/>
    <w:rsid w:val="00845076"/>
    <w:rsid w:val="00847CDE"/>
    <w:rsid w:val="008504E5"/>
    <w:rsid w:val="00850AE4"/>
    <w:rsid w:val="008542D8"/>
    <w:rsid w:val="00854EE1"/>
    <w:rsid w:val="00855A4B"/>
    <w:rsid w:val="008612A6"/>
    <w:rsid w:val="00863C2F"/>
    <w:rsid w:val="0086456B"/>
    <w:rsid w:val="00871DDC"/>
    <w:rsid w:val="00873E4A"/>
    <w:rsid w:val="0087714B"/>
    <w:rsid w:val="00877A3E"/>
    <w:rsid w:val="0088030C"/>
    <w:rsid w:val="00880C53"/>
    <w:rsid w:val="00881418"/>
    <w:rsid w:val="00882D0A"/>
    <w:rsid w:val="00883DD1"/>
    <w:rsid w:val="00885CE4"/>
    <w:rsid w:val="0089115F"/>
    <w:rsid w:val="00892678"/>
    <w:rsid w:val="0089530E"/>
    <w:rsid w:val="00897485"/>
    <w:rsid w:val="00897AEF"/>
    <w:rsid w:val="008A315D"/>
    <w:rsid w:val="008A34FB"/>
    <w:rsid w:val="008A6229"/>
    <w:rsid w:val="008B259C"/>
    <w:rsid w:val="008B49D7"/>
    <w:rsid w:val="008B7253"/>
    <w:rsid w:val="008C272C"/>
    <w:rsid w:val="008C2C78"/>
    <w:rsid w:val="008C30D1"/>
    <w:rsid w:val="008C681B"/>
    <w:rsid w:val="008C6EEA"/>
    <w:rsid w:val="008C7535"/>
    <w:rsid w:val="008C7E05"/>
    <w:rsid w:val="008D3A68"/>
    <w:rsid w:val="008D629D"/>
    <w:rsid w:val="008E34B2"/>
    <w:rsid w:val="008F0B4F"/>
    <w:rsid w:val="008F0E6F"/>
    <w:rsid w:val="008F13CA"/>
    <w:rsid w:val="008F3152"/>
    <w:rsid w:val="008F5807"/>
    <w:rsid w:val="009043A1"/>
    <w:rsid w:val="00904518"/>
    <w:rsid w:val="009058C0"/>
    <w:rsid w:val="00906A18"/>
    <w:rsid w:val="00907A61"/>
    <w:rsid w:val="00912083"/>
    <w:rsid w:val="00912129"/>
    <w:rsid w:val="00912574"/>
    <w:rsid w:val="00915735"/>
    <w:rsid w:val="00916455"/>
    <w:rsid w:val="00916839"/>
    <w:rsid w:val="00920F67"/>
    <w:rsid w:val="00925B0B"/>
    <w:rsid w:val="009362C9"/>
    <w:rsid w:val="00937E8A"/>
    <w:rsid w:val="00944FC6"/>
    <w:rsid w:val="00946366"/>
    <w:rsid w:val="009464E8"/>
    <w:rsid w:val="00952222"/>
    <w:rsid w:val="00953838"/>
    <w:rsid w:val="00953F3E"/>
    <w:rsid w:val="00954411"/>
    <w:rsid w:val="0096002C"/>
    <w:rsid w:val="009606E7"/>
    <w:rsid w:val="009626F4"/>
    <w:rsid w:val="00964137"/>
    <w:rsid w:val="009672C1"/>
    <w:rsid w:val="0097118C"/>
    <w:rsid w:val="009713E0"/>
    <w:rsid w:val="0097312C"/>
    <w:rsid w:val="00974C33"/>
    <w:rsid w:val="0097764A"/>
    <w:rsid w:val="00981CC2"/>
    <w:rsid w:val="00984BC9"/>
    <w:rsid w:val="009870F1"/>
    <w:rsid w:val="009872F3"/>
    <w:rsid w:val="009906F0"/>
    <w:rsid w:val="00991FF3"/>
    <w:rsid w:val="00992EA8"/>
    <w:rsid w:val="009930B9"/>
    <w:rsid w:val="00993328"/>
    <w:rsid w:val="00995C4A"/>
    <w:rsid w:val="00996F3A"/>
    <w:rsid w:val="009A4D96"/>
    <w:rsid w:val="009A6699"/>
    <w:rsid w:val="009B1647"/>
    <w:rsid w:val="009B4D8B"/>
    <w:rsid w:val="009B7A8A"/>
    <w:rsid w:val="009C1689"/>
    <w:rsid w:val="009C5BD3"/>
    <w:rsid w:val="009C6380"/>
    <w:rsid w:val="009D3D23"/>
    <w:rsid w:val="009D3D92"/>
    <w:rsid w:val="009D5E4B"/>
    <w:rsid w:val="009E0285"/>
    <w:rsid w:val="009E0E42"/>
    <w:rsid w:val="009E2AA2"/>
    <w:rsid w:val="009E4C10"/>
    <w:rsid w:val="009E6900"/>
    <w:rsid w:val="009E6ED1"/>
    <w:rsid w:val="009F012B"/>
    <w:rsid w:val="009F06E5"/>
    <w:rsid w:val="009F532F"/>
    <w:rsid w:val="009F540A"/>
    <w:rsid w:val="009F55E1"/>
    <w:rsid w:val="009F7615"/>
    <w:rsid w:val="009F7D17"/>
    <w:rsid w:val="00A01D84"/>
    <w:rsid w:val="00A024A2"/>
    <w:rsid w:val="00A04645"/>
    <w:rsid w:val="00A129C8"/>
    <w:rsid w:val="00A12CCC"/>
    <w:rsid w:val="00A14FB3"/>
    <w:rsid w:val="00A1551D"/>
    <w:rsid w:val="00A17DB1"/>
    <w:rsid w:val="00A243A0"/>
    <w:rsid w:val="00A25387"/>
    <w:rsid w:val="00A269CD"/>
    <w:rsid w:val="00A30784"/>
    <w:rsid w:val="00A35EF9"/>
    <w:rsid w:val="00A411A1"/>
    <w:rsid w:val="00A419CE"/>
    <w:rsid w:val="00A4767C"/>
    <w:rsid w:val="00A51132"/>
    <w:rsid w:val="00A53575"/>
    <w:rsid w:val="00A5682B"/>
    <w:rsid w:val="00A61FE7"/>
    <w:rsid w:val="00A63F7E"/>
    <w:rsid w:val="00A64B92"/>
    <w:rsid w:val="00A71A76"/>
    <w:rsid w:val="00A71CE3"/>
    <w:rsid w:val="00A72EFF"/>
    <w:rsid w:val="00A75EA7"/>
    <w:rsid w:val="00A76C6E"/>
    <w:rsid w:val="00A828FA"/>
    <w:rsid w:val="00A8306F"/>
    <w:rsid w:val="00A833FD"/>
    <w:rsid w:val="00A83D86"/>
    <w:rsid w:val="00A84BF6"/>
    <w:rsid w:val="00A8554C"/>
    <w:rsid w:val="00A864F9"/>
    <w:rsid w:val="00A90641"/>
    <w:rsid w:val="00A948B8"/>
    <w:rsid w:val="00A94D0A"/>
    <w:rsid w:val="00A969E3"/>
    <w:rsid w:val="00A97E03"/>
    <w:rsid w:val="00AA4693"/>
    <w:rsid w:val="00AA5C48"/>
    <w:rsid w:val="00AA63DD"/>
    <w:rsid w:val="00AA6E3C"/>
    <w:rsid w:val="00AB017B"/>
    <w:rsid w:val="00AB05BA"/>
    <w:rsid w:val="00AB193D"/>
    <w:rsid w:val="00AB5375"/>
    <w:rsid w:val="00AB700D"/>
    <w:rsid w:val="00AB7758"/>
    <w:rsid w:val="00AC2FFF"/>
    <w:rsid w:val="00AC7218"/>
    <w:rsid w:val="00AD2C02"/>
    <w:rsid w:val="00AD4EF5"/>
    <w:rsid w:val="00AD5016"/>
    <w:rsid w:val="00AD74E7"/>
    <w:rsid w:val="00AE2DAF"/>
    <w:rsid w:val="00AE3CC8"/>
    <w:rsid w:val="00AF4BA0"/>
    <w:rsid w:val="00AF63C5"/>
    <w:rsid w:val="00AF676B"/>
    <w:rsid w:val="00AF6815"/>
    <w:rsid w:val="00AF6DD8"/>
    <w:rsid w:val="00AF7523"/>
    <w:rsid w:val="00B016A4"/>
    <w:rsid w:val="00B01758"/>
    <w:rsid w:val="00B02EC3"/>
    <w:rsid w:val="00B03417"/>
    <w:rsid w:val="00B037A6"/>
    <w:rsid w:val="00B07D45"/>
    <w:rsid w:val="00B17153"/>
    <w:rsid w:val="00B20A44"/>
    <w:rsid w:val="00B23701"/>
    <w:rsid w:val="00B33940"/>
    <w:rsid w:val="00B35D7D"/>
    <w:rsid w:val="00B41C8D"/>
    <w:rsid w:val="00B4499A"/>
    <w:rsid w:val="00B4590B"/>
    <w:rsid w:val="00B50E47"/>
    <w:rsid w:val="00B52522"/>
    <w:rsid w:val="00B55575"/>
    <w:rsid w:val="00B5732E"/>
    <w:rsid w:val="00B607C0"/>
    <w:rsid w:val="00B62181"/>
    <w:rsid w:val="00B710A5"/>
    <w:rsid w:val="00B74615"/>
    <w:rsid w:val="00B768BD"/>
    <w:rsid w:val="00B80B23"/>
    <w:rsid w:val="00B8202D"/>
    <w:rsid w:val="00B90132"/>
    <w:rsid w:val="00B90830"/>
    <w:rsid w:val="00B93CAB"/>
    <w:rsid w:val="00BB2BBF"/>
    <w:rsid w:val="00BB6029"/>
    <w:rsid w:val="00BB6994"/>
    <w:rsid w:val="00BB7FA6"/>
    <w:rsid w:val="00BC19D0"/>
    <w:rsid w:val="00BC3C6E"/>
    <w:rsid w:val="00BC3FD5"/>
    <w:rsid w:val="00BC49B6"/>
    <w:rsid w:val="00BD4D9C"/>
    <w:rsid w:val="00BD64E2"/>
    <w:rsid w:val="00BE3A92"/>
    <w:rsid w:val="00BF2060"/>
    <w:rsid w:val="00BF2343"/>
    <w:rsid w:val="00BF3D88"/>
    <w:rsid w:val="00BF567C"/>
    <w:rsid w:val="00BF6946"/>
    <w:rsid w:val="00BF7586"/>
    <w:rsid w:val="00C00211"/>
    <w:rsid w:val="00C01266"/>
    <w:rsid w:val="00C01503"/>
    <w:rsid w:val="00C0732A"/>
    <w:rsid w:val="00C12AAC"/>
    <w:rsid w:val="00C1307E"/>
    <w:rsid w:val="00C1386F"/>
    <w:rsid w:val="00C14074"/>
    <w:rsid w:val="00C215EF"/>
    <w:rsid w:val="00C23658"/>
    <w:rsid w:val="00C25063"/>
    <w:rsid w:val="00C267B9"/>
    <w:rsid w:val="00C32537"/>
    <w:rsid w:val="00C328F4"/>
    <w:rsid w:val="00C32A65"/>
    <w:rsid w:val="00C3479D"/>
    <w:rsid w:val="00C34817"/>
    <w:rsid w:val="00C42C0F"/>
    <w:rsid w:val="00C44852"/>
    <w:rsid w:val="00C45C7C"/>
    <w:rsid w:val="00C512BC"/>
    <w:rsid w:val="00C526CA"/>
    <w:rsid w:val="00C53872"/>
    <w:rsid w:val="00C57B71"/>
    <w:rsid w:val="00C613A7"/>
    <w:rsid w:val="00C7008E"/>
    <w:rsid w:val="00C713DA"/>
    <w:rsid w:val="00C9046E"/>
    <w:rsid w:val="00C9179B"/>
    <w:rsid w:val="00CA02E9"/>
    <w:rsid w:val="00CA2843"/>
    <w:rsid w:val="00CA538E"/>
    <w:rsid w:val="00CA5DD8"/>
    <w:rsid w:val="00CB025B"/>
    <w:rsid w:val="00CB0D00"/>
    <w:rsid w:val="00CB3EE6"/>
    <w:rsid w:val="00CB585C"/>
    <w:rsid w:val="00CB65CE"/>
    <w:rsid w:val="00CC11C1"/>
    <w:rsid w:val="00CC1E94"/>
    <w:rsid w:val="00CC5892"/>
    <w:rsid w:val="00CC7808"/>
    <w:rsid w:val="00CD2E67"/>
    <w:rsid w:val="00CD4C50"/>
    <w:rsid w:val="00CD5C34"/>
    <w:rsid w:val="00CD7631"/>
    <w:rsid w:val="00CE3194"/>
    <w:rsid w:val="00CE5C16"/>
    <w:rsid w:val="00CE7FED"/>
    <w:rsid w:val="00CF6326"/>
    <w:rsid w:val="00CF66AE"/>
    <w:rsid w:val="00D00A1E"/>
    <w:rsid w:val="00D04B6E"/>
    <w:rsid w:val="00D070B7"/>
    <w:rsid w:val="00D10FC9"/>
    <w:rsid w:val="00D11E13"/>
    <w:rsid w:val="00D146EF"/>
    <w:rsid w:val="00D23306"/>
    <w:rsid w:val="00D3000D"/>
    <w:rsid w:val="00D32329"/>
    <w:rsid w:val="00D36AAB"/>
    <w:rsid w:val="00D36D11"/>
    <w:rsid w:val="00D40BFD"/>
    <w:rsid w:val="00D462E4"/>
    <w:rsid w:val="00D4659C"/>
    <w:rsid w:val="00D50C49"/>
    <w:rsid w:val="00D53294"/>
    <w:rsid w:val="00D55E70"/>
    <w:rsid w:val="00D5622F"/>
    <w:rsid w:val="00D64584"/>
    <w:rsid w:val="00D71E0B"/>
    <w:rsid w:val="00D73B0D"/>
    <w:rsid w:val="00D75B54"/>
    <w:rsid w:val="00D76884"/>
    <w:rsid w:val="00D809D1"/>
    <w:rsid w:val="00D82D89"/>
    <w:rsid w:val="00D82DD9"/>
    <w:rsid w:val="00D83362"/>
    <w:rsid w:val="00D8345E"/>
    <w:rsid w:val="00D85217"/>
    <w:rsid w:val="00D85688"/>
    <w:rsid w:val="00D859FB"/>
    <w:rsid w:val="00D92B04"/>
    <w:rsid w:val="00D944DE"/>
    <w:rsid w:val="00D9457E"/>
    <w:rsid w:val="00DA2AF7"/>
    <w:rsid w:val="00DA491C"/>
    <w:rsid w:val="00DA5A61"/>
    <w:rsid w:val="00DB5B64"/>
    <w:rsid w:val="00DB5BE8"/>
    <w:rsid w:val="00DB7360"/>
    <w:rsid w:val="00DC12F2"/>
    <w:rsid w:val="00DC2EE6"/>
    <w:rsid w:val="00DC5168"/>
    <w:rsid w:val="00DD1307"/>
    <w:rsid w:val="00DD4B74"/>
    <w:rsid w:val="00DD5846"/>
    <w:rsid w:val="00DE00D0"/>
    <w:rsid w:val="00DE1B7F"/>
    <w:rsid w:val="00DE1E39"/>
    <w:rsid w:val="00DE266B"/>
    <w:rsid w:val="00DE42E9"/>
    <w:rsid w:val="00DE4C6D"/>
    <w:rsid w:val="00DE5846"/>
    <w:rsid w:val="00DE7FD2"/>
    <w:rsid w:val="00DF10D9"/>
    <w:rsid w:val="00DF1664"/>
    <w:rsid w:val="00DF1CD2"/>
    <w:rsid w:val="00DF2E41"/>
    <w:rsid w:val="00DF6536"/>
    <w:rsid w:val="00DF7567"/>
    <w:rsid w:val="00E033AD"/>
    <w:rsid w:val="00E04822"/>
    <w:rsid w:val="00E0600E"/>
    <w:rsid w:val="00E109DF"/>
    <w:rsid w:val="00E11B81"/>
    <w:rsid w:val="00E147C9"/>
    <w:rsid w:val="00E14940"/>
    <w:rsid w:val="00E14F17"/>
    <w:rsid w:val="00E17767"/>
    <w:rsid w:val="00E23A6F"/>
    <w:rsid w:val="00E25E00"/>
    <w:rsid w:val="00E3092C"/>
    <w:rsid w:val="00E3296D"/>
    <w:rsid w:val="00E33239"/>
    <w:rsid w:val="00E3586E"/>
    <w:rsid w:val="00E3744C"/>
    <w:rsid w:val="00E37D8D"/>
    <w:rsid w:val="00E40515"/>
    <w:rsid w:val="00E40A2B"/>
    <w:rsid w:val="00E467D7"/>
    <w:rsid w:val="00E46ABA"/>
    <w:rsid w:val="00E475F9"/>
    <w:rsid w:val="00E50A08"/>
    <w:rsid w:val="00E55E3C"/>
    <w:rsid w:val="00E60D25"/>
    <w:rsid w:val="00E62217"/>
    <w:rsid w:val="00E66152"/>
    <w:rsid w:val="00E667CF"/>
    <w:rsid w:val="00E70DF4"/>
    <w:rsid w:val="00E7309B"/>
    <w:rsid w:val="00E73793"/>
    <w:rsid w:val="00E755C9"/>
    <w:rsid w:val="00E81857"/>
    <w:rsid w:val="00E864F2"/>
    <w:rsid w:val="00E9134A"/>
    <w:rsid w:val="00E923DD"/>
    <w:rsid w:val="00E92A52"/>
    <w:rsid w:val="00E936ED"/>
    <w:rsid w:val="00E94756"/>
    <w:rsid w:val="00E94778"/>
    <w:rsid w:val="00E95156"/>
    <w:rsid w:val="00E962D3"/>
    <w:rsid w:val="00EA0D88"/>
    <w:rsid w:val="00EA4454"/>
    <w:rsid w:val="00EA5362"/>
    <w:rsid w:val="00EA6EDB"/>
    <w:rsid w:val="00EB2DE6"/>
    <w:rsid w:val="00EB4894"/>
    <w:rsid w:val="00EB6FA4"/>
    <w:rsid w:val="00EC06B1"/>
    <w:rsid w:val="00EC489E"/>
    <w:rsid w:val="00ED0178"/>
    <w:rsid w:val="00ED1943"/>
    <w:rsid w:val="00ED2B1B"/>
    <w:rsid w:val="00ED2F2F"/>
    <w:rsid w:val="00ED32A1"/>
    <w:rsid w:val="00ED618C"/>
    <w:rsid w:val="00ED6CC2"/>
    <w:rsid w:val="00ED7673"/>
    <w:rsid w:val="00ED7A2E"/>
    <w:rsid w:val="00EE5944"/>
    <w:rsid w:val="00EE7037"/>
    <w:rsid w:val="00EF03FA"/>
    <w:rsid w:val="00EF3B95"/>
    <w:rsid w:val="00EF3DFC"/>
    <w:rsid w:val="00F004D8"/>
    <w:rsid w:val="00F024D6"/>
    <w:rsid w:val="00F04134"/>
    <w:rsid w:val="00F1444D"/>
    <w:rsid w:val="00F151AE"/>
    <w:rsid w:val="00F236D6"/>
    <w:rsid w:val="00F26E9F"/>
    <w:rsid w:val="00F27D7D"/>
    <w:rsid w:val="00F36D1D"/>
    <w:rsid w:val="00F456E7"/>
    <w:rsid w:val="00F45844"/>
    <w:rsid w:val="00F52CBB"/>
    <w:rsid w:val="00F546BE"/>
    <w:rsid w:val="00F5763A"/>
    <w:rsid w:val="00F60909"/>
    <w:rsid w:val="00F61357"/>
    <w:rsid w:val="00F625F5"/>
    <w:rsid w:val="00F73268"/>
    <w:rsid w:val="00F77126"/>
    <w:rsid w:val="00F77736"/>
    <w:rsid w:val="00F811CB"/>
    <w:rsid w:val="00F81673"/>
    <w:rsid w:val="00F81E0F"/>
    <w:rsid w:val="00F8275A"/>
    <w:rsid w:val="00F83287"/>
    <w:rsid w:val="00F9017E"/>
    <w:rsid w:val="00F90F73"/>
    <w:rsid w:val="00F91517"/>
    <w:rsid w:val="00F92275"/>
    <w:rsid w:val="00F929F4"/>
    <w:rsid w:val="00F92D63"/>
    <w:rsid w:val="00F945D0"/>
    <w:rsid w:val="00F96EFF"/>
    <w:rsid w:val="00FA270C"/>
    <w:rsid w:val="00FA345F"/>
    <w:rsid w:val="00FA36F0"/>
    <w:rsid w:val="00FA6D44"/>
    <w:rsid w:val="00FA7091"/>
    <w:rsid w:val="00FB092F"/>
    <w:rsid w:val="00FB4F0F"/>
    <w:rsid w:val="00FC018F"/>
    <w:rsid w:val="00FC0BF3"/>
    <w:rsid w:val="00FC290C"/>
    <w:rsid w:val="00FD02AE"/>
    <w:rsid w:val="00FD03D6"/>
    <w:rsid w:val="00FD07FD"/>
    <w:rsid w:val="00FD0A25"/>
    <w:rsid w:val="00FD5890"/>
    <w:rsid w:val="00FD680C"/>
    <w:rsid w:val="00FD6E5D"/>
    <w:rsid w:val="00FE1E98"/>
    <w:rsid w:val="00FE3D2F"/>
    <w:rsid w:val="00FE3D38"/>
    <w:rsid w:val="00FE6C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EC93A16"/>
  <w15:docId w15:val="{EAC3C572-CB44-4589-AF3B-EB74CB4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tabs>
        <w:tab w:val="left" w:pos="8460"/>
      </w:tabs>
      <w:spacing w:line="360" w:lineRule="auto"/>
      <w:jc w:val="center"/>
      <w:outlineLvl w:val="0"/>
    </w:pPr>
    <w:rPr>
      <w:rFonts w:ascii="Verdana" w:hAnsi="Verdana"/>
      <w:b/>
      <w:bCs/>
      <w:sz w:val="28"/>
    </w:rPr>
  </w:style>
  <w:style w:type="paragraph" w:styleId="berschrift2">
    <w:name w:val="heading 2"/>
    <w:basedOn w:val="Standard"/>
    <w:next w:val="Standard"/>
    <w:qFormat/>
    <w:pPr>
      <w:keepNext/>
      <w:tabs>
        <w:tab w:val="left" w:pos="8460"/>
      </w:tabs>
      <w:spacing w:line="360" w:lineRule="auto"/>
      <w:outlineLvl w:val="1"/>
    </w:pPr>
    <w:rPr>
      <w:rFonts w:ascii="Verdana" w:hAnsi="Verdana"/>
      <w:sz w:val="22"/>
      <w:u w:val="single"/>
    </w:rPr>
  </w:style>
  <w:style w:type="paragraph" w:styleId="berschrift3">
    <w:name w:val="heading 3"/>
    <w:basedOn w:val="Standard"/>
    <w:next w:val="Standard"/>
    <w:qFormat/>
    <w:pPr>
      <w:keepNext/>
      <w:spacing w:line="360" w:lineRule="auto"/>
      <w:outlineLvl w:val="2"/>
    </w:pPr>
    <w:rPr>
      <w:rFonts w:ascii="Verdana" w:hAnsi="Verdana"/>
      <w:i/>
      <w:iCs/>
      <w:sz w:val="22"/>
    </w:rPr>
  </w:style>
  <w:style w:type="paragraph" w:styleId="berschrift4">
    <w:name w:val="heading 4"/>
    <w:basedOn w:val="Standard"/>
    <w:next w:val="Standard"/>
    <w:qFormat/>
    <w:pPr>
      <w:keepNext/>
      <w:tabs>
        <w:tab w:val="left" w:pos="5580"/>
        <w:tab w:val="left" w:pos="6840"/>
      </w:tabs>
      <w:ind w:left="1260" w:hanging="1260"/>
      <w:outlineLvl w:val="3"/>
    </w:pPr>
    <w:rPr>
      <w:rFonts w:ascii="Verdana" w:hAnsi="Verdana"/>
      <w:b/>
    </w:rPr>
  </w:style>
  <w:style w:type="paragraph" w:styleId="berschrift5">
    <w:name w:val="heading 5"/>
    <w:basedOn w:val="Standard"/>
    <w:next w:val="Standard"/>
    <w:link w:val="berschrift5Zchn"/>
    <w:qFormat/>
    <w:pPr>
      <w:keepNext/>
      <w:numPr>
        <w:numId w:val="1"/>
      </w:numPr>
      <w:tabs>
        <w:tab w:val="left" w:pos="5580"/>
        <w:tab w:val="left" w:pos="6840"/>
      </w:tabs>
      <w:spacing w:line="360" w:lineRule="auto"/>
      <w:outlineLvl w:val="4"/>
    </w:pPr>
    <w:rPr>
      <w:rFonts w:ascii="Verdana" w:hAnsi="Verdana"/>
      <w:b/>
      <w:sz w:val="22"/>
    </w:rPr>
  </w:style>
  <w:style w:type="paragraph" w:styleId="berschrift6">
    <w:name w:val="heading 6"/>
    <w:basedOn w:val="Standard"/>
    <w:next w:val="Standard"/>
    <w:qFormat/>
    <w:rsid w:val="00351340"/>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08"/>
    </w:pPr>
    <w:rPr>
      <w:rFonts w:ascii="Verdana" w:hAnsi="Verdana"/>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360" w:hanging="360"/>
    </w:pPr>
    <w:rPr>
      <w:rFonts w:ascii="Verdana" w:hAnsi="Verdana"/>
      <w:b/>
      <w:bCs/>
      <w:sz w:val="22"/>
    </w:r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rPr>
      <w:rFonts w:ascii="Verdana" w:hAnsi="Verdana"/>
      <w:b/>
      <w:bCs/>
    </w:rPr>
  </w:style>
  <w:style w:type="paragraph" w:styleId="Textkrper-Einzug3">
    <w:name w:val="Body Text Indent 3"/>
    <w:basedOn w:val="Standard"/>
    <w:semiHidden/>
    <w:pPr>
      <w:tabs>
        <w:tab w:val="left" w:pos="1080"/>
      </w:tabs>
      <w:ind w:left="1620" w:firstLine="708"/>
    </w:pPr>
    <w:rPr>
      <w:rFonts w:ascii="Verdana" w:hAnsi="Verdana"/>
      <w:sz w:val="22"/>
    </w:rPr>
  </w:style>
  <w:style w:type="paragraph" w:styleId="Textkrper2">
    <w:name w:val="Body Text 2"/>
    <w:basedOn w:val="Standard"/>
    <w:semiHidden/>
    <w:pPr>
      <w:tabs>
        <w:tab w:val="left" w:pos="1080"/>
      </w:tabs>
      <w:spacing w:line="360" w:lineRule="auto"/>
    </w:pPr>
    <w:rPr>
      <w:rFonts w:ascii="Verdana" w:hAnsi="Verdana"/>
      <w:sz w:val="22"/>
    </w:rPr>
  </w:style>
  <w:style w:type="paragraph" w:customStyle="1" w:styleId="abs">
    <w:name w:val="abs"/>
    <w:basedOn w:val="Standard"/>
    <w:semiHidden/>
    <w:pPr>
      <w:overflowPunct w:val="0"/>
      <w:autoSpaceDE w:val="0"/>
      <w:autoSpaceDN w:val="0"/>
      <w:adjustRightInd w:val="0"/>
      <w:spacing w:before="360" w:line="360" w:lineRule="auto"/>
      <w:ind w:firstLine="567"/>
      <w:jc w:val="both"/>
      <w:textAlignment w:val="baseline"/>
    </w:pPr>
    <w:rPr>
      <w:lang w:val="de-DE"/>
    </w:rPr>
  </w:style>
  <w:style w:type="paragraph" w:customStyle="1" w:styleId="ab1">
    <w:name w:val="ab1"/>
    <w:basedOn w:val="Standard"/>
    <w:semiHidden/>
    <w:pPr>
      <w:overflowPunct w:val="0"/>
      <w:autoSpaceDE w:val="0"/>
      <w:autoSpaceDN w:val="0"/>
      <w:adjustRightInd w:val="0"/>
      <w:spacing w:before="40" w:line="360" w:lineRule="auto"/>
      <w:jc w:val="both"/>
      <w:textAlignment w:val="baseline"/>
    </w:pPr>
    <w:rPr>
      <w:lang w:val="de-DE"/>
    </w:rPr>
  </w:style>
  <w:style w:type="paragraph" w:customStyle="1" w:styleId="einl">
    <w:name w:val="einl"/>
    <w:basedOn w:val="Standard"/>
    <w:next w:val="abs"/>
    <w:semiHidden/>
    <w:rsid w:val="007B4B73"/>
    <w:pPr>
      <w:overflowPunct w:val="0"/>
      <w:autoSpaceDE w:val="0"/>
      <w:autoSpaceDN w:val="0"/>
      <w:adjustRightInd w:val="0"/>
      <w:spacing w:before="600" w:line="360" w:lineRule="auto"/>
      <w:ind w:firstLine="567"/>
      <w:jc w:val="both"/>
      <w:textAlignment w:val="baseline"/>
    </w:pPr>
    <w:rPr>
      <w:szCs w:val="20"/>
      <w:lang w:val="de-DE"/>
    </w:rPr>
  </w:style>
  <w:style w:type="paragraph" w:customStyle="1" w:styleId="htit1">
    <w:name w:val="htit1"/>
    <w:basedOn w:val="Standard"/>
    <w:semiHidden/>
    <w:rsid w:val="007B4B73"/>
    <w:pPr>
      <w:overflowPunct w:val="0"/>
      <w:autoSpaceDE w:val="0"/>
      <w:autoSpaceDN w:val="0"/>
      <w:adjustRightInd w:val="0"/>
      <w:spacing w:before="840" w:line="360" w:lineRule="auto"/>
      <w:jc w:val="center"/>
      <w:textAlignment w:val="baseline"/>
    </w:pPr>
    <w:rPr>
      <w:b/>
      <w:sz w:val="28"/>
      <w:szCs w:val="20"/>
      <w:lang w:val="de-DE"/>
    </w:rPr>
  </w:style>
  <w:style w:type="paragraph" w:customStyle="1" w:styleId="vom">
    <w:name w:val="vom"/>
    <w:basedOn w:val="Standard"/>
    <w:semiHidden/>
    <w:rsid w:val="007B4B73"/>
    <w:pPr>
      <w:keepNext/>
      <w:overflowPunct w:val="0"/>
      <w:autoSpaceDE w:val="0"/>
      <w:autoSpaceDN w:val="0"/>
      <w:adjustRightInd w:val="0"/>
      <w:spacing w:before="80" w:line="360" w:lineRule="auto"/>
      <w:jc w:val="center"/>
      <w:textAlignment w:val="baseline"/>
    </w:pPr>
    <w:rPr>
      <w:szCs w:val="20"/>
      <w:lang w:val="de-DE"/>
    </w:rPr>
  </w:style>
  <w:style w:type="paragraph" w:customStyle="1" w:styleId="tit1ue">
    <w:name w:val="tit1ue"/>
    <w:basedOn w:val="Standard"/>
    <w:semiHidden/>
    <w:rsid w:val="007B4B73"/>
    <w:pPr>
      <w:keepNext/>
      <w:keepLines/>
      <w:overflowPunct w:val="0"/>
      <w:autoSpaceDE w:val="0"/>
      <w:autoSpaceDN w:val="0"/>
      <w:adjustRightInd w:val="0"/>
      <w:spacing w:before="120" w:line="360" w:lineRule="auto"/>
      <w:jc w:val="center"/>
      <w:textAlignment w:val="baseline"/>
    </w:pPr>
    <w:rPr>
      <w:b/>
      <w:szCs w:val="20"/>
      <w:lang w:val="de-DE"/>
    </w:rPr>
  </w:style>
  <w:style w:type="paragraph" w:customStyle="1" w:styleId="art">
    <w:name w:val="art"/>
    <w:basedOn w:val="Standard"/>
    <w:semiHidden/>
    <w:rsid w:val="000658EF"/>
    <w:pPr>
      <w:keepNext/>
      <w:keepLines/>
      <w:overflowPunct w:val="0"/>
      <w:autoSpaceDE w:val="0"/>
      <w:autoSpaceDN w:val="0"/>
      <w:adjustRightInd w:val="0"/>
      <w:spacing w:before="720" w:line="360" w:lineRule="auto"/>
      <w:jc w:val="center"/>
      <w:textAlignment w:val="baseline"/>
    </w:pPr>
    <w:rPr>
      <w:szCs w:val="20"/>
      <w:lang w:val="de-DE"/>
    </w:rPr>
  </w:style>
  <w:style w:type="character" w:styleId="Hyperlink">
    <w:name w:val="Hyperlink"/>
    <w:uiPriority w:val="99"/>
    <w:rsid w:val="0063032A"/>
    <w:rPr>
      <w:color w:val="0000FF"/>
      <w:u w:val="single"/>
    </w:rPr>
  </w:style>
  <w:style w:type="paragraph" w:styleId="Sprechblasentext">
    <w:name w:val="Balloon Text"/>
    <w:basedOn w:val="Standard"/>
    <w:link w:val="SprechblasentextZchn"/>
    <w:rsid w:val="004810A7"/>
    <w:rPr>
      <w:rFonts w:ascii="Tahoma" w:hAnsi="Tahoma"/>
      <w:sz w:val="16"/>
      <w:szCs w:val="16"/>
    </w:rPr>
  </w:style>
  <w:style w:type="paragraph" w:styleId="Verzeichnis1">
    <w:name w:val="toc 1"/>
    <w:basedOn w:val="Standard"/>
    <w:next w:val="Standard"/>
    <w:autoRedefine/>
    <w:uiPriority w:val="39"/>
    <w:rsid w:val="00EB03A7"/>
    <w:pPr>
      <w:tabs>
        <w:tab w:val="left" w:pos="480"/>
        <w:tab w:val="right" w:leader="dot" w:pos="9004"/>
      </w:tabs>
      <w:spacing w:before="120"/>
    </w:pPr>
    <w:rPr>
      <w:b/>
      <w:bCs/>
      <w:noProof/>
    </w:rPr>
  </w:style>
  <w:style w:type="paragraph" w:styleId="Verzeichnis2">
    <w:name w:val="toc 2"/>
    <w:basedOn w:val="Standard"/>
    <w:next w:val="Standard"/>
    <w:autoRedefine/>
    <w:uiPriority w:val="39"/>
    <w:rsid w:val="00142BEA"/>
    <w:pPr>
      <w:tabs>
        <w:tab w:val="left" w:pos="720"/>
        <w:tab w:val="right" w:leader="dot" w:pos="9004"/>
      </w:tabs>
      <w:spacing w:before="120"/>
      <w:ind w:left="238"/>
    </w:pPr>
  </w:style>
  <w:style w:type="paragraph" w:styleId="Verzeichnis3">
    <w:name w:val="toc 3"/>
    <w:basedOn w:val="Standard"/>
    <w:next w:val="Standard"/>
    <w:autoRedefine/>
    <w:uiPriority w:val="39"/>
    <w:rsid w:val="005573E0"/>
    <w:pPr>
      <w:tabs>
        <w:tab w:val="left" w:pos="960"/>
        <w:tab w:val="left" w:pos="1440"/>
        <w:tab w:val="right" w:leader="dot" w:pos="9004"/>
      </w:tabs>
      <w:ind w:left="480" w:firstLine="60"/>
    </w:pPr>
  </w:style>
  <w:style w:type="paragraph" w:styleId="Verzeichnis4">
    <w:name w:val="toc 4"/>
    <w:basedOn w:val="Standard"/>
    <w:next w:val="Standard"/>
    <w:autoRedefine/>
    <w:uiPriority w:val="39"/>
    <w:rsid w:val="006E27D8"/>
    <w:pPr>
      <w:ind w:left="720"/>
    </w:pPr>
  </w:style>
  <w:style w:type="paragraph" w:styleId="Verzeichnis5">
    <w:name w:val="toc 5"/>
    <w:basedOn w:val="Standard"/>
    <w:next w:val="Standard"/>
    <w:autoRedefine/>
    <w:uiPriority w:val="39"/>
    <w:rsid w:val="0060751C"/>
    <w:pPr>
      <w:ind w:left="960"/>
    </w:pPr>
  </w:style>
  <w:style w:type="paragraph" w:styleId="Verzeichnis6">
    <w:name w:val="toc 6"/>
    <w:basedOn w:val="Standard"/>
    <w:next w:val="Standard"/>
    <w:autoRedefine/>
    <w:uiPriority w:val="39"/>
    <w:rsid w:val="000E30CD"/>
    <w:pPr>
      <w:ind w:left="1200"/>
    </w:pPr>
    <w:rPr>
      <w:lang w:eastAsia="de-CH"/>
    </w:rPr>
  </w:style>
  <w:style w:type="paragraph" w:styleId="Verzeichnis7">
    <w:name w:val="toc 7"/>
    <w:basedOn w:val="Standard"/>
    <w:next w:val="Standard"/>
    <w:autoRedefine/>
    <w:uiPriority w:val="39"/>
    <w:rsid w:val="000E30CD"/>
    <w:pPr>
      <w:ind w:left="1440"/>
    </w:pPr>
    <w:rPr>
      <w:lang w:eastAsia="de-CH"/>
    </w:rPr>
  </w:style>
  <w:style w:type="paragraph" w:styleId="Verzeichnis8">
    <w:name w:val="toc 8"/>
    <w:basedOn w:val="Standard"/>
    <w:next w:val="Standard"/>
    <w:autoRedefine/>
    <w:uiPriority w:val="39"/>
    <w:rsid w:val="000E30CD"/>
    <w:pPr>
      <w:ind w:left="1680"/>
    </w:pPr>
    <w:rPr>
      <w:lang w:eastAsia="de-CH"/>
    </w:rPr>
  </w:style>
  <w:style w:type="paragraph" w:styleId="Verzeichnis9">
    <w:name w:val="toc 9"/>
    <w:basedOn w:val="Standard"/>
    <w:next w:val="Standard"/>
    <w:autoRedefine/>
    <w:uiPriority w:val="39"/>
    <w:rsid w:val="000E30CD"/>
    <w:pPr>
      <w:ind w:left="1920"/>
    </w:pPr>
    <w:rPr>
      <w:lang w:eastAsia="de-CH"/>
    </w:rPr>
  </w:style>
  <w:style w:type="character" w:styleId="Kommentarzeichen">
    <w:name w:val="annotation reference"/>
    <w:semiHidden/>
    <w:rsid w:val="004A165B"/>
    <w:rPr>
      <w:sz w:val="16"/>
      <w:szCs w:val="16"/>
    </w:rPr>
  </w:style>
  <w:style w:type="paragraph" w:styleId="Kommentartext">
    <w:name w:val="annotation text"/>
    <w:basedOn w:val="Standard"/>
    <w:link w:val="KommentartextZchn"/>
    <w:uiPriority w:val="99"/>
    <w:rsid w:val="004A165B"/>
    <w:rPr>
      <w:sz w:val="20"/>
      <w:szCs w:val="20"/>
    </w:rPr>
  </w:style>
  <w:style w:type="paragraph" w:styleId="Kommentarthema">
    <w:name w:val="annotation subject"/>
    <w:basedOn w:val="Kommentartext"/>
    <w:next w:val="Kommentartext"/>
    <w:link w:val="KommentarthemaZchn"/>
    <w:rsid w:val="004A165B"/>
    <w:rPr>
      <w:b/>
      <w:bCs/>
    </w:rPr>
  </w:style>
  <w:style w:type="paragraph" w:styleId="Dokumentstruktur">
    <w:name w:val="Document Map"/>
    <w:basedOn w:val="Standard"/>
    <w:semiHidden/>
    <w:rsid w:val="00186051"/>
    <w:pPr>
      <w:shd w:val="clear" w:color="auto" w:fill="000080"/>
    </w:pPr>
    <w:rPr>
      <w:rFonts w:ascii="Tahoma" w:hAnsi="Tahoma" w:cs="Tahoma"/>
    </w:rPr>
  </w:style>
  <w:style w:type="paragraph" w:customStyle="1" w:styleId="Default">
    <w:name w:val="Default"/>
    <w:rsid w:val="00C2027B"/>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rsid w:val="00073955"/>
    <w:pPr>
      <w:spacing w:before="100" w:beforeAutospacing="1" w:after="100" w:afterAutospacing="1"/>
    </w:pPr>
    <w:rPr>
      <w:lang w:eastAsia="de-CH"/>
    </w:rPr>
  </w:style>
  <w:style w:type="character" w:styleId="Hervorhebung">
    <w:name w:val="Emphasis"/>
    <w:qFormat/>
    <w:rsid w:val="00536E80"/>
    <w:rPr>
      <w:b/>
      <w:bCs/>
      <w:i w:val="0"/>
      <w:iCs w:val="0"/>
    </w:rPr>
  </w:style>
  <w:style w:type="table" w:styleId="Tabellenraster">
    <w:name w:val="Table Grid"/>
    <w:basedOn w:val="NormaleTabelle"/>
    <w:uiPriority w:val="59"/>
    <w:rsid w:val="00BC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TimesNewRoman">
    <w:name w:val="Formatvorlage Überschrift 1 + Times New Roman"/>
    <w:basedOn w:val="berschrift1"/>
    <w:rsid w:val="00AC28C9"/>
    <w:pPr>
      <w:spacing w:before="360" w:after="360"/>
    </w:pPr>
    <w:rPr>
      <w:rFonts w:ascii="Times New Roman" w:hAnsi="Times New Roman"/>
    </w:rPr>
  </w:style>
  <w:style w:type="paragraph" w:customStyle="1" w:styleId="FormatvorlageabsFettKursivZentriertErsteZeile0cm">
    <w:name w:val="Formatvorlage abs + Fett Kursiv Zentriert Erste Zeile:  0 cm"/>
    <w:basedOn w:val="berschrift6"/>
    <w:rsid w:val="00351340"/>
    <w:pPr>
      <w:jc w:val="center"/>
    </w:pPr>
    <w:rPr>
      <w:b w:val="0"/>
      <w:bCs w:val="0"/>
      <w:i/>
      <w:iCs/>
      <w:szCs w:val="20"/>
    </w:rPr>
  </w:style>
  <w:style w:type="paragraph" w:customStyle="1" w:styleId="StandardWeb3">
    <w:name w:val="Standard (Web)3"/>
    <w:basedOn w:val="Standard"/>
    <w:rsid w:val="0097502E"/>
    <w:pPr>
      <w:spacing w:before="100" w:beforeAutospacing="1" w:after="100" w:afterAutospacing="1"/>
    </w:pPr>
    <w:rPr>
      <w:rFonts w:ascii="Verdana" w:hAnsi="Verdana"/>
      <w:color w:val="333333"/>
      <w:sz w:val="23"/>
      <w:szCs w:val="23"/>
      <w:lang w:eastAsia="de-CH"/>
    </w:rPr>
  </w:style>
  <w:style w:type="paragraph" w:customStyle="1" w:styleId="Formatvorlageberschrift3TimesNewRoman13ptFettNichtKursivZ">
    <w:name w:val="Formatvorlage Überschrift 3 + Times New Roman 13 pt Fett Nicht Kursiv Z..."/>
    <w:basedOn w:val="berschrift3"/>
    <w:rsid w:val="00771540"/>
    <w:pPr>
      <w:numPr>
        <w:numId w:val="2"/>
      </w:numPr>
      <w:spacing w:before="720"/>
      <w:jc w:val="center"/>
    </w:pPr>
    <w:rPr>
      <w:rFonts w:ascii="Times New Roman" w:hAnsi="Times New Roman"/>
      <w:b/>
      <w:bCs/>
      <w:i w:val="0"/>
      <w:iCs w:val="0"/>
      <w:sz w:val="26"/>
      <w:szCs w:val="20"/>
    </w:rPr>
  </w:style>
  <w:style w:type="character" w:customStyle="1" w:styleId="FuzeileZchn">
    <w:name w:val="Fußzeile Zchn"/>
    <w:link w:val="Fuzeile"/>
    <w:rsid w:val="00DF2E41"/>
    <w:rPr>
      <w:sz w:val="24"/>
      <w:szCs w:val="24"/>
      <w:lang w:eastAsia="de-DE"/>
    </w:rPr>
  </w:style>
  <w:style w:type="paragraph" w:customStyle="1" w:styleId="Fusszeile">
    <w:name w:val="Fusszeile"/>
    <w:basedOn w:val="Standard"/>
    <w:rsid w:val="000E5A8C"/>
    <w:pPr>
      <w:tabs>
        <w:tab w:val="center" w:pos="4763"/>
        <w:tab w:val="right" w:pos="9526"/>
      </w:tabs>
      <w:spacing w:line="160" w:lineRule="exact"/>
      <w:jc w:val="both"/>
    </w:pPr>
    <w:rPr>
      <w:rFonts w:ascii="Arial" w:eastAsia="Cambria" w:hAnsi="Arial"/>
      <w:spacing w:val="8"/>
      <w:sz w:val="12"/>
      <w:lang w:val="de-DE" w:eastAsia="en-US"/>
    </w:rPr>
  </w:style>
  <w:style w:type="paragraph" w:styleId="Listenabsatz">
    <w:name w:val="List Paragraph"/>
    <w:basedOn w:val="Standard"/>
    <w:uiPriority w:val="34"/>
    <w:qFormat/>
    <w:rsid w:val="00DD5846"/>
    <w:pPr>
      <w:ind w:left="720"/>
      <w:contextualSpacing/>
    </w:pPr>
    <w:rPr>
      <w:rFonts w:ascii="Arial" w:hAnsi="Arial"/>
      <w:sz w:val="20"/>
    </w:rPr>
  </w:style>
  <w:style w:type="paragraph" w:styleId="Inhaltsverzeichnisberschrift">
    <w:name w:val="TOC Heading"/>
    <w:basedOn w:val="berschrift1"/>
    <w:next w:val="Standard"/>
    <w:uiPriority w:val="39"/>
    <w:unhideWhenUsed/>
    <w:qFormat/>
    <w:rsid w:val="00DD5846"/>
    <w:pPr>
      <w:keepLines/>
      <w:tabs>
        <w:tab w:val="clear" w:pos="8460"/>
        <w:tab w:val="left" w:pos="1134"/>
      </w:tabs>
      <w:spacing w:before="480" w:after="120" w:line="276" w:lineRule="auto"/>
      <w:ind w:left="851" w:hanging="851"/>
      <w:jc w:val="left"/>
      <w:outlineLvl w:val="9"/>
    </w:pPr>
    <w:rPr>
      <w:rFonts w:asciiTheme="majorHAnsi" w:eastAsiaTheme="majorEastAsia" w:hAnsiTheme="majorHAnsi" w:cstheme="majorBidi"/>
      <w:color w:val="365F91" w:themeColor="accent1" w:themeShade="BF"/>
      <w:szCs w:val="28"/>
      <w:lang w:eastAsia="de-CH"/>
    </w:rPr>
  </w:style>
  <w:style w:type="paragraph" w:styleId="berarbeitung">
    <w:name w:val="Revision"/>
    <w:hidden/>
    <w:uiPriority w:val="99"/>
    <w:semiHidden/>
    <w:rsid w:val="00DD5846"/>
    <w:rPr>
      <w:rFonts w:ascii="Arial" w:hAnsi="Arial"/>
      <w:szCs w:val="24"/>
      <w:lang w:eastAsia="de-DE"/>
    </w:rPr>
  </w:style>
  <w:style w:type="character" w:customStyle="1" w:styleId="KommentartextZchn">
    <w:name w:val="Kommentartext Zchn"/>
    <w:link w:val="Kommentartext"/>
    <w:uiPriority w:val="99"/>
    <w:rsid w:val="00DD5846"/>
    <w:rPr>
      <w:lang w:eastAsia="de-DE"/>
    </w:rPr>
  </w:style>
  <w:style w:type="character" w:customStyle="1" w:styleId="SprechblasentextZchn">
    <w:name w:val="Sprechblasentext Zchn"/>
    <w:link w:val="Sprechblasentext"/>
    <w:rsid w:val="00DD5846"/>
    <w:rPr>
      <w:rFonts w:ascii="Tahoma" w:hAnsi="Tahoma"/>
      <w:sz w:val="16"/>
      <w:szCs w:val="16"/>
      <w:lang w:eastAsia="de-DE"/>
    </w:rPr>
  </w:style>
  <w:style w:type="paragraph" w:styleId="Aufzhlungszeichen">
    <w:name w:val="List Bullet"/>
    <w:basedOn w:val="Standard"/>
    <w:rsid w:val="00DD5846"/>
    <w:pPr>
      <w:numPr>
        <w:numId w:val="3"/>
      </w:numPr>
      <w:spacing w:after="120" w:line="240" w:lineRule="atLeast"/>
      <w:jc w:val="both"/>
    </w:pPr>
    <w:rPr>
      <w:rFonts w:ascii="Arial" w:eastAsia="Cambria" w:hAnsi="Arial"/>
      <w:sz w:val="20"/>
      <w:lang w:val="de-DE" w:eastAsia="en-US"/>
    </w:rPr>
  </w:style>
  <w:style w:type="character" w:customStyle="1" w:styleId="KommentarthemaZchn">
    <w:name w:val="Kommentarthema Zchn"/>
    <w:link w:val="Kommentarthema"/>
    <w:rsid w:val="00DD5846"/>
    <w:rPr>
      <w:b/>
      <w:bCs/>
      <w:lang w:eastAsia="de-DE"/>
    </w:rPr>
  </w:style>
  <w:style w:type="paragraph" w:styleId="Textkrper3">
    <w:name w:val="Body Text 3"/>
    <w:basedOn w:val="Standard"/>
    <w:link w:val="Textkrper3Zchn"/>
    <w:uiPriority w:val="99"/>
    <w:unhideWhenUsed/>
    <w:rsid w:val="00DD5846"/>
    <w:pPr>
      <w:spacing w:after="120"/>
    </w:pPr>
    <w:rPr>
      <w:rFonts w:ascii="Arial" w:hAnsi="Arial"/>
      <w:sz w:val="16"/>
      <w:szCs w:val="16"/>
    </w:rPr>
  </w:style>
  <w:style w:type="character" w:customStyle="1" w:styleId="Textkrper3Zchn">
    <w:name w:val="Textkörper 3 Zchn"/>
    <w:basedOn w:val="Absatz-Standardschriftart"/>
    <w:link w:val="Textkrper3"/>
    <w:uiPriority w:val="99"/>
    <w:rsid w:val="00DD5846"/>
    <w:rPr>
      <w:rFonts w:ascii="Arial" w:hAnsi="Arial"/>
      <w:sz w:val="16"/>
      <w:szCs w:val="16"/>
      <w:lang w:eastAsia="de-DE"/>
    </w:rPr>
  </w:style>
  <w:style w:type="character" w:customStyle="1" w:styleId="berschrift5Zchn">
    <w:name w:val="Überschrift 5 Zchn"/>
    <w:basedOn w:val="Absatz-Standardschriftart"/>
    <w:link w:val="berschrift5"/>
    <w:rsid w:val="00DD5846"/>
    <w:rPr>
      <w:rFonts w:ascii="Verdana" w:hAnsi="Verdana"/>
      <w:b/>
      <w:sz w:val="22"/>
      <w:szCs w:val="24"/>
      <w:lang w:eastAsia="de-DE"/>
    </w:rPr>
  </w:style>
  <w:style w:type="character" w:styleId="Funotenzeichen">
    <w:name w:val="footnote reference"/>
    <w:uiPriority w:val="99"/>
    <w:semiHidden/>
    <w:unhideWhenUsed/>
    <w:rsid w:val="00DD5846"/>
    <w:rPr>
      <w:vertAlign w:val="superscript"/>
    </w:rPr>
  </w:style>
  <w:style w:type="paragraph" w:styleId="Untertitel">
    <w:name w:val="Subtitle"/>
    <w:next w:val="Standard"/>
    <w:link w:val="UntertitelZchn"/>
    <w:autoRedefine/>
    <w:uiPriority w:val="11"/>
    <w:qFormat/>
    <w:rsid w:val="00DD5846"/>
    <w:pPr>
      <w:numPr>
        <w:ilvl w:val="1"/>
      </w:numPr>
      <w:spacing w:before="240" w:after="120"/>
    </w:pPr>
    <w:rPr>
      <w:rFonts w:asciiTheme="majorHAnsi" w:eastAsiaTheme="majorEastAsia" w:hAnsiTheme="majorHAnsi" w:cstheme="majorBidi"/>
      <w:color w:val="4F81BD" w:themeColor="accent1"/>
      <w:sz w:val="32"/>
      <w:szCs w:val="32"/>
      <w:lang w:val="en-GB" w:eastAsia="en-US"/>
    </w:rPr>
  </w:style>
  <w:style w:type="character" w:customStyle="1" w:styleId="UntertitelZchn">
    <w:name w:val="Untertitel Zchn"/>
    <w:basedOn w:val="Absatz-Standardschriftart"/>
    <w:link w:val="Untertitel"/>
    <w:uiPriority w:val="11"/>
    <w:rsid w:val="00DD5846"/>
    <w:rPr>
      <w:rFonts w:asciiTheme="majorHAnsi" w:eastAsiaTheme="majorEastAsia" w:hAnsiTheme="majorHAnsi" w:cstheme="majorBidi"/>
      <w:color w:val="4F81BD" w:themeColor="accent1"/>
      <w:sz w:val="32"/>
      <w:szCs w:val="32"/>
      <w:lang w:val="en-GB" w:eastAsia="en-US"/>
    </w:rPr>
  </w:style>
  <w:style w:type="paragraph" w:customStyle="1" w:styleId="FINMAStandardAbsatz">
    <w:name w:val="FINMA Standard Absatz"/>
    <w:basedOn w:val="Standard"/>
    <w:qFormat/>
    <w:rsid w:val="00D36D11"/>
    <w:pPr>
      <w:spacing w:before="260" w:after="260" w:line="260" w:lineRule="atLeast"/>
      <w:jc w:val="both"/>
    </w:pPr>
    <w:rPr>
      <w:rFonts w:ascii="Arial" w:hAnsi="Arial"/>
      <w:sz w:val="20"/>
      <w:szCs w:val="20"/>
    </w:rPr>
  </w:style>
  <w:style w:type="paragraph" w:customStyle="1" w:styleId="FINMAGliederungEbene1">
    <w:name w:val="FINMA Gliederung Ebene 1"/>
    <w:basedOn w:val="Standard"/>
    <w:qFormat/>
    <w:rsid w:val="007A36D2"/>
    <w:pPr>
      <w:numPr>
        <w:numId w:val="15"/>
      </w:numPr>
      <w:spacing w:after="80" w:line="260" w:lineRule="atLeast"/>
      <w:jc w:val="both"/>
    </w:pPr>
    <w:rPr>
      <w:rFonts w:ascii="Arial" w:hAnsi="Arial" w:cs="Arial"/>
      <w:sz w:val="20"/>
      <w:szCs w:val="22"/>
    </w:rPr>
  </w:style>
  <w:style w:type="paragraph" w:customStyle="1" w:styleId="FINMAGliederungEbene2">
    <w:name w:val="FINMA Gliederung Ebene 2"/>
    <w:basedOn w:val="Standard"/>
    <w:qFormat/>
    <w:rsid w:val="007A36D2"/>
    <w:pPr>
      <w:numPr>
        <w:ilvl w:val="1"/>
        <w:numId w:val="15"/>
      </w:numPr>
      <w:spacing w:after="80" w:line="260" w:lineRule="atLeast"/>
      <w:jc w:val="both"/>
    </w:pPr>
    <w:rPr>
      <w:rFonts w:ascii="Arial" w:hAnsi="Arial" w:cs="Arial"/>
      <w:sz w:val="20"/>
      <w:szCs w:val="22"/>
    </w:rPr>
  </w:style>
  <w:style w:type="paragraph" w:customStyle="1" w:styleId="FINMAGliederungEbene3">
    <w:name w:val="FINMA Gliederung Ebene 3"/>
    <w:basedOn w:val="Standard"/>
    <w:qFormat/>
    <w:rsid w:val="007A36D2"/>
    <w:pPr>
      <w:numPr>
        <w:ilvl w:val="2"/>
        <w:numId w:val="15"/>
      </w:numPr>
      <w:spacing w:after="80" w:line="260" w:lineRule="atLeast"/>
      <w:jc w:val="both"/>
    </w:pPr>
    <w:rPr>
      <w:rFonts w:ascii="Arial" w:hAnsi="Arial" w:cs="Arial"/>
      <w:sz w:val="20"/>
      <w:szCs w:val="22"/>
    </w:rPr>
  </w:style>
  <w:style w:type="paragraph" w:customStyle="1" w:styleId="FINMAGliederungEbene4">
    <w:name w:val="FINMA Gliederung Ebene 4"/>
    <w:basedOn w:val="Standard"/>
    <w:rsid w:val="007A36D2"/>
    <w:pPr>
      <w:numPr>
        <w:ilvl w:val="3"/>
        <w:numId w:val="15"/>
      </w:numPr>
      <w:spacing w:after="80" w:line="260" w:lineRule="atLeast"/>
      <w:jc w:val="both"/>
    </w:pPr>
    <w:rPr>
      <w:rFonts w:ascii="Arial" w:hAnsi="Arial" w:cs="Arial"/>
      <w:sz w:val="20"/>
      <w:szCs w:val="22"/>
    </w:rPr>
  </w:style>
  <w:style w:type="paragraph" w:customStyle="1" w:styleId="FINMAAufzhlungEbene2">
    <w:name w:val="FINMA Aufzählung Ebene 2"/>
    <w:basedOn w:val="Standard"/>
    <w:qFormat/>
    <w:rsid w:val="00394320"/>
    <w:pPr>
      <w:numPr>
        <w:numId w:val="20"/>
      </w:numPr>
      <w:tabs>
        <w:tab w:val="left" w:pos="312"/>
      </w:tabs>
      <w:spacing w:after="80" w:line="260" w:lineRule="atLeast"/>
      <w:ind w:left="765" w:hanging="357"/>
      <w:jc w:val="both"/>
    </w:pPr>
    <w:rPr>
      <w:rFonts w:ascii="Arial" w:hAnsi="Arial"/>
      <w:sz w:val="20"/>
      <w:szCs w:val="20"/>
    </w:rPr>
  </w:style>
  <w:style w:type="character" w:styleId="BesuchterLink">
    <w:name w:val="FollowedHyperlink"/>
    <w:basedOn w:val="Absatz-Standardschriftart"/>
    <w:uiPriority w:val="99"/>
    <w:semiHidden/>
    <w:unhideWhenUsed/>
    <w:rsid w:val="003322B0"/>
    <w:rPr>
      <w:color w:val="800080" w:themeColor="followedHyperlink"/>
      <w:u w:val="single"/>
    </w:rPr>
  </w:style>
  <w:style w:type="character" w:styleId="NichtaufgelsteErwhnung">
    <w:name w:val="Unresolved Mention"/>
    <w:basedOn w:val="Absatz-Standardschriftart"/>
    <w:uiPriority w:val="99"/>
    <w:semiHidden/>
    <w:unhideWhenUsed/>
    <w:rsid w:val="0055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0113">
      <w:bodyDiv w:val="1"/>
      <w:marLeft w:val="284"/>
      <w:marRight w:val="284"/>
      <w:marTop w:val="0"/>
      <w:marBottom w:val="0"/>
      <w:divBdr>
        <w:top w:val="none" w:sz="0" w:space="0" w:color="auto"/>
        <w:left w:val="none" w:sz="0" w:space="0" w:color="auto"/>
        <w:bottom w:val="none" w:sz="0" w:space="0" w:color="auto"/>
        <w:right w:val="none" w:sz="0" w:space="0" w:color="auto"/>
      </w:divBdr>
      <w:divsChild>
        <w:div w:id="1489323260">
          <w:marLeft w:val="0"/>
          <w:marRight w:val="0"/>
          <w:marTop w:val="220"/>
          <w:marBottom w:val="0"/>
          <w:divBdr>
            <w:top w:val="none" w:sz="0" w:space="0" w:color="auto"/>
            <w:left w:val="none" w:sz="0" w:space="0" w:color="auto"/>
            <w:bottom w:val="none" w:sz="0" w:space="0" w:color="auto"/>
            <w:right w:val="none" w:sz="0" w:space="0" w:color="auto"/>
          </w:divBdr>
          <w:divsChild>
            <w:div w:id="500584003">
              <w:marLeft w:val="0"/>
              <w:marRight w:val="0"/>
              <w:marTop w:val="80"/>
              <w:marBottom w:val="0"/>
              <w:divBdr>
                <w:top w:val="none" w:sz="0" w:space="0" w:color="auto"/>
                <w:left w:val="none" w:sz="0" w:space="0" w:color="auto"/>
                <w:bottom w:val="none" w:sz="0" w:space="0" w:color="auto"/>
                <w:right w:val="none" w:sz="0" w:space="0" w:color="auto"/>
              </w:divBdr>
            </w:div>
            <w:div w:id="1944803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713883">
      <w:bodyDiv w:val="1"/>
      <w:marLeft w:val="0"/>
      <w:marRight w:val="0"/>
      <w:marTop w:val="0"/>
      <w:marBottom w:val="0"/>
      <w:divBdr>
        <w:top w:val="none" w:sz="0" w:space="0" w:color="auto"/>
        <w:left w:val="none" w:sz="0" w:space="0" w:color="auto"/>
        <w:bottom w:val="none" w:sz="0" w:space="0" w:color="auto"/>
        <w:right w:val="none" w:sz="0" w:space="0" w:color="auto"/>
      </w:divBdr>
    </w:div>
    <w:div w:id="274289946">
      <w:bodyDiv w:val="1"/>
      <w:marLeft w:val="284"/>
      <w:marRight w:val="284"/>
      <w:marTop w:val="0"/>
      <w:marBottom w:val="0"/>
      <w:divBdr>
        <w:top w:val="none" w:sz="0" w:space="0" w:color="auto"/>
        <w:left w:val="none" w:sz="0" w:space="0" w:color="auto"/>
        <w:bottom w:val="none" w:sz="0" w:space="0" w:color="auto"/>
        <w:right w:val="none" w:sz="0" w:space="0" w:color="auto"/>
      </w:divBdr>
      <w:divsChild>
        <w:div w:id="471555252">
          <w:marLeft w:val="0"/>
          <w:marRight w:val="0"/>
          <w:marTop w:val="220"/>
          <w:marBottom w:val="0"/>
          <w:divBdr>
            <w:top w:val="none" w:sz="0" w:space="0" w:color="auto"/>
            <w:left w:val="none" w:sz="0" w:space="0" w:color="auto"/>
            <w:bottom w:val="none" w:sz="0" w:space="0" w:color="auto"/>
            <w:right w:val="none" w:sz="0" w:space="0" w:color="auto"/>
          </w:divBdr>
          <w:divsChild>
            <w:div w:id="339815173">
              <w:marLeft w:val="0"/>
              <w:marRight w:val="0"/>
              <w:marTop w:val="80"/>
              <w:marBottom w:val="0"/>
              <w:divBdr>
                <w:top w:val="none" w:sz="0" w:space="0" w:color="auto"/>
                <w:left w:val="none" w:sz="0" w:space="0" w:color="auto"/>
                <w:bottom w:val="none" w:sz="0" w:space="0" w:color="auto"/>
                <w:right w:val="none" w:sz="0" w:space="0" w:color="auto"/>
              </w:divBdr>
            </w:div>
            <w:div w:id="203438368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28220635">
      <w:bodyDiv w:val="1"/>
      <w:marLeft w:val="0"/>
      <w:marRight w:val="0"/>
      <w:marTop w:val="0"/>
      <w:marBottom w:val="0"/>
      <w:divBdr>
        <w:top w:val="none" w:sz="0" w:space="0" w:color="auto"/>
        <w:left w:val="none" w:sz="0" w:space="0" w:color="auto"/>
        <w:bottom w:val="none" w:sz="0" w:space="0" w:color="auto"/>
        <w:right w:val="none" w:sz="0" w:space="0" w:color="auto"/>
      </w:divBdr>
    </w:div>
    <w:div w:id="394472100">
      <w:bodyDiv w:val="1"/>
      <w:marLeft w:val="284"/>
      <w:marRight w:val="284"/>
      <w:marTop w:val="0"/>
      <w:marBottom w:val="0"/>
      <w:divBdr>
        <w:top w:val="none" w:sz="0" w:space="0" w:color="auto"/>
        <w:left w:val="none" w:sz="0" w:space="0" w:color="auto"/>
        <w:bottom w:val="none" w:sz="0" w:space="0" w:color="auto"/>
        <w:right w:val="none" w:sz="0" w:space="0" w:color="auto"/>
      </w:divBdr>
      <w:divsChild>
        <w:div w:id="736368382">
          <w:marLeft w:val="0"/>
          <w:marRight w:val="0"/>
          <w:marTop w:val="220"/>
          <w:marBottom w:val="0"/>
          <w:divBdr>
            <w:top w:val="none" w:sz="0" w:space="0" w:color="auto"/>
            <w:left w:val="none" w:sz="0" w:space="0" w:color="auto"/>
            <w:bottom w:val="none" w:sz="0" w:space="0" w:color="auto"/>
            <w:right w:val="none" w:sz="0" w:space="0" w:color="auto"/>
          </w:divBdr>
          <w:divsChild>
            <w:div w:id="1654067679">
              <w:marLeft w:val="0"/>
              <w:marRight w:val="0"/>
              <w:marTop w:val="80"/>
              <w:marBottom w:val="0"/>
              <w:divBdr>
                <w:top w:val="none" w:sz="0" w:space="0" w:color="auto"/>
                <w:left w:val="none" w:sz="0" w:space="0" w:color="auto"/>
                <w:bottom w:val="none" w:sz="0" w:space="0" w:color="auto"/>
                <w:right w:val="none" w:sz="0" w:space="0" w:color="auto"/>
              </w:divBdr>
              <w:divsChild>
                <w:div w:id="730620497">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27194579">
      <w:bodyDiv w:val="1"/>
      <w:marLeft w:val="284"/>
      <w:marRight w:val="284"/>
      <w:marTop w:val="0"/>
      <w:marBottom w:val="0"/>
      <w:divBdr>
        <w:top w:val="none" w:sz="0" w:space="0" w:color="auto"/>
        <w:left w:val="none" w:sz="0" w:space="0" w:color="auto"/>
        <w:bottom w:val="none" w:sz="0" w:space="0" w:color="auto"/>
        <w:right w:val="none" w:sz="0" w:space="0" w:color="auto"/>
      </w:divBdr>
      <w:divsChild>
        <w:div w:id="834221784">
          <w:marLeft w:val="0"/>
          <w:marRight w:val="0"/>
          <w:marTop w:val="220"/>
          <w:marBottom w:val="0"/>
          <w:divBdr>
            <w:top w:val="none" w:sz="0" w:space="0" w:color="auto"/>
            <w:left w:val="none" w:sz="0" w:space="0" w:color="auto"/>
            <w:bottom w:val="none" w:sz="0" w:space="0" w:color="auto"/>
            <w:right w:val="none" w:sz="0" w:space="0" w:color="auto"/>
          </w:divBdr>
          <w:divsChild>
            <w:div w:id="1016082080">
              <w:marLeft w:val="0"/>
              <w:marRight w:val="0"/>
              <w:marTop w:val="80"/>
              <w:marBottom w:val="0"/>
              <w:divBdr>
                <w:top w:val="none" w:sz="0" w:space="0" w:color="auto"/>
                <w:left w:val="none" w:sz="0" w:space="0" w:color="auto"/>
                <w:bottom w:val="none" w:sz="0" w:space="0" w:color="auto"/>
                <w:right w:val="none" w:sz="0" w:space="0" w:color="auto"/>
              </w:divBdr>
            </w:div>
            <w:div w:id="1025135414">
              <w:marLeft w:val="0"/>
              <w:marRight w:val="0"/>
              <w:marTop w:val="80"/>
              <w:marBottom w:val="0"/>
              <w:divBdr>
                <w:top w:val="none" w:sz="0" w:space="0" w:color="auto"/>
                <w:left w:val="none" w:sz="0" w:space="0" w:color="auto"/>
                <w:bottom w:val="none" w:sz="0" w:space="0" w:color="auto"/>
                <w:right w:val="none" w:sz="0" w:space="0" w:color="auto"/>
              </w:divBdr>
            </w:div>
            <w:div w:id="1327586005">
              <w:marLeft w:val="0"/>
              <w:marRight w:val="0"/>
              <w:marTop w:val="80"/>
              <w:marBottom w:val="0"/>
              <w:divBdr>
                <w:top w:val="none" w:sz="0" w:space="0" w:color="auto"/>
                <w:left w:val="none" w:sz="0" w:space="0" w:color="auto"/>
                <w:bottom w:val="none" w:sz="0" w:space="0" w:color="auto"/>
                <w:right w:val="none" w:sz="0" w:space="0" w:color="auto"/>
              </w:divBdr>
            </w:div>
            <w:div w:id="17679932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6745981">
      <w:bodyDiv w:val="1"/>
      <w:marLeft w:val="284"/>
      <w:marRight w:val="284"/>
      <w:marTop w:val="0"/>
      <w:marBottom w:val="0"/>
      <w:divBdr>
        <w:top w:val="none" w:sz="0" w:space="0" w:color="auto"/>
        <w:left w:val="none" w:sz="0" w:space="0" w:color="auto"/>
        <w:bottom w:val="none" w:sz="0" w:space="0" w:color="auto"/>
        <w:right w:val="none" w:sz="0" w:space="0" w:color="auto"/>
      </w:divBdr>
      <w:divsChild>
        <w:div w:id="1341153891">
          <w:marLeft w:val="0"/>
          <w:marRight w:val="0"/>
          <w:marTop w:val="0"/>
          <w:marBottom w:val="0"/>
          <w:divBdr>
            <w:top w:val="none" w:sz="0" w:space="0" w:color="auto"/>
            <w:left w:val="none" w:sz="0" w:space="0" w:color="auto"/>
            <w:bottom w:val="none" w:sz="0" w:space="0" w:color="auto"/>
            <w:right w:val="none" w:sz="0" w:space="0" w:color="auto"/>
          </w:divBdr>
          <w:divsChild>
            <w:div w:id="228813522">
              <w:marLeft w:val="0"/>
              <w:marRight w:val="0"/>
              <w:marTop w:val="480"/>
              <w:marBottom w:val="0"/>
              <w:divBdr>
                <w:top w:val="none" w:sz="0" w:space="0" w:color="auto"/>
                <w:left w:val="none" w:sz="0" w:space="0" w:color="auto"/>
                <w:bottom w:val="none" w:sz="0" w:space="0" w:color="auto"/>
                <w:right w:val="none" w:sz="0" w:space="0" w:color="auto"/>
              </w:divBdr>
            </w:div>
            <w:div w:id="324935945">
              <w:marLeft w:val="0"/>
              <w:marRight w:val="0"/>
              <w:marTop w:val="300"/>
              <w:marBottom w:val="0"/>
              <w:divBdr>
                <w:top w:val="none" w:sz="0" w:space="0" w:color="auto"/>
                <w:left w:val="none" w:sz="0" w:space="0" w:color="auto"/>
                <w:bottom w:val="none" w:sz="0" w:space="0" w:color="auto"/>
                <w:right w:val="none" w:sz="0" w:space="0" w:color="auto"/>
              </w:divBdr>
            </w:div>
            <w:div w:id="378555352">
              <w:marLeft w:val="0"/>
              <w:marRight w:val="0"/>
              <w:marTop w:val="74"/>
              <w:marBottom w:val="0"/>
              <w:divBdr>
                <w:top w:val="none" w:sz="0" w:space="0" w:color="auto"/>
                <w:left w:val="none" w:sz="0" w:space="0" w:color="auto"/>
                <w:bottom w:val="none" w:sz="0" w:space="0" w:color="auto"/>
                <w:right w:val="none" w:sz="0" w:space="0" w:color="auto"/>
              </w:divBdr>
            </w:div>
            <w:div w:id="516845544">
              <w:marLeft w:val="0"/>
              <w:marRight w:val="0"/>
              <w:marTop w:val="130"/>
              <w:marBottom w:val="0"/>
              <w:divBdr>
                <w:top w:val="none" w:sz="0" w:space="0" w:color="auto"/>
                <w:left w:val="none" w:sz="0" w:space="0" w:color="auto"/>
                <w:bottom w:val="none" w:sz="0" w:space="0" w:color="auto"/>
                <w:right w:val="none" w:sz="0" w:space="0" w:color="auto"/>
              </w:divBdr>
              <w:divsChild>
                <w:div w:id="1273393222">
                  <w:marLeft w:val="284"/>
                  <w:marRight w:val="0"/>
                  <w:marTop w:val="60"/>
                  <w:marBottom w:val="0"/>
                  <w:divBdr>
                    <w:top w:val="none" w:sz="0" w:space="0" w:color="auto"/>
                    <w:left w:val="none" w:sz="0" w:space="0" w:color="auto"/>
                    <w:bottom w:val="none" w:sz="0" w:space="0" w:color="auto"/>
                    <w:right w:val="none" w:sz="0" w:space="0" w:color="auto"/>
                  </w:divBdr>
                </w:div>
                <w:div w:id="1341663125">
                  <w:marLeft w:val="284"/>
                  <w:marRight w:val="0"/>
                  <w:marTop w:val="60"/>
                  <w:marBottom w:val="0"/>
                  <w:divBdr>
                    <w:top w:val="none" w:sz="0" w:space="0" w:color="auto"/>
                    <w:left w:val="none" w:sz="0" w:space="0" w:color="auto"/>
                    <w:bottom w:val="none" w:sz="0" w:space="0" w:color="auto"/>
                    <w:right w:val="none" w:sz="0" w:space="0" w:color="auto"/>
                  </w:divBdr>
                </w:div>
              </w:divsChild>
            </w:div>
            <w:div w:id="1126698813">
              <w:marLeft w:val="0"/>
              <w:marRight w:val="0"/>
              <w:marTop w:val="130"/>
              <w:marBottom w:val="0"/>
              <w:divBdr>
                <w:top w:val="none" w:sz="0" w:space="0" w:color="auto"/>
                <w:left w:val="none" w:sz="0" w:space="0" w:color="auto"/>
                <w:bottom w:val="none" w:sz="0" w:space="0" w:color="auto"/>
                <w:right w:val="none" w:sz="0" w:space="0" w:color="auto"/>
              </w:divBdr>
            </w:div>
            <w:div w:id="1255090107">
              <w:marLeft w:val="0"/>
              <w:marRight w:val="0"/>
              <w:marTop w:val="74"/>
              <w:marBottom w:val="0"/>
              <w:divBdr>
                <w:top w:val="none" w:sz="0" w:space="0" w:color="auto"/>
                <w:left w:val="none" w:sz="0" w:space="0" w:color="auto"/>
                <w:bottom w:val="none" w:sz="0" w:space="0" w:color="auto"/>
                <w:right w:val="none" w:sz="0" w:space="0" w:color="auto"/>
              </w:divBdr>
              <w:divsChild>
                <w:div w:id="357699944">
                  <w:marLeft w:val="284"/>
                  <w:marRight w:val="0"/>
                  <w:marTop w:val="60"/>
                  <w:marBottom w:val="0"/>
                  <w:divBdr>
                    <w:top w:val="none" w:sz="0" w:space="0" w:color="auto"/>
                    <w:left w:val="none" w:sz="0" w:space="0" w:color="auto"/>
                    <w:bottom w:val="none" w:sz="0" w:space="0" w:color="auto"/>
                    <w:right w:val="none" w:sz="0" w:space="0" w:color="auto"/>
                  </w:divBdr>
                </w:div>
                <w:div w:id="676421243">
                  <w:marLeft w:val="284"/>
                  <w:marRight w:val="0"/>
                  <w:marTop w:val="60"/>
                  <w:marBottom w:val="0"/>
                  <w:divBdr>
                    <w:top w:val="none" w:sz="0" w:space="0" w:color="auto"/>
                    <w:left w:val="none" w:sz="0" w:space="0" w:color="auto"/>
                    <w:bottom w:val="none" w:sz="0" w:space="0" w:color="auto"/>
                    <w:right w:val="none" w:sz="0" w:space="0" w:color="auto"/>
                  </w:divBdr>
                </w:div>
                <w:div w:id="1045760110">
                  <w:marLeft w:val="284"/>
                  <w:marRight w:val="0"/>
                  <w:marTop w:val="60"/>
                  <w:marBottom w:val="0"/>
                  <w:divBdr>
                    <w:top w:val="none" w:sz="0" w:space="0" w:color="auto"/>
                    <w:left w:val="none" w:sz="0" w:space="0" w:color="auto"/>
                    <w:bottom w:val="none" w:sz="0" w:space="0" w:color="auto"/>
                    <w:right w:val="none" w:sz="0" w:space="0" w:color="auto"/>
                  </w:divBdr>
                </w:div>
                <w:div w:id="1156804604">
                  <w:marLeft w:val="284"/>
                  <w:marRight w:val="0"/>
                  <w:marTop w:val="60"/>
                  <w:marBottom w:val="0"/>
                  <w:divBdr>
                    <w:top w:val="none" w:sz="0" w:space="0" w:color="auto"/>
                    <w:left w:val="none" w:sz="0" w:space="0" w:color="auto"/>
                    <w:bottom w:val="none" w:sz="0" w:space="0" w:color="auto"/>
                    <w:right w:val="none" w:sz="0" w:space="0" w:color="auto"/>
                  </w:divBdr>
                </w:div>
                <w:div w:id="1192693726">
                  <w:marLeft w:val="284"/>
                  <w:marRight w:val="0"/>
                  <w:marTop w:val="60"/>
                  <w:marBottom w:val="0"/>
                  <w:divBdr>
                    <w:top w:val="none" w:sz="0" w:space="0" w:color="auto"/>
                    <w:left w:val="none" w:sz="0" w:space="0" w:color="auto"/>
                    <w:bottom w:val="none" w:sz="0" w:space="0" w:color="auto"/>
                    <w:right w:val="none" w:sz="0" w:space="0" w:color="auto"/>
                  </w:divBdr>
                </w:div>
                <w:div w:id="1707945311">
                  <w:marLeft w:val="284"/>
                  <w:marRight w:val="0"/>
                  <w:marTop w:val="60"/>
                  <w:marBottom w:val="0"/>
                  <w:divBdr>
                    <w:top w:val="none" w:sz="0" w:space="0" w:color="auto"/>
                    <w:left w:val="none" w:sz="0" w:space="0" w:color="auto"/>
                    <w:bottom w:val="none" w:sz="0" w:space="0" w:color="auto"/>
                    <w:right w:val="none" w:sz="0" w:space="0" w:color="auto"/>
                  </w:divBdr>
                </w:div>
                <w:div w:id="1810393648">
                  <w:marLeft w:val="284"/>
                  <w:marRight w:val="0"/>
                  <w:marTop w:val="60"/>
                  <w:marBottom w:val="0"/>
                  <w:divBdr>
                    <w:top w:val="none" w:sz="0" w:space="0" w:color="auto"/>
                    <w:left w:val="none" w:sz="0" w:space="0" w:color="auto"/>
                    <w:bottom w:val="none" w:sz="0" w:space="0" w:color="auto"/>
                    <w:right w:val="none" w:sz="0" w:space="0" w:color="auto"/>
                  </w:divBdr>
                </w:div>
              </w:divsChild>
            </w:div>
            <w:div w:id="1454597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031816">
      <w:bodyDiv w:val="1"/>
      <w:marLeft w:val="0"/>
      <w:marRight w:val="0"/>
      <w:marTop w:val="0"/>
      <w:marBottom w:val="0"/>
      <w:divBdr>
        <w:top w:val="none" w:sz="0" w:space="0" w:color="auto"/>
        <w:left w:val="none" w:sz="0" w:space="0" w:color="auto"/>
        <w:bottom w:val="none" w:sz="0" w:space="0" w:color="auto"/>
        <w:right w:val="none" w:sz="0" w:space="0" w:color="auto"/>
      </w:divBdr>
    </w:div>
    <w:div w:id="510876421">
      <w:bodyDiv w:val="1"/>
      <w:marLeft w:val="284"/>
      <w:marRight w:val="284"/>
      <w:marTop w:val="0"/>
      <w:marBottom w:val="0"/>
      <w:divBdr>
        <w:top w:val="none" w:sz="0" w:space="0" w:color="auto"/>
        <w:left w:val="none" w:sz="0" w:space="0" w:color="auto"/>
        <w:bottom w:val="none" w:sz="0" w:space="0" w:color="auto"/>
        <w:right w:val="none" w:sz="0" w:space="0" w:color="auto"/>
      </w:divBdr>
      <w:divsChild>
        <w:div w:id="1893957251">
          <w:marLeft w:val="0"/>
          <w:marRight w:val="0"/>
          <w:marTop w:val="220"/>
          <w:marBottom w:val="0"/>
          <w:divBdr>
            <w:top w:val="none" w:sz="0" w:space="0" w:color="auto"/>
            <w:left w:val="none" w:sz="0" w:space="0" w:color="auto"/>
            <w:bottom w:val="none" w:sz="0" w:space="0" w:color="auto"/>
            <w:right w:val="none" w:sz="0" w:space="0" w:color="auto"/>
          </w:divBdr>
          <w:divsChild>
            <w:div w:id="567348648">
              <w:marLeft w:val="0"/>
              <w:marRight w:val="0"/>
              <w:marTop w:val="80"/>
              <w:marBottom w:val="0"/>
              <w:divBdr>
                <w:top w:val="none" w:sz="0" w:space="0" w:color="auto"/>
                <w:left w:val="none" w:sz="0" w:space="0" w:color="auto"/>
                <w:bottom w:val="none" w:sz="0" w:space="0" w:color="auto"/>
                <w:right w:val="none" w:sz="0" w:space="0" w:color="auto"/>
              </w:divBdr>
            </w:div>
            <w:div w:id="2049139229">
              <w:marLeft w:val="0"/>
              <w:marRight w:val="0"/>
              <w:marTop w:val="80"/>
              <w:marBottom w:val="0"/>
              <w:divBdr>
                <w:top w:val="none" w:sz="0" w:space="0" w:color="auto"/>
                <w:left w:val="none" w:sz="0" w:space="0" w:color="auto"/>
                <w:bottom w:val="none" w:sz="0" w:space="0" w:color="auto"/>
                <w:right w:val="none" w:sz="0" w:space="0" w:color="auto"/>
              </w:divBdr>
              <w:divsChild>
                <w:div w:id="870074583">
                  <w:marLeft w:val="284"/>
                  <w:marRight w:val="0"/>
                  <w:marTop w:val="60"/>
                  <w:marBottom w:val="0"/>
                  <w:divBdr>
                    <w:top w:val="none" w:sz="0" w:space="0" w:color="auto"/>
                    <w:left w:val="none" w:sz="0" w:space="0" w:color="auto"/>
                    <w:bottom w:val="none" w:sz="0" w:space="0" w:color="auto"/>
                    <w:right w:val="none" w:sz="0" w:space="0" w:color="auto"/>
                  </w:divBdr>
                </w:div>
                <w:div w:id="1646204314">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054435">
      <w:bodyDiv w:val="1"/>
      <w:marLeft w:val="0"/>
      <w:marRight w:val="0"/>
      <w:marTop w:val="0"/>
      <w:marBottom w:val="0"/>
      <w:divBdr>
        <w:top w:val="none" w:sz="0" w:space="0" w:color="auto"/>
        <w:left w:val="none" w:sz="0" w:space="0" w:color="auto"/>
        <w:bottom w:val="none" w:sz="0" w:space="0" w:color="auto"/>
        <w:right w:val="none" w:sz="0" w:space="0" w:color="auto"/>
      </w:divBdr>
      <w:divsChild>
        <w:div w:id="947469450">
          <w:marLeft w:val="0"/>
          <w:marRight w:val="0"/>
          <w:marTop w:val="240"/>
          <w:marBottom w:val="240"/>
          <w:divBdr>
            <w:top w:val="single" w:sz="6" w:space="12" w:color="CCCC99"/>
            <w:left w:val="single" w:sz="6" w:space="12" w:color="CCCC99"/>
            <w:bottom w:val="single" w:sz="6" w:space="12" w:color="CCCC99"/>
            <w:right w:val="single" w:sz="6" w:space="12" w:color="CCCC99"/>
          </w:divBdr>
          <w:divsChild>
            <w:div w:id="16979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32">
      <w:bodyDiv w:val="1"/>
      <w:marLeft w:val="284"/>
      <w:marRight w:val="284"/>
      <w:marTop w:val="0"/>
      <w:marBottom w:val="0"/>
      <w:divBdr>
        <w:top w:val="none" w:sz="0" w:space="0" w:color="auto"/>
        <w:left w:val="none" w:sz="0" w:space="0" w:color="auto"/>
        <w:bottom w:val="none" w:sz="0" w:space="0" w:color="auto"/>
        <w:right w:val="none" w:sz="0" w:space="0" w:color="auto"/>
      </w:divBdr>
      <w:divsChild>
        <w:div w:id="243809335">
          <w:marLeft w:val="0"/>
          <w:marRight w:val="0"/>
          <w:marTop w:val="220"/>
          <w:marBottom w:val="0"/>
          <w:divBdr>
            <w:top w:val="none" w:sz="0" w:space="0" w:color="auto"/>
            <w:left w:val="none" w:sz="0" w:space="0" w:color="auto"/>
            <w:bottom w:val="none" w:sz="0" w:space="0" w:color="auto"/>
            <w:right w:val="none" w:sz="0" w:space="0" w:color="auto"/>
          </w:divBdr>
          <w:divsChild>
            <w:div w:id="501437857">
              <w:marLeft w:val="0"/>
              <w:marRight w:val="0"/>
              <w:marTop w:val="80"/>
              <w:marBottom w:val="0"/>
              <w:divBdr>
                <w:top w:val="none" w:sz="0" w:space="0" w:color="auto"/>
                <w:left w:val="none" w:sz="0" w:space="0" w:color="auto"/>
                <w:bottom w:val="none" w:sz="0" w:space="0" w:color="auto"/>
                <w:right w:val="none" w:sz="0" w:space="0" w:color="auto"/>
              </w:divBdr>
            </w:div>
            <w:div w:id="863130069">
              <w:marLeft w:val="0"/>
              <w:marRight w:val="0"/>
              <w:marTop w:val="80"/>
              <w:marBottom w:val="0"/>
              <w:divBdr>
                <w:top w:val="none" w:sz="0" w:space="0" w:color="auto"/>
                <w:left w:val="none" w:sz="0" w:space="0" w:color="auto"/>
                <w:bottom w:val="none" w:sz="0" w:space="0" w:color="auto"/>
                <w:right w:val="none" w:sz="0" w:space="0" w:color="auto"/>
              </w:divBdr>
            </w:div>
            <w:div w:id="1371875498">
              <w:marLeft w:val="0"/>
              <w:marRight w:val="0"/>
              <w:marTop w:val="80"/>
              <w:marBottom w:val="0"/>
              <w:divBdr>
                <w:top w:val="none" w:sz="0" w:space="0" w:color="auto"/>
                <w:left w:val="none" w:sz="0" w:space="0" w:color="auto"/>
                <w:bottom w:val="none" w:sz="0" w:space="0" w:color="auto"/>
                <w:right w:val="none" w:sz="0" w:space="0" w:color="auto"/>
              </w:divBdr>
            </w:div>
            <w:div w:id="1897935344">
              <w:marLeft w:val="0"/>
              <w:marRight w:val="0"/>
              <w:marTop w:val="80"/>
              <w:marBottom w:val="0"/>
              <w:divBdr>
                <w:top w:val="none" w:sz="0" w:space="0" w:color="auto"/>
                <w:left w:val="none" w:sz="0" w:space="0" w:color="auto"/>
                <w:bottom w:val="none" w:sz="0" w:space="0" w:color="auto"/>
                <w:right w:val="none" w:sz="0" w:space="0" w:color="auto"/>
              </w:divBdr>
            </w:div>
            <w:div w:id="198319241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50126832">
      <w:bodyDiv w:val="1"/>
      <w:marLeft w:val="284"/>
      <w:marRight w:val="284"/>
      <w:marTop w:val="0"/>
      <w:marBottom w:val="0"/>
      <w:divBdr>
        <w:top w:val="none" w:sz="0" w:space="0" w:color="auto"/>
        <w:left w:val="none" w:sz="0" w:space="0" w:color="auto"/>
        <w:bottom w:val="none" w:sz="0" w:space="0" w:color="auto"/>
        <w:right w:val="none" w:sz="0" w:space="0" w:color="auto"/>
      </w:divBdr>
      <w:divsChild>
        <w:div w:id="962930875">
          <w:marLeft w:val="0"/>
          <w:marRight w:val="0"/>
          <w:marTop w:val="220"/>
          <w:marBottom w:val="0"/>
          <w:divBdr>
            <w:top w:val="none" w:sz="0" w:space="0" w:color="auto"/>
            <w:left w:val="none" w:sz="0" w:space="0" w:color="auto"/>
            <w:bottom w:val="none" w:sz="0" w:space="0" w:color="auto"/>
            <w:right w:val="none" w:sz="0" w:space="0" w:color="auto"/>
          </w:divBdr>
          <w:divsChild>
            <w:div w:id="1137071145">
              <w:marLeft w:val="0"/>
              <w:marRight w:val="0"/>
              <w:marTop w:val="80"/>
              <w:marBottom w:val="0"/>
              <w:divBdr>
                <w:top w:val="none" w:sz="0" w:space="0" w:color="auto"/>
                <w:left w:val="none" w:sz="0" w:space="0" w:color="auto"/>
                <w:bottom w:val="none" w:sz="0" w:space="0" w:color="auto"/>
                <w:right w:val="none" w:sz="0" w:space="0" w:color="auto"/>
              </w:divBdr>
            </w:div>
            <w:div w:id="1215892856">
              <w:marLeft w:val="0"/>
              <w:marRight w:val="0"/>
              <w:marTop w:val="80"/>
              <w:marBottom w:val="0"/>
              <w:divBdr>
                <w:top w:val="none" w:sz="0" w:space="0" w:color="auto"/>
                <w:left w:val="none" w:sz="0" w:space="0" w:color="auto"/>
                <w:bottom w:val="none" w:sz="0" w:space="0" w:color="auto"/>
                <w:right w:val="none" w:sz="0" w:space="0" w:color="auto"/>
              </w:divBdr>
            </w:div>
            <w:div w:id="1706907302">
              <w:marLeft w:val="0"/>
              <w:marRight w:val="0"/>
              <w:marTop w:val="80"/>
              <w:marBottom w:val="0"/>
              <w:divBdr>
                <w:top w:val="none" w:sz="0" w:space="0" w:color="auto"/>
                <w:left w:val="none" w:sz="0" w:space="0" w:color="auto"/>
                <w:bottom w:val="none" w:sz="0" w:space="0" w:color="auto"/>
                <w:right w:val="none" w:sz="0" w:space="0" w:color="auto"/>
              </w:divBdr>
            </w:div>
            <w:div w:id="213386549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834493543">
      <w:bodyDiv w:val="1"/>
      <w:marLeft w:val="0"/>
      <w:marRight w:val="0"/>
      <w:marTop w:val="0"/>
      <w:marBottom w:val="0"/>
      <w:divBdr>
        <w:top w:val="none" w:sz="0" w:space="0" w:color="auto"/>
        <w:left w:val="none" w:sz="0" w:space="0" w:color="auto"/>
        <w:bottom w:val="none" w:sz="0" w:space="0" w:color="auto"/>
        <w:right w:val="none" w:sz="0" w:space="0" w:color="auto"/>
      </w:divBdr>
    </w:div>
    <w:div w:id="854729094">
      <w:bodyDiv w:val="1"/>
      <w:marLeft w:val="0"/>
      <w:marRight w:val="0"/>
      <w:marTop w:val="0"/>
      <w:marBottom w:val="0"/>
      <w:divBdr>
        <w:top w:val="none" w:sz="0" w:space="0" w:color="auto"/>
        <w:left w:val="none" w:sz="0" w:space="0" w:color="auto"/>
        <w:bottom w:val="none" w:sz="0" w:space="0" w:color="auto"/>
        <w:right w:val="none" w:sz="0" w:space="0" w:color="auto"/>
      </w:divBdr>
    </w:div>
    <w:div w:id="874997472">
      <w:bodyDiv w:val="1"/>
      <w:marLeft w:val="0"/>
      <w:marRight w:val="0"/>
      <w:marTop w:val="0"/>
      <w:marBottom w:val="0"/>
      <w:divBdr>
        <w:top w:val="none" w:sz="0" w:space="0" w:color="auto"/>
        <w:left w:val="none" w:sz="0" w:space="0" w:color="auto"/>
        <w:bottom w:val="none" w:sz="0" w:space="0" w:color="auto"/>
        <w:right w:val="none" w:sz="0" w:space="0" w:color="auto"/>
      </w:divBdr>
    </w:div>
    <w:div w:id="1327126274">
      <w:bodyDiv w:val="1"/>
      <w:marLeft w:val="284"/>
      <w:marRight w:val="284"/>
      <w:marTop w:val="0"/>
      <w:marBottom w:val="0"/>
      <w:divBdr>
        <w:top w:val="none" w:sz="0" w:space="0" w:color="auto"/>
        <w:left w:val="none" w:sz="0" w:space="0" w:color="auto"/>
        <w:bottom w:val="none" w:sz="0" w:space="0" w:color="auto"/>
        <w:right w:val="none" w:sz="0" w:space="0" w:color="auto"/>
      </w:divBdr>
      <w:divsChild>
        <w:div w:id="1681003613">
          <w:marLeft w:val="0"/>
          <w:marRight w:val="0"/>
          <w:marTop w:val="220"/>
          <w:marBottom w:val="0"/>
          <w:divBdr>
            <w:top w:val="none" w:sz="0" w:space="0" w:color="auto"/>
            <w:left w:val="none" w:sz="0" w:space="0" w:color="auto"/>
            <w:bottom w:val="none" w:sz="0" w:space="0" w:color="auto"/>
            <w:right w:val="none" w:sz="0" w:space="0" w:color="auto"/>
          </w:divBdr>
          <w:divsChild>
            <w:div w:id="43719241">
              <w:marLeft w:val="0"/>
              <w:marRight w:val="0"/>
              <w:marTop w:val="80"/>
              <w:marBottom w:val="0"/>
              <w:divBdr>
                <w:top w:val="none" w:sz="0" w:space="0" w:color="auto"/>
                <w:left w:val="none" w:sz="0" w:space="0" w:color="auto"/>
                <w:bottom w:val="none" w:sz="0" w:space="0" w:color="auto"/>
                <w:right w:val="none" w:sz="0" w:space="0" w:color="auto"/>
              </w:divBdr>
            </w:div>
            <w:div w:id="1243179616">
              <w:marLeft w:val="0"/>
              <w:marRight w:val="0"/>
              <w:marTop w:val="80"/>
              <w:marBottom w:val="0"/>
              <w:divBdr>
                <w:top w:val="none" w:sz="0" w:space="0" w:color="auto"/>
                <w:left w:val="none" w:sz="0" w:space="0" w:color="auto"/>
                <w:bottom w:val="none" w:sz="0" w:space="0" w:color="auto"/>
                <w:right w:val="none" w:sz="0" w:space="0" w:color="auto"/>
              </w:divBdr>
              <w:divsChild>
                <w:div w:id="1872838606">
                  <w:marLeft w:val="284"/>
                  <w:marRight w:val="0"/>
                  <w:marTop w:val="60"/>
                  <w:marBottom w:val="0"/>
                  <w:divBdr>
                    <w:top w:val="none" w:sz="0" w:space="0" w:color="auto"/>
                    <w:left w:val="none" w:sz="0" w:space="0" w:color="auto"/>
                    <w:bottom w:val="none" w:sz="0" w:space="0" w:color="auto"/>
                    <w:right w:val="none" w:sz="0" w:space="0" w:color="auto"/>
                  </w:divBdr>
                </w:div>
                <w:div w:id="193176793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60306660">
      <w:bodyDiv w:val="1"/>
      <w:marLeft w:val="0"/>
      <w:marRight w:val="0"/>
      <w:marTop w:val="0"/>
      <w:marBottom w:val="0"/>
      <w:divBdr>
        <w:top w:val="none" w:sz="0" w:space="0" w:color="auto"/>
        <w:left w:val="none" w:sz="0" w:space="0" w:color="auto"/>
        <w:bottom w:val="none" w:sz="0" w:space="0" w:color="auto"/>
        <w:right w:val="none" w:sz="0" w:space="0" w:color="auto"/>
      </w:divBdr>
    </w:div>
    <w:div w:id="1720713555">
      <w:bodyDiv w:val="1"/>
      <w:marLeft w:val="0"/>
      <w:marRight w:val="0"/>
      <w:marTop w:val="0"/>
      <w:marBottom w:val="0"/>
      <w:divBdr>
        <w:top w:val="none" w:sz="0" w:space="0" w:color="auto"/>
        <w:left w:val="none" w:sz="0" w:space="0" w:color="auto"/>
        <w:bottom w:val="none" w:sz="0" w:space="0" w:color="auto"/>
        <w:right w:val="none" w:sz="0" w:space="0" w:color="auto"/>
      </w:divBdr>
    </w:div>
    <w:div w:id="1775713336">
      <w:bodyDiv w:val="1"/>
      <w:marLeft w:val="284"/>
      <w:marRight w:val="284"/>
      <w:marTop w:val="0"/>
      <w:marBottom w:val="0"/>
      <w:divBdr>
        <w:top w:val="none" w:sz="0" w:space="0" w:color="auto"/>
        <w:left w:val="none" w:sz="0" w:space="0" w:color="auto"/>
        <w:bottom w:val="none" w:sz="0" w:space="0" w:color="auto"/>
        <w:right w:val="none" w:sz="0" w:space="0" w:color="auto"/>
      </w:divBdr>
      <w:divsChild>
        <w:div w:id="1944192737">
          <w:marLeft w:val="0"/>
          <w:marRight w:val="0"/>
          <w:marTop w:val="0"/>
          <w:marBottom w:val="0"/>
          <w:divBdr>
            <w:top w:val="none" w:sz="0" w:space="0" w:color="auto"/>
            <w:left w:val="none" w:sz="0" w:space="0" w:color="auto"/>
            <w:bottom w:val="none" w:sz="0" w:space="0" w:color="auto"/>
            <w:right w:val="none" w:sz="0" w:space="0" w:color="auto"/>
          </w:divBdr>
          <w:divsChild>
            <w:div w:id="333147843">
              <w:marLeft w:val="0"/>
              <w:marRight w:val="0"/>
              <w:marTop w:val="300"/>
              <w:marBottom w:val="0"/>
              <w:divBdr>
                <w:top w:val="none" w:sz="0" w:space="0" w:color="auto"/>
                <w:left w:val="none" w:sz="0" w:space="0" w:color="auto"/>
                <w:bottom w:val="none" w:sz="0" w:space="0" w:color="auto"/>
                <w:right w:val="none" w:sz="0" w:space="0" w:color="auto"/>
              </w:divBdr>
            </w:div>
            <w:div w:id="374550145">
              <w:marLeft w:val="0"/>
              <w:marRight w:val="0"/>
              <w:marTop w:val="130"/>
              <w:marBottom w:val="0"/>
              <w:divBdr>
                <w:top w:val="none" w:sz="0" w:space="0" w:color="auto"/>
                <w:left w:val="none" w:sz="0" w:space="0" w:color="auto"/>
                <w:bottom w:val="none" w:sz="0" w:space="0" w:color="auto"/>
                <w:right w:val="none" w:sz="0" w:space="0" w:color="auto"/>
              </w:divBdr>
            </w:div>
            <w:div w:id="379672172">
              <w:marLeft w:val="0"/>
              <w:marRight w:val="0"/>
              <w:marTop w:val="300"/>
              <w:marBottom w:val="0"/>
              <w:divBdr>
                <w:top w:val="none" w:sz="0" w:space="0" w:color="auto"/>
                <w:left w:val="none" w:sz="0" w:space="0" w:color="auto"/>
                <w:bottom w:val="none" w:sz="0" w:space="0" w:color="auto"/>
                <w:right w:val="none" w:sz="0" w:space="0" w:color="auto"/>
              </w:divBdr>
            </w:div>
            <w:div w:id="1424523083">
              <w:marLeft w:val="0"/>
              <w:marRight w:val="0"/>
              <w:marTop w:val="130"/>
              <w:marBottom w:val="0"/>
              <w:divBdr>
                <w:top w:val="none" w:sz="0" w:space="0" w:color="auto"/>
                <w:left w:val="none" w:sz="0" w:space="0" w:color="auto"/>
                <w:bottom w:val="none" w:sz="0" w:space="0" w:color="auto"/>
                <w:right w:val="none" w:sz="0" w:space="0" w:color="auto"/>
              </w:divBdr>
              <w:divsChild>
                <w:div w:id="169833237">
                  <w:marLeft w:val="284"/>
                  <w:marRight w:val="0"/>
                  <w:marTop w:val="60"/>
                  <w:marBottom w:val="0"/>
                  <w:divBdr>
                    <w:top w:val="none" w:sz="0" w:space="0" w:color="auto"/>
                    <w:left w:val="none" w:sz="0" w:space="0" w:color="auto"/>
                    <w:bottom w:val="none" w:sz="0" w:space="0" w:color="auto"/>
                    <w:right w:val="none" w:sz="0" w:space="0" w:color="auto"/>
                  </w:divBdr>
                </w:div>
                <w:div w:id="182016696">
                  <w:marLeft w:val="284"/>
                  <w:marRight w:val="0"/>
                  <w:marTop w:val="60"/>
                  <w:marBottom w:val="0"/>
                  <w:divBdr>
                    <w:top w:val="none" w:sz="0" w:space="0" w:color="auto"/>
                    <w:left w:val="none" w:sz="0" w:space="0" w:color="auto"/>
                    <w:bottom w:val="none" w:sz="0" w:space="0" w:color="auto"/>
                    <w:right w:val="none" w:sz="0" w:space="0" w:color="auto"/>
                  </w:divBdr>
                </w:div>
              </w:divsChild>
            </w:div>
            <w:div w:id="1612008353">
              <w:marLeft w:val="0"/>
              <w:marRight w:val="0"/>
              <w:marTop w:val="74"/>
              <w:marBottom w:val="0"/>
              <w:divBdr>
                <w:top w:val="none" w:sz="0" w:space="0" w:color="auto"/>
                <w:left w:val="none" w:sz="0" w:space="0" w:color="auto"/>
                <w:bottom w:val="none" w:sz="0" w:space="0" w:color="auto"/>
                <w:right w:val="none" w:sz="0" w:space="0" w:color="auto"/>
              </w:divBdr>
              <w:divsChild>
                <w:div w:id="34358007">
                  <w:marLeft w:val="284"/>
                  <w:marRight w:val="0"/>
                  <w:marTop w:val="60"/>
                  <w:marBottom w:val="0"/>
                  <w:divBdr>
                    <w:top w:val="none" w:sz="0" w:space="0" w:color="auto"/>
                    <w:left w:val="none" w:sz="0" w:space="0" w:color="auto"/>
                    <w:bottom w:val="none" w:sz="0" w:space="0" w:color="auto"/>
                    <w:right w:val="none" w:sz="0" w:space="0" w:color="auto"/>
                  </w:divBdr>
                </w:div>
                <w:div w:id="39207386">
                  <w:marLeft w:val="284"/>
                  <w:marRight w:val="0"/>
                  <w:marTop w:val="60"/>
                  <w:marBottom w:val="0"/>
                  <w:divBdr>
                    <w:top w:val="none" w:sz="0" w:space="0" w:color="auto"/>
                    <w:left w:val="none" w:sz="0" w:space="0" w:color="auto"/>
                    <w:bottom w:val="none" w:sz="0" w:space="0" w:color="auto"/>
                    <w:right w:val="none" w:sz="0" w:space="0" w:color="auto"/>
                  </w:divBdr>
                </w:div>
                <w:div w:id="335038989">
                  <w:marLeft w:val="284"/>
                  <w:marRight w:val="0"/>
                  <w:marTop w:val="60"/>
                  <w:marBottom w:val="0"/>
                  <w:divBdr>
                    <w:top w:val="none" w:sz="0" w:space="0" w:color="auto"/>
                    <w:left w:val="none" w:sz="0" w:space="0" w:color="auto"/>
                    <w:bottom w:val="none" w:sz="0" w:space="0" w:color="auto"/>
                    <w:right w:val="none" w:sz="0" w:space="0" w:color="auto"/>
                  </w:divBdr>
                </w:div>
                <w:div w:id="337773658">
                  <w:marLeft w:val="284"/>
                  <w:marRight w:val="0"/>
                  <w:marTop w:val="60"/>
                  <w:marBottom w:val="0"/>
                  <w:divBdr>
                    <w:top w:val="none" w:sz="0" w:space="0" w:color="auto"/>
                    <w:left w:val="none" w:sz="0" w:space="0" w:color="auto"/>
                    <w:bottom w:val="none" w:sz="0" w:space="0" w:color="auto"/>
                    <w:right w:val="none" w:sz="0" w:space="0" w:color="auto"/>
                  </w:divBdr>
                </w:div>
                <w:div w:id="409620496">
                  <w:marLeft w:val="284"/>
                  <w:marRight w:val="0"/>
                  <w:marTop w:val="60"/>
                  <w:marBottom w:val="0"/>
                  <w:divBdr>
                    <w:top w:val="none" w:sz="0" w:space="0" w:color="auto"/>
                    <w:left w:val="none" w:sz="0" w:space="0" w:color="auto"/>
                    <w:bottom w:val="none" w:sz="0" w:space="0" w:color="auto"/>
                    <w:right w:val="none" w:sz="0" w:space="0" w:color="auto"/>
                  </w:divBdr>
                </w:div>
                <w:div w:id="1331059388">
                  <w:marLeft w:val="284"/>
                  <w:marRight w:val="0"/>
                  <w:marTop w:val="60"/>
                  <w:marBottom w:val="0"/>
                  <w:divBdr>
                    <w:top w:val="none" w:sz="0" w:space="0" w:color="auto"/>
                    <w:left w:val="none" w:sz="0" w:space="0" w:color="auto"/>
                    <w:bottom w:val="none" w:sz="0" w:space="0" w:color="auto"/>
                    <w:right w:val="none" w:sz="0" w:space="0" w:color="auto"/>
                  </w:divBdr>
                </w:div>
                <w:div w:id="1655378644">
                  <w:marLeft w:val="284"/>
                  <w:marRight w:val="0"/>
                  <w:marTop w:val="60"/>
                  <w:marBottom w:val="0"/>
                  <w:divBdr>
                    <w:top w:val="none" w:sz="0" w:space="0" w:color="auto"/>
                    <w:left w:val="none" w:sz="0" w:space="0" w:color="auto"/>
                    <w:bottom w:val="none" w:sz="0" w:space="0" w:color="auto"/>
                    <w:right w:val="none" w:sz="0" w:space="0" w:color="auto"/>
                  </w:divBdr>
                </w:div>
              </w:divsChild>
            </w:div>
            <w:div w:id="1717852086">
              <w:marLeft w:val="0"/>
              <w:marRight w:val="0"/>
              <w:marTop w:val="480"/>
              <w:marBottom w:val="0"/>
              <w:divBdr>
                <w:top w:val="none" w:sz="0" w:space="0" w:color="auto"/>
                <w:left w:val="none" w:sz="0" w:space="0" w:color="auto"/>
                <w:bottom w:val="none" w:sz="0" w:space="0" w:color="auto"/>
                <w:right w:val="none" w:sz="0" w:space="0" w:color="auto"/>
              </w:divBdr>
            </w:div>
            <w:div w:id="2074692336">
              <w:marLeft w:val="0"/>
              <w:marRight w:val="0"/>
              <w:marTop w:val="74"/>
              <w:marBottom w:val="0"/>
              <w:divBdr>
                <w:top w:val="none" w:sz="0" w:space="0" w:color="auto"/>
                <w:left w:val="none" w:sz="0" w:space="0" w:color="auto"/>
                <w:bottom w:val="none" w:sz="0" w:space="0" w:color="auto"/>
                <w:right w:val="none" w:sz="0" w:space="0" w:color="auto"/>
              </w:divBdr>
            </w:div>
          </w:divsChild>
        </w:div>
      </w:divsChild>
    </w:div>
    <w:div w:id="1835872049">
      <w:bodyDiv w:val="1"/>
      <w:marLeft w:val="0"/>
      <w:marRight w:val="0"/>
      <w:marTop w:val="0"/>
      <w:marBottom w:val="0"/>
      <w:divBdr>
        <w:top w:val="none" w:sz="0" w:space="0" w:color="auto"/>
        <w:left w:val="none" w:sz="0" w:space="0" w:color="auto"/>
        <w:bottom w:val="none" w:sz="0" w:space="0" w:color="auto"/>
        <w:right w:val="none" w:sz="0" w:space="0" w:color="auto"/>
      </w:divBdr>
    </w:div>
    <w:div w:id="1879203510">
      <w:bodyDiv w:val="1"/>
      <w:marLeft w:val="0"/>
      <w:marRight w:val="0"/>
      <w:marTop w:val="0"/>
      <w:marBottom w:val="0"/>
      <w:divBdr>
        <w:top w:val="none" w:sz="0" w:space="0" w:color="auto"/>
        <w:left w:val="none" w:sz="0" w:space="0" w:color="auto"/>
        <w:bottom w:val="none" w:sz="0" w:space="0" w:color="auto"/>
        <w:right w:val="none" w:sz="0" w:space="0" w:color="auto"/>
      </w:divBdr>
    </w:div>
    <w:div w:id="19597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D2CB-D2D1-424B-9FD1-920F47901F6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6d7844ee-d12b-4797-a453-a6468413208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4F82C2F-B4B0-4952-8822-26CDBF9F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A2CFE-F479-4639-B4B8-01930967CAAA}">
  <ds:schemaRefs>
    <ds:schemaRef ds:uri="http://schemas.microsoft.com/sharepoint/v3/contenttype/forms"/>
  </ds:schemaRefs>
</ds:datastoreItem>
</file>

<file path=customXml/itemProps4.xml><?xml version="1.0" encoding="utf-8"?>
<ds:datastoreItem xmlns:ds="http://schemas.openxmlformats.org/officeDocument/2006/customXml" ds:itemID="{5E633CDD-39DA-4243-8EA1-26ADB2F0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37983</Words>
  <Characters>239293</Characters>
  <Application>Microsoft Office Word</Application>
  <DocSecurity>0</DocSecurity>
  <Lines>1994</Lines>
  <Paragraphs>553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Prof</vt:lpstr>
      <vt:lpstr>Prof</vt:lpstr>
    </vt:vector>
  </TitlesOfParts>
  <Company>Landesverwaltung Liechtenstein</Company>
  <LinksUpToDate>false</LinksUpToDate>
  <CharactersWithSpaces>276723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Wanner-Walch Desiree</dc:creator>
  <cp:lastModifiedBy>Wanner-Walch Desiree</cp:lastModifiedBy>
  <cp:revision>60</cp:revision>
  <cp:lastPrinted>2020-06-23T16:09:00Z</cp:lastPrinted>
  <dcterms:created xsi:type="dcterms:W3CDTF">2022-11-18T07:56:00Z</dcterms:created>
  <dcterms:modified xsi:type="dcterms:W3CDTF">2023-12-15T07:54:00Z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ies>
</file>