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19FCF" w14:textId="77777777" w:rsidR="003942AC" w:rsidRDefault="003942AC" w:rsidP="00546F18">
      <w:pPr>
        <w:pStyle w:val="Titel"/>
      </w:pPr>
    </w:p>
    <w:p w14:paraId="054E707D" w14:textId="2503856D" w:rsidR="00883D4B" w:rsidRDefault="00546F18">
      <w:pPr>
        <w:pStyle w:val="Titel"/>
      </w:pPr>
      <w:r w:rsidRPr="006457E5">
        <w:t>Anhang I2</w:t>
      </w:r>
      <w:r w:rsidR="005039A7" w:rsidRPr="006457E5">
        <w:t xml:space="preserve"> zu FMA-</w:t>
      </w:r>
      <w:r w:rsidR="005039A7" w:rsidRPr="00383B8C">
        <w:t xml:space="preserve">Richtlinie </w:t>
      </w:r>
      <w:r w:rsidR="00357A46" w:rsidRPr="00357A46">
        <w:t>2025/</w:t>
      </w:r>
      <w:r w:rsidR="00BD23DD">
        <w:t>1</w:t>
      </w:r>
      <w:bookmarkStart w:id="0" w:name="_GoBack"/>
      <w:bookmarkEnd w:id="0"/>
      <w:r w:rsidRPr="006457E5">
        <w:t xml:space="preserve">: Gliederung </w:t>
      </w:r>
      <w:r w:rsidR="005C0C55">
        <w:t xml:space="preserve">und Inhalt </w:t>
      </w:r>
      <w:r w:rsidRPr="006457E5">
        <w:t xml:space="preserve">des </w:t>
      </w:r>
      <w:r w:rsidR="00262966" w:rsidRPr="006457E5">
        <w:t xml:space="preserve">Berichts über die </w:t>
      </w:r>
      <w:r w:rsidR="0071324A" w:rsidRPr="006457E5">
        <w:t>Aufsichtsprüfung</w:t>
      </w:r>
      <w:r w:rsidR="00262966" w:rsidRPr="006457E5">
        <w:t xml:space="preserve"> von Vermögensverwaltungsgesellschaften</w:t>
      </w:r>
    </w:p>
    <w:p w14:paraId="2D3E1DEA" w14:textId="77777777" w:rsidR="006E37F1" w:rsidRPr="006457E5" w:rsidRDefault="006E37F1" w:rsidP="00F32947">
      <w:pPr>
        <w:pStyle w:val="Verzeichnis1"/>
        <w:tabs>
          <w:tab w:val="clear" w:pos="851"/>
          <w:tab w:val="left" w:pos="426"/>
        </w:tabs>
        <w:spacing w:after="0" w:line="240" w:lineRule="auto"/>
        <w:rPr>
          <w:rFonts w:cs="Arial"/>
        </w:rPr>
      </w:pPr>
    </w:p>
    <w:sdt>
      <w:sdtPr>
        <w:id w:val="1063918470"/>
        <w:docPartObj>
          <w:docPartGallery w:val="Table of Contents"/>
          <w:docPartUnique/>
        </w:docPartObj>
      </w:sdtPr>
      <w:sdtEndPr>
        <w:rPr>
          <w:b/>
          <w:bCs/>
        </w:rPr>
      </w:sdtEndPr>
      <w:sdtContent>
        <w:p w14:paraId="490A5A4E" w14:textId="0A506260" w:rsidR="00901BBF" w:rsidRDefault="005C6461">
          <w:pPr>
            <w:pStyle w:val="Verzeichnis1"/>
            <w:rPr>
              <w:rFonts w:asciiTheme="minorHAnsi" w:eastAsiaTheme="minorEastAsia" w:hAnsiTheme="minorHAnsi"/>
              <w:noProof/>
              <w:sz w:val="22"/>
              <w:szCs w:val="22"/>
              <w:lang w:eastAsia="de-CH"/>
            </w:rPr>
          </w:pPr>
          <w:r w:rsidRPr="00395058">
            <w:rPr>
              <w:rStyle w:val="Hyperlink"/>
              <w:noProof/>
            </w:rPr>
            <w:fldChar w:fldCharType="begin"/>
          </w:r>
          <w:r w:rsidRPr="005A218D">
            <w:rPr>
              <w:rStyle w:val="Hyperlink"/>
              <w:noProof/>
            </w:rPr>
            <w:instrText xml:space="preserve"> TOC \o "1-3" \h \z \u </w:instrText>
          </w:r>
          <w:r w:rsidRPr="00395058">
            <w:rPr>
              <w:rStyle w:val="Hyperlink"/>
              <w:noProof/>
            </w:rPr>
            <w:fldChar w:fldCharType="separate"/>
          </w:r>
          <w:hyperlink w:anchor="_Toc185240901" w:history="1">
            <w:r w:rsidR="00901BBF" w:rsidRPr="00401186">
              <w:rPr>
                <w:rStyle w:val="Hyperlink"/>
                <w:noProof/>
              </w:rPr>
              <w:t>1.</w:t>
            </w:r>
            <w:r w:rsidR="00901BBF">
              <w:rPr>
                <w:rFonts w:asciiTheme="minorHAnsi" w:eastAsiaTheme="minorEastAsia" w:hAnsiTheme="minorHAnsi"/>
                <w:noProof/>
                <w:sz w:val="22"/>
                <w:szCs w:val="22"/>
                <w:lang w:eastAsia="de-CH"/>
              </w:rPr>
              <w:tab/>
            </w:r>
            <w:r w:rsidR="00901BBF" w:rsidRPr="00401186">
              <w:rPr>
                <w:rStyle w:val="Hyperlink"/>
                <w:noProof/>
              </w:rPr>
              <w:t>Wesentliche Eigenheiten der Vermögensverwaltungsgesellschaft</w:t>
            </w:r>
            <w:r w:rsidR="00901BBF">
              <w:rPr>
                <w:noProof/>
                <w:webHidden/>
              </w:rPr>
              <w:tab/>
            </w:r>
            <w:r w:rsidR="00901BBF">
              <w:rPr>
                <w:noProof/>
                <w:webHidden/>
              </w:rPr>
              <w:fldChar w:fldCharType="begin"/>
            </w:r>
            <w:r w:rsidR="00901BBF">
              <w:rPr>
                <w:noProof/>
                <w:webHidden/>
              </w:rPr>
              <w:instrText xml:space="preserve"> PAGEREF _Toc185240901 \h </w:instrText>
            </w:r>
            <w:r w:rsidR="00901BBF">
              <w:rPr>
                <w:noProof/>
                <w:webHidden/>
              </w:rPr>
            </w:r>
            <w:r w:rsidR="00901BBF">
              <w:rPr>
                <w:noProof/>
                <w:webHidden/>
              </w:rPr>
              <w:fldChar w:fldCharType="separate"/>
            </w:r>
            <w:r w:rsidR="00901BBF">
              <w:rPr>
                <w:noProof/>
                <w:webHidden/>
              </w:rPr>
              <w:t>3</w:t>
            </w:r>
            <w:r w:rsidR="00901BBF">
              <w:rPr>
                <w:noProof/>
                <w:webHidden/>
              </w:rPr>
              <w:fldChar w:fldCharType="end"/>
            </w:r>
          </w:hyperlink>
        </w:p>
        <w:p w14:paraId="2D3733C9" w14:textId="4AF7528A" w:rsidR="00901BBF" w:rsidRDefault="00BD23DD">
          <w:pPr>
            <w:pStyle w:val="Verzeichnis1"/>
            <w:rPr>
              <w:rFonts w:asciiTheme="minorHAnsi" w:eastAsiaTheme="minorEastAsia" w:hAnsiTheme="minorHAnsi"/>
              <w:noProof/>
              <w:sz w:val="22"/>
              <w:szCs w:val="22"/>
              <w:lang w:eastAsia="de-CH"/>
            </w:rPr>
          </w:pPr>
          <w:hyperlink w:anchor="_Toc185240902" w:history="1">
            <w:r w:rsidR="00901BBF" w:rsidRPr="00401186">
              <w:rPr>
                <w:rStyle w:val="Hyperlink"/>
                <w:noProof/>
              </w:rPr>
              <w:t>2.</w:t>
            </w:r>
            <w:r w:rsidR="00901BBF">
              <w:rPr>
                <w:rFonts w:asciiTheme="minorHAnsi" w:eastAsiaTheme="minorEastAsia" w:hAnsiTheme="minorHAnsi"/>
                <w:noProof/>
                <w:sz w:val="22"/>
                <w:szCs w:val="22"/>
                <w:lang w:eastAsia="de-CH"/>
              </w:rPr>
              <w:tab/>
            </w:r>
            <w:r w:rsidR="00901BBF" w:rsidRPr="00401186">
              <w:rPr>
                <w:rStyle w:val="Hyperlink"/>
                <w:noProof/>
              </w:rPr>
              <w:t>Zusammenfassung der Prüfungsergebnisse</w:t>
            </w:r>
            <w:r w:rsidR="00901BBF">
              <w:rPr>
                <w:noProof/>
                <w:webHidden/>
              </w:rPr>
              <w:tab/>
            </w:r>
            <w:r w:rsidR="00901BBF">
              <w:rPr>
                <w:noProof/>
                <w:webHidden/>
              </w:rPr>
              <w:fldChar w:fldCharType="begin"/>
            </w:r>
            <w:r w:rsidR="00901BBF">
              <w:rPr>
                <w:noProof/>
                <w:webHidden/>
              </w:rPr>
              <w:instrText xml:space="preserve"> PAGEREF _Toc185240902 \h </w:instrText>
            </w:r>
            <w:r w:rsidR="00901BBF">
              <w:rPr>
                <w:noProof/>
                <w:webHidden/>
              </w:rPr>
            </w:r>
            <w:r w:rsidR="00901BBF">
              <w:rPr>
                <w:noProof/>
                <w:webHidden/>
              </w:rPr>
              <w:fldChar w:fldCharType="separate"/>
            </w:r>
            <w:r w:rsidR="00901BBF">
              <w:rPr>
                <w:noProof/>
                <w:webHidden/>
              </w:rPr>
              <w:t>4</w:t>
            </w:r>
            <w:r w:rsidR="00901BBF">
              <w:rPr>
                <w:noProof/>
                <w:webHidden/>
              </w:rPr>
              <w:fldChar w:fldCharType="end"/>
            </w:r>
          </w:hyperlink>
        </w:p>
        <w:p w14:paraId="39CA6A81" w14:textId="148321F0" w:rsidR="00901BBF" w:rsidRDefault="00BD23DD">
          <w:pPr>
            <w:pStyle w:val="Verzeichnis2"/>
            <w:rPr>
              <w:rFonts w:asciiTheme="minorHAnsi" w:eastAsiaTheme="minorEastAsia" w:hAnsiTheme="minorHAnsi"/>
              <w:noProof/>
              <w:sz w:val="22"/>
              <w:szCs w:val="22"/>
              <w:lang w:eastAsia="de-CH"/>
            </w:rPr>
          </w:pPr>
          <w:hyperlink w:anchor="_Toc185240903" w:history="1">
            <w:r w:rsidR="00901BBF" w:rsidRPr="00401186">
              <w:rPr>
                <w:rStyle w:val="Hyperlink"/>
                <w:noProof/>
              </w:rPr>
              <w:t>2.1</w:t>
            </w:r>
            <w:r w:rsidR="00901BBF">
              <w:rPr>
                <w:rFonts w:asciiTheme="minorHAnsi" w:eastAsiaTheme="minorEastAsia" w:hAnsiTheme="minorHAnsi"/>
                <w:noProof/>
                <w:sz w:val="22"/>
                <w:szCs w:val="22"/>
                <w:lang w:eastAsia="de-CH"/>
              </w:rPr>
              <w:tab/>
            </w:r>
            <w:r w:rsidR="00901BBF" w:rsidRPr="00401186">
              <w:rPr>
                <w:rStyle w:val="Hyperlink"/>
                <w:noProof/>
              </w:rPr>
              <w:t>Beanstandungen</w:t>
            </w:r>
            <w:r w:rsidR="00901BBF">
              <w:rPr>
                <w:noProof/>
                <w:webHidden/>
              </w:rPr>
              <w:tab/>
            </w:r>
            <w:r w:rsidR="00901BBF">
              <w:rPr>
                <w:noProof/>
                <w:webHidden/>
              </w:rPr>
              <w:fldChar w:fldCharType="begin"/>
            </w:r>
            <w:r w:rsidR="00901BBF">
              <w:rPr>
                <w:noProof/>
                <w:webHidden/>
              </w:rPr>
              <w:instrText xml:space="preserve"> PAGEREF _Toc185240903 \h </w:instrText>
            </w:r>
            <w:r w:rsidR="00901BBF">
              <w:rPr>
                <w:noProof/>
                <w:webHidden/>
              </w:rPr>
            </w:r>
            <w:r w:rsidR="00901BBF">
              <w:rPr>
                <w:noProof/>
                <w:webHidden/>
              </w:rPr>
              <w:fldChar w:fldCharType="separate"/>
            </w:r>
            <w:r w:rsidR="00901BBF">
              <w:rPr>
                <w:noProof/>
                <w:webHidden/>
              </w:rPr>
              <w:t>4</w:t>
            </w:r>
            <w:r w:rsidR="00901BBF">
              <w:rPr>
                <w:noProof/>
                <w:webHidden/>
              </w:rPr>
              <w:fldChar w:fldCharType="end"/>
            </w:r>
          </w:hyperlink>
        </w:p>
        <w:p w14:paraId="2564B174" w14:textId="607F0C0C" w:rsidR="00901BBF" w:rsidRDefault="00BD23DD">
          <w:pPr>
            <w:pStyle w:val="Verzeichnis2"/>
            <w:rPr>
              <w:rFonts w:asciiTheme="minorHAnsi" w:eastAsiaTheme="minorEastAsia" w:hAnsiTheme="minorHAnsi"/>
              <w:noProof/>
              <w:sz w:val="22"/>
              <w:szCs w:val="22"/>
              <w:lang w:eastAsia="de-CH"/>
            </w:rPr>
          </w:pPr>
          <w:hyperlink w:anchor="_Toc185240904" w:history="1">
            <w:r w:rsidR="00901BBF" w:rsidRPr="00401186">
              <w:rPr>
                <w:rStyle w:val="Hyperlink"/>
                <w:noProof/>
              </w:rPr>
              <w:t>2.2</w:t>
            </w:r>
            <w:r w:rsidR="00901BBF">
              <w:rPr>
                <w:rFonts w:asciiTheme="minorHAnsi" w:eastAsiaTheme="minorEastAsia" w:hAnsiTheme="minorHAnsi"/>
                <w:noProof/>
                <w:sz w:val="22"/>
                <w:szCs w:val="22"/>
                <w:lang w:eastAsia="de-CH"/>
              </w:rPr>
              <w:tab/>
            </w:r>
            <w:r w:rsidR="00901BBF" w:rsidRPr="00401186">
              <w:rPr>
                <w:rStyle w:val="Hyperlink"/>
                <w:noProof/>
              </w:rPr>
              <w:t>Beanstandungen zum Vorjahr</w:t>
            </w:r>
            <w:r w:rsidR="00901BBF">
              <w:rPr>
                <w:noProof/>
                <w:webHidden/>
              </w:rPr>
              <w:tab/>
            </w:r>
            <w:r w:rsidR="00901BBF">
              <w:rPr>
                <w:noProof/>
                <w:webHidden/>
              </w:rPr>
              <w:fldChar w:fldCharType="begin"/>
            </w:r>
            <w:r w:rsidR="00901BBF">
              <w:rPr>
                <w:noProof/>
                <w:webHidden/>
              </w:rPr>
              <w:instrText xml:space="preserve"> PAGEREF _Toc185240904 \h </w:instrText>
            </w:r>
            <w:r w:rsidR="00901BBF">
              <w:rPr>
                <w:noProof/>
                <w:webHidden/>
              </w:rPr>
            </w:r>
            <w:r w:rsidR="00901BBF">
              <w:rPr>
                <w:noProof/>
                <w:webHidden/>
              </w:rPr>
              <w:fldChar w:fldCharType="separate"/>
            </w:r>
            <w:r w:rsidR="00901BBF">
              <w:rPr>
                <w:noProof/>
                <w:webHidden/>
              </w:rPr>
              <w:t>4</w:t>
            </w:r>
            <w:r w:rsidR="00901BBF">
              <w:rPr>
                <w:noProof/>
                <w:webHidden/>
              </w:rPr>
              <w:fldChar w:fldCharType="end"/>
            </w:r>
          </w:hyperlink>
        </w:p>
        <w:p w14:paraId="22F879C5" w14:textId="2B7ACC47" w:rsidR="00901BBF" w:rsidRDefault="00BD23DD">
          <w:pPr>
            <w:pStyle w:val="Verzeichnis2"/>
            <w:rPr>
              <w:rFonts w:asciiTheme="minorHAnsi" w:eastAsiaTheme="minorEastAsia" w:hAnsiTheme="minorHAnsi"/>
              <w:noProof/>
              <w:sz w:val="22"/>
              <w:szCs w:val="22"/>
              <w:lang w:eastAsia="de-CH"/>
            </w:rPr>
          </w:pPr>
          <w:hyperlink w:anchor="_Toc185240905" w:history="1">
            <w:r w:rsidR="00901BBF" w:rsidRPr="00401186">
              <w:rPr>
                <w:rStyle w:val="Hyperlink"/>
                <w:noProof/>
              </w:rPr>
              <w:t>2.3</w:t>
            </w:r>
            <w:r w:rsidR="00901BBF">
              <w:rPr>
                <w:rFonts w:asciiTheme="minorHAnsi" w:eastAsiaTheme="minorEastAsia" w:hAnsiTheme="minorHAnsi"/>
                <w:noProof/>
                <w:sz w:val="22"/>
                <w:szCs w:val="22"/>
                <w:lang w:eastAsia="de-CH"/>
              </w:rPr>
              <w:tab/>
            </w:r>
            <w:r w:rsidR="00901BBF" w:rsidRPr="00401186">
              <w:rPr>
                <w:rStyle w:val="Hyperlink"/>
                <w:noProof/>
              </w:rPr>
              <w:t>Empfehlungen</w:t>
            </w:r>
            <w:r w:rsidR="00901BBF">
              <w:rPr>
                <w:noProof/>
                <w:webHidden/>
              </w:rPr>
              <w:tab/>
            </w:r>
            <w:r w:rsidR="00901BBF">
              <w:rPr>
                <w:noProof/>
                <w:webHidden/>
              </w:rPr>
              <w:fldChar w:fldCharType="begin"/>
            </w:r>
            <w:r w:rsidR="00901BBF">
              <w:rPr>
                <w:noProof/>
                <w:webHidden/>
              </w:rPr>
              <w:instrText xml:space="preserve"> PAGEREF _Toc185240905 \h </w:instrText>
            </w:r>
            <w:r w:rsidR="00901BBF">
              <w:rPr>
                <w:noProof/>
                <w:webHidden/>
              </w:rPr>
            </w:r>
            <w:r w:rsidR="00901BBF">
              <w:rPr>
                <w:noProof/>
                <w:webHidden/>
              </w:rPr>
              <w:fldChar w:fldCharType="separate"/>
            </w:r>
            <w:r w:rsidR="00901BBF">
              <w:rPr>
                <w:noProof/>
                <w:webHidden/>
              </w:rPr>
              <w:t>4</w:t>
            </w:r>
            <w:r w:rsidR="00901BBF">
              <w:rPr>
                <w:noProof/>
                <w:webHidden/>
              </w:rPr>
              <w:fldChar w:fldCharType="end"/>
            </w:r>
          </w:hyperlink>
        </w:p>
        <w:p w14:paraId="3164511C" w14:textId="57364AED" w:rsidR="00901BBF" w:rsidRDefault="00BD23DD">
          <w:pPr>
            <w:pStyle w:val="Verzeichnis2"/>
            <w:rPr>
              <w:rFonts w:asciiTheme="minorHAnsi" w:eastAsiaTheme="minorEastAsia" w:hAnsiTheme="minorHAnsi"/>
              <w:noProof/>
              <w:sz w:val="22"/>
              <w:szCs w:val="22"/>
              <w:lang w:eastAsia="de-CH"/>
            </w:rPr>
          </w:pPr>
          <w:hyperlink w:anchor="_Toc185240906" w:history="1">
            <w:r w:rsidR="00901BBF" w:rsidRPr="00401186">
              <w:rPr>
                <w:rStyle w:val="Hyperlink"/>
                <w:noProof/>
              </w:rPr>
              <w:t>2.4</w:t>
            </w:r>
            <w:r w:rsidR="00901BBF">
              <w:rPr>
                <w:rFonts w:asciiTheme="minorHAnsi" w:eastAsiaTheme="minorEastAsia" w:hAnsiTheme="minorHAnsi"/>
                <w:noProof/>
                <w:sz w:val="22"/>
                <w:szCs w:val="22"/>
                <w:lang w:eastAsia="de-CH"/>
              </w:rPr>
              <w:tab/>
            </w:r>
            <w:r w:rsidR="00901BBF" w:rsidRPr="00401186">
              <w:rPr>
                <w:rStyle w:val="Hyperlink"/>
                <w:noProof/>
              </w:rPr>
              <w:t>Empfehlungen zum Vorjahr</w:t>
            </w:r>
            <w:r w:rsidR="00901BBF">
              <w:rPr>
                <w:noProof/>
                <w:webHidden/>
              </w:rPr>
              <w:tab/>
            </w:r>
            <w:r w:rsidR="00901BBF">
              <w:rPr>
                <w:noProof/>
                <w:webHidden/>
              </w:rPr>
              <w:fldChar w:fldCharType="begin"/>
            </w:r>
            <w:r w:rsidR="00901BBF">
              <w:rPr>
                <w:noProof/>
                <w:webHidden/>
              </w:rPr>
              <w:instrText xml:space="preserve"> PAGEREF _Toc185240906 \h </w:instrText>
            </w:r>
            <w:r w:rsidR="00901BBF">
              <w:rPr>
                <w:noProof/>
                <w:webHidden/>
              </w:rPr>
            </w:r>
            <w:r w:rsidR="00901BBF">
              <w:rPr>
                <w:noProof/>
                <w:webHidden/>
              </w:rPr>
              <w:fldChar w:fldCharType="separate"/>
            </w:r>
            <w:r w:rsidR="00901BBF">
              <w:rPr>
                <w:noProof/>
                <w:webHidden/>
              </w:rPr>
              <w:t>4</w:t>
            </w:r>
            <w:r w:rsidR="00901BBF">
              <w:rPr>
                <w:noProof/>
                <w:webHidden/>
              </w:rPr>
              <w:fldChar w:fldCharType="end"/>
            </w:r>
          </w:hyperlink>
        </w:p>
        <w:p w14:paraId="70887124" w14:textId="5EDB786D" w:rsidR="00901BBF" w:rsidRDefault="00BD23DD">
          <w:pPr>
            <w:pStyle w:val="Verzeichnis2"/>
            <w:rPr>
              <w:rFonts w:asciiTheme="minorHAnsi" w:eastAsiaTheme="minorEastAsia" w:hAnsiTheme="minorHAnsi"/>
              <w:noProof/>
              <w:sz w:val="22"/>
              <w:szCs w:val="22"/>
              <w:lang w:eastAsia="de-CH"/>
            </w:rPr>
          </w:pPr>
          <w:hyperlink w:anchor="_Toc185240907" w:history="1">
            <w:r w:rsidR="00901BBF" w:rsidRPr="00401186">
              <w:rPr>
                <w:rStyle w:val="Hyperlink"/>
                <w:noProof/>
              </w:rPr>
              <w:t>2.5</w:t>
            </w:r>
            <w:r w:rsidR="00901BBF">
              <w:rPr>
                <w:rFonts w:asciiTheme="minorHAnsi" w:eastAsiaTheme="minorEastAsia" w:hAnsiTheme="minorHAnsi"/>
                <w:noProof/>
                <w:sz w:val="22"/>
                <w:szCs w:val="22"/>
                <w:lang w:eastAsia="de-CH"/>
              </w:rPr>
              <w:tab/>
            </w:r>
            <w:r w:rsidR="00901BBF" w:rsidRPr="00401186">
              <w:rPr>
                <w:rStyle w:val="Hyperlink"/>
                <w:noProof/>
              </w:rPr>
              <w:t>Wesentliche Feststellungen der Innenrevision</w:t>
            </w:r>
            <w:r w:rsidR="00901BBF">
              <w:rPr>
                <w:noProof/>
                <w:webHidden/>
              </w:rPr>
              <w:tab/>
            </w:r>
            <w:r w:rsidR="00901BBF">
              <w:rPr>
                <w:noProof/>
                <w:webHidden/>
              </w:rPr>
              <w:fldChar w:fldCharType="begin"/>
            </w:r>
            <w:r w:rsidR="00901BBF">
              <w:rPr>
                <w:noProof/>
                <w:webHidden/>
              </w:rPr>
              <w:instrText xml:space="preserve"> PAGEREF _Toc185240907 \h </w:instrText>
            </w:r>
            <w:r w:rsidR="00901BBF">
              <w:rPr>
                <w:noProof/>
                <w:webHidden/>
              </w:rPr>
            </w:r>
            <w:r w:rsidR="00901BBF">
              <w:rPr>
                <w:noProof/>
                <w:webHidden/>
              </w:rPr>
              <w:fldChar w:fldCharType="separate"/>
            </w:r>
            <w:r w:rsidR="00901BBF">
              <w:rPr>
                <w:noProof/>
                <w:webHidden/>
              </w:rPr>
              <w:t>5</w:t>
            </w:r>
            <w:r w:rsidR="00901BBF">
              <w:rPr>
                <w:noProof/>
                <w:webHidden/>
              </w:rPr>
              <w:fldChar w:fldCharType="end"/>
            </w:r>
          </w:hyperlink>
        </w:p>
        <w:p w14:paraId="3D696757" w14:textId="7FA96B33" w:rsidR="00901BBF" w:rsidRDefault="00BD23DD">
          <w:pPr>
            <w:pStyle w:val="Verzeichnis2"/>
            <w:rPr>
              <w:rFonts w:asciiTheme="minorHAnsi" w:eastAsiaTheme="minorEastAsia" w:hAnsiTheme="minorHAnsi"/>
              <w:noProof/>
              <w:sz w:val="22"/>
              <w:szCs w:val="22"/>
              <w:lang w:eastAsia="de-CH"/>
            </w:rPr>
          </w:pPr>
          <w:hyperlink w:anchor="_Toc185240908" w:history="1">
            <w:r w:rsidR="00901BBF" w:rsidRPr="00401186">
              <w:rPr>
                <w:rStyle w:val="Hyperlink"/>
                <w:noProof/>
              </w:rPr>
              <w:t>2.6</w:t>
            </w:r>
            <w:r w:rsidR="00901BBF">
              <w:rPr>
                <w:rFonts w:asciiTheme="minorHAnsi" w:eastAsiaTheme="minorEastAsia" w:hAnsiTheme="minorHAnsi"/>
                <w:noProof/>
                <w:sz w:val="22"/>
                <w:szCs w:val="22"/>
                <w:lang w:eastAsia="de-CH"/>
              </w:rPr>
              <w:tab/>
            </w:r>
            <w:r w:rsidR="00901BBF" w:rsidRPr="00401186">
              <w:rPr>
                <w:rStyle w:val="Hyperlink"/>
                <w:noProof/>
              </w:rPr>
              <w:t>Wesentliche Feststellungen durch Dritte</w:t>
            </w:r>
            <w:r w:rsidR="00901BBF">
              <w:rPr>
                <w:noProof/>
                <w:webHidden/>
              </w:rPr>
              <w:tab/>
            </w:r>
            <w:r w:rsidR="00901BBF">
              <w:rPr>
                <w:noProof/>
                <w:webHidden/>
              </w:rPr>
              <w:fldChar w:fldCharType="begin"/>
            </w:r>
            <w:r w:rsidR="00901BBF">
              <w:rPr>
                <w:noProof/>
                <w:webHidden/>
              </w:rPr>
              <w:instrText xml:space="preserve"> PAGEREF _Toc185240908 \h </w:instrText>
            </w:r>
            <w:r w:rsidR="00901BBF">
              <w:rPr>
                <w:noProof/>
                <w:webHidden/>
              </w:rPr>
            </w:r>
            <w:r w:rsidR="00901BBF">
              <w:rPr>
                <w:noProof/>
                <w:webHidden/>
              </w:rPr>
              <w:fldChar w:fldCharType="separate"/>
            </w:r>
            <w:r w:rsidR="00901BBF">
              <w:rPr>
                <w:noProof/>
                <w:webHidden/>
              </w:rPr>
              <w:t>5</w:t>
            </w:r>
            <w:r w:rsidR="00901BBF">
              <w:rPr>
                <w:noProof/>
                <w:webHidden/>
              </w:rPr>
              <w:fldChar w:fldCharType="end"/>
            </w:r>
          </w:hyperlink>
        </w:p>
        <w:p w14:paraId="0FAE58CA" w14:textId="7500F1A9" w:rsidR="00901BBF" w:rsidRDefault="00BD23DD">
          <w:pPr>
            <w:pStyle w:val="Verzeichnis2"/>
            <w:rPr>
              <w:rFonts w:asciiTheme="minorHAnsi" w:eastAsiaTheme="minorEastAsia" w:hAnsiTheme="minorHAnsi"/>
              <w:noProof/>
              <w:sz w:val="22"/>
              <w:szCs w:val="22"/>
              <w:lang w:eastAsia="de-CH"/>
            </w:rPr>
          </w:pPr>
          <w:hyperlink w:anchor="_Toc185240909" w:history="1">
            <w:r w:rsidR="00901BBF" w:rsidRPr="00401186">
              <w:rPr>
                <w:rStyle w:val="Hyperlink"/>
                <w:noProof/>
              </w:rPr>
              <w:t>2.7</w:t>
            </w:r>
            <w:r w:rsidR="00901BBF">
              <w:rPr>
                <w:rFonts w:asciiTheme="minorHAnsi" w:eastAsiaTheme="minorEastAsia" w:hAnsiTheme="minorHAnsi"/>
                <w:noProof/>
                <w:sz w:val="22"/>
                <w:szCs w:val="22"/>
                <w:lang w:eastAsia="de-CH"/>
              </w:rPr>
              <w:tab/>
            </w:r>
            <w:r w:rsidR="00901BBF" w:rsidRPr="00401186">
              <w:rPr>
                <w:rStyle w:val="Hyperlink"/>
                <w:noProof/>
              </w:rPr>
              <w:t>Wichtige Informationen</w:t>
            </w:r>
            <w:r w:rsidR="00901BBF">
              <w:rPr>
                <w:noProof/>
                <w:webHidden/>
              </w:rPr>
              <w:tab/>
            </w:r>
            <w:r w:rsidR="00901BBF">
              <w:rPr>
                <w:noProof/>
                <w:webHidden/>
              </w:rPr>
              <w:fldChar w:fldCharType="begin"/>
            </w:r>
            <w:r w:rsidR="00901BBF">
              <w:rPr>
                <w:noProof/>
                <w:webHidden/>
              </w:rPr>
              <w:instrText xml:space="preserve"> PAGEREF _Toc185240909 \h </w:instrText>
            </w:r>
            <w:r w:rsidR="00901BBF">
              <w:rPr>
                <w:noProof/>
                <w:webHidden/>
              </w:rPr>
            </w:r>
            <w:r w:rsidR="00901BBF">
              <w:rPr>
                <w:noProof/>
                <w:webHidden/>
              </w:rPr>
              <w:fldChar w:fldCharType="separate"/>
            </w:r>
            <w:r w:rsidR="00901BBF">
              <w:rPr>
                <w:noProof/>
                <w:webHidden/>
              </w:rPr>
              <w:t>5</w:t>
            </w:r>
            <w:r w:rsidR="00901BBF">
              <w:rPr>
                <w:noProof/>
                <w:webHidden/>
              </w:rPr>
              <w:fldChar w:fldCharType="end"/>
            </w:r>
          </w:hyperlink>
        </w:p>
        <w:p w14:paraId="2E90EB3E" w14:textId="7F451D73" w:rsidR="00901BBF" w:rsidRDefault="00BD23DD">
          <w:pPr>
            <w:pStyle w:val="Verzeichnis1"/>
            <w:rPr>
              <w:rFonts w:asciiTheme="minorHAnsi" w:eastAsiaTheme="minorEastAsia" w:hAnsiTheme="minorHAnsi"/>
              <w:noProof/>
              <w:sz w:val="22"/>
              <w:szCs w:val="22"/>
              <w:lang w:eastAsia="de-CH"/>
            </w:rPr>
          </w:pPr>
          <w:hyperlink w:anchor="_Toc185240910" w:history="1">
            <w:r w:rsidR="00901BBF" w:rsidRPr="00401186">
              <w:rPr>
                <w:rStyle w:val="Hyperlink"/>
                <w:noProof/>
              </w:rPr>
              <w:t>3.</w:t>
            </w:r>
            <w:r w:rsidR="00901BBF">
              <w:rPr>
                <w:rFonts w:asciiTheme="minorHAnsi" w:eastAsiaTheme="minorEastAsia" w:hAnsiTheme="minorHAnsi"/>
                <w:noProof/>
                <w:sz w:val="22"/>
                <w:szCs w:val="22"/>
                <w:lang w:eastAsia="de-CH"/>
              </w:rPr>
              <w:tab/>
            </w:r>
            <w:r w:rsidR="00901BBF" w:rsidRPr="00401186">
              <w:rPr>
                <w:rStyle w:val="Hyperlink"/>
                <w:noProof/>
              </w:rPr>
              <w:t>Konsolidierte und zusätzliche Beaufsichtigung</w:t>
            </w:r>
            <w:r w:rsidR="00901BBF">
              <w:rPr>
                <w:noProof/>
                <w:webHidden/>
              </w:rPr>
              <w:tab/>
            </w:r>
            <w:r w:rsidR="00901BBF">
              <w:rPr>
                <w:noProof/>
                <w:webHidden/>
              </w:rPr>
              <w:fldChar w:fldCharType="begin"/>
            </w:r>
            <w:r w:rsidR="00901BBF">
              <w:rPr>
                <w:noProof/>
                <w:webHidden/>
              </w:rPr>
              <w:instrText xml:space="preserve"> PAGEREF _Toc185240910 \h </w:instrText>
            </w:r>
            <w:r w:rsidR="00901BBF">
              <w:rPr>
                <w:noProof/>
                <w:webHidden/>
              </w:rPr>
            </w:r>
            <w:r w:rsidR="00901BBF">
              <w:rPr>
                <w:noProof/>
                <w:webHidden/>
              </w:rPr>
              <w:fldChar w:fldCharType="separate"/>
            </w:r>
            <w:r w:rsidR="00901BBF">
              <w:rPr>
                <w:noProof/>
                <w:webHidden/>
              </w:rPr>
              <w:t>5</w:t>
            </w:r>
            <w:r w:rsidR="00901BBF">
              <w:rPr>
                <w:noProof/>
                <w:webHidden/>
              </w:rPr>
              <w:fldChar w:fldCharType="end"/>
            </w:r>
          </w:hyperlink>
        </w:p>
        <w:p w14:paraId="089D634C" w14:textId="7D858263" w:rsidR="00901BBF" w:rsidRDefault="00BD23DD">
          <w:pPr>
            <w:pStyle w:val="Verzeichnis1"/>
            <w:rPr>
              <w:rFonts w:asciiTheme="minorHAnsi" w:eastAsiaTheme="minorEastAsia" w:hAnsiTheme="minorHAnsi"/>
              <w:noProof/>
              <w:sz w:val="22"/>
              <w:szCs w:val="22"/>
              <w:lang w:eastAsia="de-CH"/>
            </w:rPr>
          </w:pPr>
          <w:hyperlink w:anchor="_Toc185240911" w:history="1">
            <w:r w:rsidR="00901BBF" w:rsidRPr="00401186">
              <w:rPr>
                <w:rStyle w:val="Hyperlink"/>
                <w:noProof/>
              </w:rPr>
              <w:t>4.</w:t>
            </w:r>
            <w:r w:rsidR="00901BBF">
              <w:rPr>
                <w:rFonts w:asciiTheme="minorHAnsi" w:eastAsiaTheme="minorEastAsia" w:hAnsiTheme="minorHAnsi"/>
                <w:noProof/>
                <w:sz w:val="22"/>
                <w:szCs w:val="22"/>
                <w:lang w:eastAsia="de-CH"/>
              </w:rPr>
              <w:tab/>
            </w:r>
            <w:r w:rsidR="00901BBF" w:rsidRPr="00401186">
              <w:rPr>
                <w:rStyle w:val="Hyperlink"/>
                <w:noProof/>
              </w:rPr>
              <w:t>Einhaltung der Bewilligungsvoraussetzungen</w:t>
            </w:r>
            <w:r w:rsidR="00901BBF">
              <w:rPr>
                <w:noProof/>
                <w:webHidden/>
              </w:rPr>
              <w:tab/>
            </w:r>
            <w:r w:rsidR="00901BBF">
              <w:rPr>
                <w:noProof/>
                <w:webHidden/>
              </w:rPr>
              <w:fldChar w:fldCharType="begin"/>
            </w:r>
            <w:r w:rsidR="00901BBF">
              <w:rPr>
                <w:noProof/>
                <w:webHidden/>
              </w:rPr>
              <w:instrText xml:space="preserve"> PAGEREF _Toc185240911 \h </w:instrText>
            </w:r>
            <w:r w:rsidR="00901BBF">
              <w:rPr>
                <w:noProof/>
                <w:webHidden/>
              </w:rPr>
            </w:r>
            <w:r w:rsidR="00901BBF">
              <w:rPr>
                <w:noProof/>
                <w:webHidden/>
              </w:rPr>
              <w:fldChar w:fldCharType="separate"/>
            </w:r>
            <w:r w:rsidR="00901BBF">
              <w:rPr>
                <w:noProof/>
                <w:webHidden/>
              </w:rPr>
              <w:t>6</w:t>
            </w:r>
            <w:r w:rsidR="00901BBF">
              <w:rPr>
                <w:noProof/>
                <w:webHidden/>
              </w:rPr>
              <w:fldChar w:fldCharType="end"/>
            </w:r>
          </w:hyperlink>
        </w:p>
        <w:p w14:paraId="18F70FD0" w14:textId="30B3F7EE" w:rsidR="00901BBF" w:rsidRDefault="00BD23DD">
          <w:pPr>
            <w:pStyle w:val="Verzeichnis2"/>
            <w:rPr>
              <w:rFonts w:asciiTheme="minorHAnsi" w:eastAsiaTheme="minorEastAsia" w:hAnsiTheme="minorHAnsi"/>
              <w:noProof/>
              <w:sz w:val="22"/>
              <w:szCs w:val="22"/>
              <w:lang w:eastAsia="de-CH"/>
            </w:rPr>
          </w:pPr>
          <w:hyperlink w:anchor="_Toc185240912" w:history="1">
            <w:r w:rsidR="00901BBF" w:rsidRPr="00401186">
              <w:rPr>
                <w:rStyle w:val="Hyperlink"/>
                <w:noProof/>
              </w:rPr>
              <w:t>4.1</w:t>
            </w:r>
            <w:r w:rsidR="00901BBF">
              <w:rPr>
                <w:rFonts w:asciiTheme="minorHAnsi" w:eastAsiaTheme="minorEastAsia" w:hAnsiTheme="minorHAnsi"/>
                <w:noProof/>
                <w:sz w:val="22"/>
                <w:szCs w:val="22"/>
                <w:lang w:eastAsia="de-CH"/>
              </w:rPr>
              <w:tab/>
            </w:r>
            <w:r w:rsidR="00901BBF" w:rsidRPr="00401186">
              <w:rPr>
                <w:rStyle w:val="Hyperlink"/>
                <w:noProof/>
              </w:rPr>
              <w:t>Eigenmittelvorschriften und Liquiditätsanforderungen</w:t>
            </w:r>
            <w:r w:rsidR="00901BBF">
              <w:rPr>
                <w:noProof/>
                <w:webHidden/>
              </w:rPr>
              <w:tab/>
            </w:r>
            <w:r w:rsidR="00901BBF">
              <w:rPr>
                <w:noProof/>
                <w:webHidden/>
              </w:rPr>
              <w:fldChar w:fldCharType="begin"/>
            </w:r>
            <w:r w:rsidR="00901BBF">
              <w:rPr>
                <w:noProof/>
                <w:webHidden/>
              </w:rPr>
              <w:instrText xml:space="preserve"> PAGEREF _Toc185240912 \h </w:instrText>
            </w:r>
            <w:r w:rsidR="00901BBF">
              <w:rPr>
                <w:noProof/>
                <w:webHidden/>
              </w:rPr>
            </w:r>
            <w:r w:rsidR="00901BBF">
              <w:rPr>
                <w:noProof/>
                <w:webHidden/>
              </w:rPr>
              <w:fldChar w:fldCharType="separate"/>
            </w:r>
            <w:r w:rsidR="00901BBF">
              <w:rPr>
                <w:noProof/>
                <w:webHidden/>
              </w:rPr>
              <w:t>6</w:t>
            </w:r>
            <w:r w:rsidR="00901BBF">
              <w:rPr>
                <w:noProof/>
                <w:webHidden/>
              </w:rPr>
              <w:fldChar w:fldCharType="end"/>
            </w:r>
          </w:hyperlink>
        </w:p>
        <w:p w14:paraId="592650B0" w14:textId="44E61165" w:rsidR="00901BBF" w:rsidRDefault="00BD23DD">
          <w:pPr>
            <w:pStyle w:val="Verzeichnis2"/>
            <w:rPr>
              <w:rFonts w:asciiTheme="minorHAnsi" w:eastAsiaTheme="minorEastAsia" w:hAnsiTheme="minorHAnsi"/>
              <w:noProof/>
              <w:sz w:val="22"/>
              <w:szCs w:val="22"/>
              <w:lang w:eastAsia="de-CH"/>
            </w:rPr>
          </w:pPr>
          <w:hyperlink w:anchor="_Toc185240913" w:history="1">
            <w:r w:rsidR="00901BBF" w:rsidRPr="00401186">
              <w:rPr>
                <w:rStyle w:val="Hyperlink"/>
                <w:noProof/>
              </w:rPr>
              <w:t>4.2</w:t>
            </w:r>
            <w:r w:rsidR="00901BBF">
              <w:rPr>
                <w:rFonts w:asciiTheme="minorHAnsi" w:eastAsiaTheme="minorEastAsia" w:hAnsiTheme="minorHAnsi"/>
                <w:noProof/>
                <w:sz w:val="22"/>
                <w:szCs w:val="22"/>
                <w:lang w:eastAsia="de-CH"/>
              </w:rPr>
              <w:tab/>
            </w:r>
            <w:r w:rsidR="00901BBF" w:rsidRPr="00401186">
              <w:rPr>
                <w:rStyle w:val="Hyperlink"/>
                <w:noProof/>
              </w:rPr>
              <w:t>Darstellung der Eigentumsverhältnisse</w:t>
            </w:r>
            <w:r w:rsidR="00901BBF">
              <w:rPr>
                <w:noProof/>
                <w:webHidden/>
              </w:rPr>
              <w:tab/>
            </w:r>
            <w:r w:rsidR="00901BBF">
              <w:rPr>
                <w:noProof/>
                <w:webHidden/>
              </w:rPr>
              <w:fldChar w:fldCharType="begin"/>
            </w:r>
            <w:r w:rsidR="00901BBF">
              <w:rPr>
                <w:noProof/>
                <w:webHidden/>
              </w:rPr>
              <w:instrText xml:space="preserve"> PAGEREF _Toc185240913 \h </w:instrText>
            </w:r>
            <w:r w:rsidR="00901BBF">
              <w:rPr>
                <w:noProof/>
                <w:webHidden/>
              </w:rPr>
            </w:r>
            <w:r w:rsidR="00901BBF">
              <w:rPr>
                <w:noProof/>
                <w:webHidden/>
              </w:rPr>
              <w:fldChar w:fldCharType="separate"/>
            </w:r>
            <w:r w:rsidR="00901BBF">
              <w:rPr>
                <w:noProof/>
                <w:webHidden/>
              </w:rPr>
              <w:t>6</w:t>
            </w:r>
            <w:r w:rsidR="00901BBF">
              <w:rPr>
                <w:noProof/>
                <w:webHidden/>
              </w:rPr>
              <w:fldChar w:fldCharType="end"/>
            </w:r>
          </w:hyperlink>
        </w:p>
        <w:p w14:paraId="2DF25DA2" w14:textId="04C6EAFE" w:rsidR="00901BBF" w:rsidRDefault="00BD23DD">
          <w:pPr>
            <w:pStyle w:val="Verzeichnis2"/>
            <w:rPr>
              <w:rFonts w:asciiTheme="minorHAnsi" w:eastAsiaTheme="minorEastAsia" w:hAnsiTheme="minorHAnsi"/>
              <w:noProof/>
              <w:sz w:val="22"/>
              <w:szCs w:val="22"/>
              <w:lang w:eastAsia="de-CH"/>
            </w:rPr>
          </w:pPr>
          <w:hyperlink w:anchor="_Toc185240914" w:history="1">
            <w:r w:rsidR="00901BBF" w:rsidRPr="00401186">
              <w:rPr>
                <w:rStyle w:val="Hyperlink"/>
                <w:noProof/>
              </w:rPr>
              <w:t>4.3</w:t>
            </w:r>
            <w:r w:rsidR="00901BBF">
              <w:rPr>
                <w:rFonts w:asciiTheme="minorHAnsi" w:eastAsiaTheme="minorEastAsia" w:hAnsiTheme="minorHAnsi"/>
                <w:noProof/>
                <w:sz w:val="22"/>
                <w:szCs w:val="22"/>
                <w:lang w:eastAsia="de-CH"/>
              </w:rPr>
              <w:tab/>
            </w:r>
            <w:r w:rsidR="00901BBF" w:rsidRPr="00401186">
              <w:rPr>
                <w:rStyle w:val="Hyperlink"/>
                <w:noProof/>
              </w:rPr>
              <w:t>Geschäftsplan</w:t>
            </w:r>
            <w:r w:rsidR="00901BBF">
              <w:rPr>
                <w:noProof/>
                <w:webHidden/>
              </w:rPr>
              <w:tab/>
            </w:r>
            <w:r w:rsidR="00901BBF">
              <w:rPr>
                <w:noProof/>
                <w:webHidden/>
              </w:rPr>
              <w:fldChar w:fldCharType="begin"/>
            </w:r>
            <w:r w:rsidR="00901BBF">
              <w:rPr>
                <w:noProof/>
                <w:webHidden/>
              </w:rPr>
              <w:instrText xml:space="preserve"> PAGEREF _Toc185240914 \h </w:instrText>
            </w:r>
            <w:r w:rsidR="00901BBF">
              <w:rPr>
                <w:noProof/>
                <w:webHidden/>
              </w:rPr>
            </w:r>
            <w:r w:rsidR="00901BBF">
              <w:rPr>
                <w:noProof/>
                <w:webHidden/>
              </w:rPr>
              <w:fldChar w:fldCharType="separate"/>
            </w:r>
            <w:r w:rsidR="00901BBF">
              <w:rPr>
                <w:noProof/>
                <w:webHidden/>
              </w:rPr>
              <w:t>7</w:t>
            </w:r>
            <w:r w:rsidR="00901BBF">
              <w:rPr>
                <w:noProof/>
                <w:webHidden/>
              </w:rPr>
              <w:fldChar w:fldCharType="end"/>
            </w:r>
          </w:hyperlink>
        </w:p>
        <w:p w14:paraId="45FEE6B2" w14:textId="4978DB11" w:rsidR="00901BBF" w:rsidRDefault="00BD23DD">
          <w:pPr>
            <w:pStyle w:val="Verzeichnis2"/>
            <w:rPr>
              <w:rFonts w:asciiTheme="minorHAnsi" w:eastAsiaTheme="minorEastAsia" w:hAnsiTheme="minorHAnsi"/>
              <w:noProof/>
              <w:sz w:val="22"/>
              <w:szCs w:val="22"/>
              <w:lang w:eastAsia="de-CH"/>
            </w:rPr>
          </w:pPr>
          <w:hyperlink w:anchor="_Toc185240915" w:history="1">
            <w:r w:rsidR="00901BBF" w:rsidRPr="00401186">
              <w:rPr>
                <w:rStyle w:val="Hyperlink"/>
                <w:noProof/>
              </w:rPr>
              <w:t>4.4</w:t>
            </w:r>
            <w:r w:rsidR="00901BBF">
              <w:rPr>
                <w:rFonts w:asciiTheme="minorHAnsi" w:eastAsiaTheme="minorEastAsia" w:hAnsiTheme="minorHAnsi"/>
                <w:noProof/>
                <w:sz w:val="22"/>
                <w:szCs w:val="22"/>
                <w:lang w:eastAsia="de-CH"/>
              </w:rPr>
              <w:tab/>
            </w:r>
            <w:r w:rsidR="00901BBF" w:rsidRPr="00401186">
              <w:rPr>
                <w:rStyle w:val="Hyperlink"/>
                <w:noProof/>
              </w:rPr>
              <w:t>Inländische Betriebsstätte und geeignete Organisation</w:t>
            </w:r>
            <w:r w:rsidR="00901BBF">
              <w:rPr>
                <w:noProof/>
                <w:webHidden/>
              </w:rPr>
              <w:tab/>
            </w:r>
            <w:r w:rsidR="00901BBF">
              <w:rPr>
                <w:noProof/>
                <w:webHidden/>
              </w:rPr>
              <w:fldChar w:fldCharType="begin"/>
            </w:r>
            <w:r w:rsidR="00901BBF">
              <w:rPr>
                <w:noProof/>
                <w:webHidden/>
              </w:rPr>
              <w:instrText xml:space="preserve"> PAGEREF _Toc185240915 \h </w:instrText>
            </w:r>
            <w:r w:rsidR="00901BBF">
              <w:rPr>
                <w:noProof/>
                <w:webHidden/>
              </w:rPr>
            </w:r>
            <w:r w:rsidR="00901BBF">
              <w:rPr>
                <w:noProof/>
                <w:webHidden/>
              </w:rPr>
              <w:fldChar w:fldCharType="separate"/>
            </w:r>
            <w:r w:rsidR="00901BBF">
              <w:rPr>
                <w:noProof/>
                <w:webHidden/>
              </w:rPr>
              <w:t>7</w:t>
            </w:r>
            <w:r w:rsidR="00901BBF">
              <w:rPr>
                <w:noProof/>
                <w:webHidden/>
              </w:rPr>
              <w:fldChar w:fldCharType="end"/>
            </w:r>
          </w:hyperlink>
        </w:p>
        <w:p w14:paraId="5EE50225" w14:textId="4A5B8D04" w:rsidR="00901BBF" w:rsidRDefault="00BD23DD">
          <w:pPr>
            <w:pStyle w:val="Verzeichnis2"/>
            <w:rPr>
              <w:rFonts w:asciiTheme="minorHAnsi" w:eastAsiaTheme="minorEastAsia" w:hAnsiTheme="minorHAnsi"/>
              <w:noProof/>
              <w:sz w:val="22"/>
              <w:szCs w:val="22"/>
              <w:lang w:eastAsia="de-CH"/>
            </w:rPr>
          </w:pPr>
          <w:hyperlink w:anchor="_Toc185240916" w:history="1">
            <w:r w:rsidR="00901BBF" w:rsidRPr="00401186">
              <w:rPr>
                <w:rStyle w:val="Hyperlink"/>
                <w:noProof/>
              </w:rPr>
              <w:t>4.5</w:t>
            </w:r>
            <w:r w:rsidR="00901BBF">
              <w:rPr>
                <w:rFonts w:asciiTheme="minorHAnsi" w:eastAsiaTheme="minorEastAsia" w:hAnsiTheme="minorHAnsi"/>
                <w:noProof/>
                <w:sz w:val="22"/>
                <w:szCs w:val="22"/>
                <w:lang w:eastAsia="de-CH"/>
              </w:rPr>
              <w:tab/>
            </w:r>
            <w:r w:rsidR="00901BBF" w:rsidRPr="00401186">
              <w:rPr>
                <w:rStyle w:val="Hyperlink"/>
                <w:noProof/>
              </w:rPr>
              <w:t>Bewilligungs- und meldepflichtige Änderungen</w:t>
            </w:r>
            <w:r w:rsidR="00901BBF">
              <w:rPr>
                <w:noProof/>
                <w:webHidden/>
              </w:rPr>
              <w:tab/>
            </w:r>
            <w:r w:rsidR="00901BBF">
              <w:rPr>
                <w:noProof/>
                <w:webHidden/>
              </w:rPr>
              <w:fldChar w:fldCharType="begin"/>
            </w:r>
            <w:r w:rsidR="00901BBF">
              <w:rPr>
                <w:noProof/>
                <w:webHidden/>
              </w:rPr>
              <w:instrText xml:space="preserve"> PAGEREF _Toc185240916 \h </w:instrText>
            </w:r>
            <w:r w:rsidR="00901BBF">
              <w:rPr>
                <w:noProof/>
                <w:webHidden/>
              </w:rPr>
            </w:r>
            <w:r w:rsidR="00901BBF">
              <w:rPr>
                <w:noProof/>
                <w:webHidden/>
              </w:rPr>
              <w:fldChar w:fldCharType="separate"/>
            </w:r>
            <w:r w:rsidR="00901BBF">
              <w:rPr>
                <w:noProof/>
                <w:webHidden/>
              </w:rPr>
              <w:t>7</w:t>
            </w:r>
            <w:r w:rsidR="00901BBF">
              <w:rPr>
                <w:noProof/>
                <w:webHidden/>
              </w:rPr>
              <w:fldChar w:fldCharType="end"/>
            </w:r>
          </w:hyperlink>
        </w:p>
        <w:p w14:paraId="12902A39" w14:textId="5877B342" w:rsidR="00901BBF" w:rsidRDefault="00BD23DD">
          <w:pPr>
            <w:pStyle w:val="Verzeichnis1"/>
            <w:rPr>
              <w:rFonts w:asciiTheme="minorHAnsi" w:eastAsiaTheme="minorEastAsia" w:hAnsiTheme="minorHAnsi"/>
              <w:noProof/>
              <w:sz w:val="22"/>
              <w:szCs w:val="22"/>
              <w:lang w:eastAsia="de-CH"/>
            </w:rPr>
          </w:pPr>
          <w:hyperlink w:anchor="_Toc185240917" w:history="1">
            <w:r w:rsidR="00901BBF" w:rsidRPr="00401186">
              <w:rPr>
                <w:rStyle w:val="Hyperlink"/>
                <w:noProof/>
              </w:rPr>
              <w:t>5.</w:t>
            </w:r>
            <w:r w:rsidR="00901BBF">
              <w:rPr>
                <w:rFonts w:asciiTheme="minorHAnsi" w:eastAsiaTheme="minorEastAsia" w:hAnsiTheme="minorHAnsi"/>
                <w:noProof/>
                <w:sz w:val="22"/>
                <w:szCs w:val="22"/>
                <w:lang w:eastAsia="de-CH"/>
              </w:rPr>
              <w:tab/>
            </w:r>
            <w:r w:rsidR="00901BBF" w:rsidRPr="00401186">
              <w:rPr>
                <w:rStyle w:val="Hyperlink"/>
                <w:noProof/>
              </w:rPr>
              <w:t>Pflichten der Vermögensverwaltungsgesellschaft</w:t>
            </w:r>
            <w:r w:rsidR="00901BBF">
              <w:rPr>
                <w:noProof/>
                <w:webHidden/>
              </w:rPr>
              <w:tab/>
            </w:r>
            <w:r w:rsidR="00901BBF">
              <w:rPr>
                <w:noProof/>
                <w:webHidden/>
              </w:rPr>
              <w:fldChar w:fldCharType="begin"/>
            </w:r>
            <w:r w:rsidR="00901BBF">
              <w:rPr>
                <w:noProof/>
                <w:webHidden/>
              </w:rPr>
              <w:instrText xml:space="preserve"> PAGEREF _Toc185240917 \h </w:instrText>
            </w:r>
            <w:r w:rsidR="00901BBF">
              <w:rPr>
                <w:noProof/>
                <w:webHidden/>
              </w:rPr>
            </w:r>
            <w:r w:rsidR="00901BBF">
              <w:rPr>
                <w:noProof/>
                <w:webHidden/>
              </w:rPr>
              <w:fldChar w:fldCharType="separate"/>
            </w:r>
            <w:r w:rsidR="00901BBF">
              <w:rPr>
                <w:noProof/>
                <w:webHidden/>
              </w:rPr>
              <w:t>8</w:t>
            </w:r>
            <w:r w:rsidR="00901BBF">
              <w:rPr>
                <w:noProof/>
                <w:webHidden/>
              </w:rPr>
              <w:fldChar w:fldCharType="end"/>
            </w:r>
          </w:hyperlink>
        </w:p>
        <w:p w14:paraId="3FB08BF2" w14:textId="141EAA47" w:rsidR="00901BBF" w:rsidRDefault="00BD23DD">
          <w:pPr>
            <w:pStyle w:val="Verzeichnis2"/>
            <w:rPr>
              <w:rFonts w:asciiTheme="minorHAnsi" w:eastAsiaTheme="minorEastAsia" w:hAnsiTheme="minorHAnsi"/>
              <w:noProof/>
              <w:sz w:val="22"/>
              <w:szCs w:val="22"/>
              <w:lang w:eastAsia="de-CH"/>
            </w:rPr>
          </w:pPr>
          <w:hyperlink w:anchor="_Toc185240918" w:history="1">
            <w:r w:rsidR="00901BBF" w:rsidRPr="00401186">
              <w:rPr>
                <w:rStyle w:val="Hyperlink"/>
                <w:noProof/>
              </w:rPr>
              <w:t>5.1</w:t>
            </w:r>
            <w:r w:rsidR="00901BBF">
              <w:rPr>
                <w:rFonts w:asciiTheme="minorHAnsi" w:eastAsiaTheme="minorEastAsia" w:hAnsiTheme="minorHAnsi"/>
                <w:noProof/>
                <w:sz w:val="22"/>
                <w:szCs w:val="22"/>
                <w:lang w:eastAsia="de-CH"/>
              </w:rPr>
              <w:tab/>
            </w:r>
            <w:r w:rsidR="00901BBF" w:rsidRPr="00401186">
              <w:rPr>
                <w:rStyle w:val="Hyperlink"/>
                <w:noProof/>
              </w:rPr>
              <w:t>Organisatorische Anforderungen</w:t>
            </w:r>
            <w:r w:rsidR="00901BBF">
              <w:rPr>
                <w:noProof/>
                <w:webHidden/>
              </w:rPr>
              <w:tab/>
            </w:r>
            <w:r w:rsidR="00901BBF">
              <w:rPr>
                <w:noProof/>
                <w:webHidden/>
              </w:rPr>
              <w:fldChar w:fldCharType="begin"/>
            </w:r>
            <w:r w:rsidR="00901BBF">
              <w:rPr>
                <w:noProof/>
                <w:webHidden/>
              </w:rPr>
              <w:instrText xml:space="preserve"> PAGEREF _Toc185240918 \h </w:instrText>
            </w:r>
            <w:r w:rsidR="00901BBF">
              <w:rPr>
                <w:noProof/>
                <w:webHidden/>
              </w:rPr>
            </w:r>
            <w:r w:rsidR="00901BBF">
              <w:rPr>
                <w:noProof/>
                <w:webHidden/>
              </w:rPr>
              <w:fldChar w:fldCharType="separate"/>
            </w:r>
            <w:r w:rsidR="00901BBF">
              <w:rPr>
                <w:noProof/>
                <w:webHidden/>
              </w:rPr>
              <w:t>8</w:t>
            </w:r>
            <w:r w:rsidR="00901BBF">
              <w:rPr>
                <w:noProof/>
                <w:webHidden/>
              </w:rPr>
              <w:fldChar w:fldCharType="end"/>
            </w:r>
          </w:hyperlink>
        </w:p>
        <w:p w14:paraId="72F5A870" w14:textId="64FDF892" w:rsidR="00901BBF" w:rsidRDefault="00BD23DD">
          <w:pPr>
            <w:pStyle w:val="Verzeichnis3"/>
            <w:rPr>
              <w:rFonts w:asciiTheme="minorHAnsi" w:eastAsiaTheme="minorEastAsia" w:hAnsiTheme="minorHAnsi"/>
              <w:noProof/>
              <w:sz w:val="22"/>
              <w:szCs w:val="22"/>
              <w:lang w:eastAsia="de-CH"/>
            </w:rPr>
          </w:pPr>
          <w:hyperlink w:anchor="_Toc185240919" w:history="1">
            <w:r w:rsidR="00901BBF" w:rsidRPr="00401186">
              <w:rPr>
                <w:rStyle w:val="Hyperlink"/>
                <w:noProof/>
              </w:rPr>
              <w:t>5.1.1</w:t>
            </w:r>
            <w:r w:rsidR="00901BBF">
              <w:rPr>
                <w:rFonts w:asciiTheme="minorHAnsi" w:eastAsiaTheme="minorEastAsia" w:hAnsiTheme="minorHAnsi"/>
                <w:noProof/>
                <w:sz w:val="22"/>
                <w:szCs w:val="22"/>
                <w:lang w:eastAsia="de-CH"/>
              </w:rPr>
              <w:tab/>
            </w:r>
            <w:r w:rsidR="00901BBF" w:rsidRPr="00401186">
              <w:rPr>
                <w:rStyle w:val="Hyperlink"/>
                <w:noProof/>
              </w:rPr>
              <w:t>Risikomanagement-Funktion</w:t>
            </w:r>
            <w:r w:rsidR="00901BBF">
              <w:rPr>
                <w:noProof/>
                <w:webHidden/>
              </w:rPr>
              <w:tab/>
            </w:r>
            <w:r w:rsidR="00901BBF">
              <w:rPr>
                <w:noProof/>
                <w:webHidden/>
              </w:rPr>
              <w:fldChar w:fldCharType="begin"/>
            </w:r>
            <w:r w:rsidR="00901BBF">
              <w:rPr>
                <w:noProof/>
                <w:webHidden/>
              </w:rPr>
              <w:instrText xml:space="preserve"> PAGEREF _Toc185240919 \h </w:instrText>
            </w:r>
            <w:r w:rsidR="00901BBF">
              <w:rPr>
                <w:noProof/>
                <w:webHidden/>
              </w:rPr>
            </w:r>
            <w:r w:rsidR="00901BBF">
              <w:rPr>
                <w:noProof/>
                <w:webHidden/>
              </w:rPr>
              <w:fldChar w:fldCharType="separate"/>
            </w:r>
            <w:r w:rsidR="00901BBF">
              <w:rPr>
                <w:noProof/>
                <w:webHidden/>
              </w:rPr>
              <w:t>8</w:t>
            </w:r>
            <w:r w:rsidR="00901BBF">
              <w:rPr>
                <w:noProof/>
                <w:webHidden/>
              </w:rPr>
              <w:fldChar w:fldCharType="end"/>
            </w:r>
          </w:hyperlink>
        </w:p>
        <w:p w14:paraId="554BD59C" w14:textId="16972D3B" w:rsidR="00901BBF" w:rsidRDefault="00BD23DD">
          <w:pPr>
            <w:pStyle w:val="Verzeichnis3"/>
            <w:rPr>
              <w:rFonts w:asciiTheme="minorHAnsi" w:eastAsiaTheme="minorEastAsia" w:hAnsiTheme="minorHAnsi"/>
              <w:noProof/>
              <w:sz w:val="22"/>
              <w:szCs w:val="22"/>
              <w:lang w:eastAsia="de-CH"/>
            </w:rPr>
          </w:pPr>
          <w:hyperlink w:anchor="_Toc185240920" w:history="1">
            <w:r w:rsidR="00901BBF" w:rsidRPr="00401186">
              <w:rPr>
                <w:rStyle w:val="Hyperlink"/>
                <w:noProof/>
              </w:rPr>
              <w:t>5.1.2</w:t>
            </w:r>
            <w:r w:rsidR="00901BBF">
              <w:rPr>
                <w:rFonts w:asciiTheme="minorHAnsi" w:eastAsiaTheme="minorEastAsia" w:hAnsiTheme="minorHAnsi"/>
                <w:noProof/>
                <w:sz w:val="22"/>
                <w:szCs w:val="22"/>
                <w:lang w:eastAsia="de-CH"/>
              </w:rPr>
              <w:tab/>
            </w:r>
            <w:r w:rsidR="00901BBF" w:rsidRPr="00401186">
              <w:rPr>
                <w:rStyle w:val="Hyperlink"/>
                <w:noProof/>
              </w:rPr>
              <w:t>Compliance-Funktion</w:t>
            </w:r>
            <w:r w:rsidR="00901BBF">
              <w:rPr>
                <w:noProof/>
                <w:webHidden/>
              </w:rPr>
              <w:tab/>
            </w:r>
            <w:r w:rsidR="00901BBF">
              <w:rPr>
                <w:noProof/>
                <w:webHidden/>
              </w:rPr>
              <w:fldChar w:fldCharType="begin"/>
            </w:r>
            <w:r w:rsidR="00901BBF">
              <w:rPr>
                <w:noProof/>
                <w:webHidden/>
              </w:rPr>
              <w:instrText xml:space="preserve"> PAGEREF _Toc185240920 \h </w:instrText>
            </w:r>
            <w:r w:rsidR="00901BBF">
              <w:rPr>
                <w:noProof/>
                <w:webHidden/>
              </w:rPr>
            </w:r>
            <w:r w:rsidR="00901BBF">
              <w:rPr>
                <w:noProof/>
                <w:webHidden/>
              </w:rPr>
              <w:fldChar w:fldCharType="separate"/>
            </w:r>
            <w:r w:rsidR="00901BBF">
              <w:rPr>
                <w:noProof/>
                <w:webHidden/>
              </w:rPr>
              <w:t>8</w:t>
            </w:r>
            <w:r w:rsidR="00901BBF">
              <w:rPr>
                <w:noProof/>
                <w:webHidden/>
              </w:rPr>
              <w:fldChar w:fldCharType="end"/>
            </w:r>
          </w:hyperlink>
        </w:p>
        <w:p w14:paraId="594EA480" w14:textId="099E3B96" w:rsidR="00901BBF" w:rsidRDefault="00BD23DD">
          <w:pPr>
            <w:pStyle w:val="Verzeichnis3"/>
            <w:rPr>
              <w:rFonts w:asciiTheme="minorHAnsi" w:eastAsiaTheme="minorEastAsia" w:hAnsiTheme="minorHAnsi"/>
              <w:noProof/>
              <w:sz w:val="22"/>
              <w:szCs w:val="22"/>
              <w:lang w:eastAsia="de-CH"/>
            </w:rPr>
          </w:pPr>
          <w:hyperlink w:anchor="_Toc185240921" w:history="1">
            <w:r w:rsidR="00901BBF" w:rsidRPr="00401186">
              <w:rPr>
                <w:rStyle w:val="Hyperlink"/>
                <w:noProof/>
              </w:rPr>
              <w:t>5.1.3</w:t>
            </w:r>
            <w:r w:rsidR="00901BBF">
              <w:rPr>
                <w:rFonts w:asciiTheme="minorHAnsi" w:eastAsiaTheme="minorEastAsia" w:hAnsiTheme="minorHAnsi"/>
                <w:noProof/>
                <w:sz w:val="22"/>
                <w:szCs w:val="22"/>
                <w:lang w:eastAsia="de-CH"/>
              </w:rPr>
              <w:tab/>
            </w:r>
            <w:r w:rsidR="00901BBF" w:rsidRPr="00401186">
              <w:rPr>
                <w:rStyle w:val="Hyperlink"/>
                <w:rFonts w:cs="Arial"/>
                <w:noProof/>
                <w:lang w:val="de-LI" w:eastAsia="fr-FR"/>
              </w:rPr>
              <w:t>Innenrevisionsfunktion</w:t>
            </w:r>
            <w:r w:rsidR="00901BBF">
              <w:rPr>
                <w:noProof/>
                <w:webHidden/>
              </w:rPr>
              <w:tab/>
            </w:r>
            <w:r w:rsidR="00901BBF">
              <w:rPr>
                <w:noProof/>
                <w:webHidden/>
              </w:rPr>
              <w:fldChar w:fldCharType="begin"/>
            </w:r>
            <w:r w:rsidR="00901BBF">
              <w:rPr>
                <w:noProof/>
                <w:webHidden/>
              </w:rPr>
              <w:instrText xml:space="preserve"> PAGEREF _Toc185240921 \h </w:instrText>
            </w:r>
            <w:r w:rsidR="00901BBF">
              <w:rPr>
                <w:noProof/>
                <w:webHidden/>
              </w:rPr>
            </w:r>
            <w:r w:rsidR="00901BBF">
              <w:rPr>
                <w:noProof/>
                <w:webHidden/>
              </w:rPr>
              <w:fldChar w:fldCharType="separate"/>
            </w:r>
            <w:r w:rsidR="00901BBF">
              <w:rPr>
                <w:noProof/>
                <w:webHidden/>
              </w:rPr>
              <w:t>9</w:t>
            </w:r>
            <w:r w:rsidR="00901BBF">
              <w:rPr>
                <w:noProof/>
                <w:webHidden/>
              </w:rPr>
              <w:fldChar w:fldCharType="end"/>
            </w:r>
          </w:hyperlink>
        </w:p>
        <w:p w14:paraId="3909B2BE" w14:textId="0DADB012" w:rsidR="00901BBF" w:rsidRDefault="00BD23DD">
          <w:pPr>
            <w:pStyle w:val="Verzeichnis3"/>
            <w:rPr>
              <w:rFonts w:asciiTheme="minorHAnsi" w:eastAsiaTheme="minorEastAsia" w:hAnsiTheme="minorHAnsi"/>
              <w:noProof/>
              <w:sz w:val="22"/>
              <w:szCs w:val="22"/>
              <w:lang w:eastAsia="de-CH"/>
            </w:rPr>
          </w:pPr>
          <w:hyperlink w:anchor="_Toc185240922" w:history="1">
            <w:r w:rsidR="00901BBF" w:rsidRPr="00401186">
              <w:rPr>
                <w:rStyle w:val="Hyperlink"/>
                <w:noProof/>
              </w:rPr>
              <w:t>5.1.4</w:t>
            </w:r>
            <w:r w:rsidR="00901BBF">
              <w:rPr>
                <w:rFonts w:asciiTheme="minorHAnsi" w:eastAsiaTheme="minorEastAsia" w:hAnsiTheme="minorHAnsi"/>
                <w:noProof/>
                <w:sz w:val="22"/>
                <w:szCs w:val="22"/>
                <w:lang w:eastAsia="de-CH"/>
              </w:rPr>
              <w:tab/>
            </w:r>
            <w:r w:rsidR="00901BBF" w:rsidRPr="00401186">
              <w:rPr>
                <w:rStyle w:val="Hyperlink"/>
                <w:noProof/>
              </w:rPr>
              <w:t>Beschwerdemanagement</w:t>
            </w:r>
            <w:r w:rsidR="00901BBF">
              <w:rPr>
                <w:noProof/>
                <w:webHidden/>
              </w:rPr>
              <w:tab/>
            </w:r>
            <w:r w:rsidR="00901BBF">
              <w:rPr>
                <w:noProof/>
                <w:webHidden/>
              </w:rPr>
              <w:fldChar w:fldCharType="begin"/>
            </w:r>
            <w:r w:rsidR="00901BBF">
              <w:rPr>
                <w:noProof/>
                <w:webHidden/>
              </w:rPr>
              <w:instrText xml:space="preserve"> PAGEREF _Toc185240922 \h </w:instrText>
            </w:r>
            <w:r w:rsidR="00901BBF">
              <w:rPr>
                <w:noProof/>
                <w:webHidden/>
              </w:rPr>
            </w:r>
            <w:r w:rsidR="00901BBF">
              <w:rPr>
                <w:noProof/>
                <w:webHidden/>
              </w:rPr>
              <w:fldChar w:fldCharType="separate"/>
            </w:r>
            <w:r w:rsidR="00901BBF">
              <w:rPr>
                <w:noProof/>
                <w:webHidden/>
              </w:rPr>
              <w:t>9</w:t>
            </w:r>
            <w:r w:rsidR="00901BBF">
              <w:rPr>
                <w:noProof/>
                <w:webHidden/>
              </w:rPr>
              <w:fldChar w:fldCharType="end"/>
            </w:r>
          </w:hyperlink>
        </w:p>
        <w:p w14:paraId="441B009C" w14:textId="69D224F3" w:rsidR="00901BBF" w:rsidRDefault="00BD23DD">
          <w:pPr>
            <w:pStyle w:val="Verzeichnis2"/>
            <w:rPr>
              <w:rFonts w:asciiTheme="minorHAnsi" w:eastAsiaTheme="minorEastAsia" w:hAnsiTheme="minorHAnsi"/>
              <w:noProof/>
              <w:sz w:val="22"/>
              <w:szCs w:val="22"/>
              <w:lang w:eastAsia="de-CH"/>
            </w:rPr>
          </w:pPr>
          <w:hyperlink w:anchor="_Toc185240923" w:history="1">
            <w:r w:rsidR="00901BBF" w:rsidRPr="00401186">
              <w:rPr>
                <w:rStyle w:val="Hyperlink"/>
                <w:noProof/>
              </w:rPr>
              <w:t>5.2</w:t>
            </w:r>
            <w:r w:rsidR="00901BBF">
              <w:rPr>
                <w:rFonts w:asciiTheme="minorHAnsi" w:eastAsiaTheme="minorEastAsia" w:hAnsiTheme="minorHAnsi"/>
                <w:noProof/>
                <w:sz w:val="22"/>
                <w:szCs w:val="22"/>
                <w:lang w:eastAsia="de-CH"/>
              </w:rPr>
              <w:tab/>
            </w:r>
            <w:r w:rsidR="00901BBF" w:rsidRPr="00401186">
              <w:rPr>
                <w:rStyle w:val="Hyperlink"/>
                <w:noProof/>
              </w:rPr>
              <w:t>Delegation von Tätigkeiten</w:t>
            </w:r>
            <w:r w:rsidR="00901BBF">
              <w:rPr>
                <w:noProof/>
                <w:webHidden/>
              </w:rPr>
              <w:tab/>
            </w:r>
            <w:r w:rsidR="00901BBF">
              <w:rPr>
                <w:noProof/>
                <w:webHidden/>
              </w:rPr>
              <w:fldChar w:fldCharType="begin"/>
            </w:r>
            <w:r w:rsidR="00901BBF">
              <w:rPr>
                <w:noProof/>
                <w:webHidden/>
              </w:rPr>
              <w:instrText xml:space="preserve"> PAGEREF _Toc185240923 \h </w:instrText>
            </w:r>
            <w:r w:rsidR="00901BBF">
              <w:rPr>
                <w:noProof/>
                <w:webHidden/>
              </w:rPr>
            </w:r>
            <w:r w:rsidR="00901BBF">
              <w:rPr>
                <w:noProof/>
                <w:webHidden/>
              </w:rPr>
              <w:fldChar w:fldCharType="separate"/>
            </w:r>
            <w:r w:rsidR="00901BBF">
              <w:rPr>
                <w:noProof/>
                <w:webHidden/>
              </w:rPr>
              <w:t>10</w:t>
            </w:r>
            <w:r w:rsidR="00901BBF">
              <w:rPr>
                <w:noProof/>
                <w:webHidden/>
              </w:rPr>
              <w:fldChar w:fldCharType="end"/>
            </w:r>
          </w:hyperlink>
        </w:p>
        <w:p w14:paraId="5AF3357D" w14:textId="1FACD3CE" w:rsidR="00901BBF" w:rsidRDefault="00BD23DD">
          <w:pPr>
            <w:pStyle w:val="Verzeichnis2"/>
            <w:rPr>
              <w:rFonts w:asciiTheme="minorHAnsi" w:eastAsiaTheme="minorEastAsia" w:hAnsiTheme="minorHAnsi"/>
              <w:noProof/>
              <w:sz w:val="22"/>
              <w:szCs w:val="22"/>
              <w:lang w:eastAsia="de-CH"/>
            </w:rPr>
          </w:pPr>
          <w:hyperlink w:anchor="_Toc185240924" w:history="1">
            <w:r w:rsidR="00901BBF" w:rsidRPr="00401186">
              <w:rPr>
                <w:rStyle w:val="Hyperlink"/>
                <w:noProof/>
              </w:rPr>
              <w:t>5.3</w:t>
            </w:r>
            <w:r w:rsidR="00901BBF">
              <w:rPr>
                <w:rFonts w:asciiTheme="minorHAnsi" w:eastAsiaTheme="minorEastAsia" w:hAnsiTheme="minorHAnsi"/>
                <w:noProof/>
                <w:sz w:val="22"/>
                <w:szCs w:val="22"/>
                <w:lang w:eastAsia="de-CH"/>
              </w:rPr>
              <w:tab/>
            </w:r>
            <w:r w:rsidR="00901BBF" w:rsidRPr="00401186">
              <w:rPr>
                <w:rStyle w:val="Hyperlink"/>
                <w:noProof/>
              </w:rPr>
              <w:t>Vergütungspolitik</w:t>
            </w:r>
            <w:r w:rsidR="00901BBF">
              <w:rPr>
                <w:noProof/>
                <w:webHidden/>
              </w:rPr>
              <w:tab/>
            </w:r>
            <w:r w:rsidR="00901BBF">
              <w:rPr>
                <w:noProof/>
                <w:webHidden/>
              </w:rPr>
              <w:fldChar w:fldCharType="begin"/>
            </w:r>
            <w:r w:rsidR="00901BBF">
              <w:rPr>
                <w:noProof/>
                <w:webHidden/>
              </w:rPr>
              <w:instrText xml:space="preserve"> PAGEREF _Toc185240924 \h </w:instrText>
            </w:r>
            <w:r w:rsidR="00901BBF">
              <w:rPr>
                <w:noProof/>
                <w:webHidden/>
              </w:rPr>
            </w:r>
            <w:r w:rsidR="00901BBF">
              <w:rPr>
                <w:noProof/>
                <w:webHidden/>
              </w:rPr>
              <w:fldChar w:fldCharType="separate"/>
            </w:r>
            <w:r w:rsidR="00901BBF">
              <w:rPr>
                <w:noProof/>
                <w:webHidden/>
              </w:rPr>
              <w:t>10</w:t>
            </w:r>
            <w:r w:rsidR="00901BBF">
              <w:rPr>
                <w:noProof/>
                <w:webHidden/>
              </w:rPr>
              <w:fldChar w:fldCharType="end"/>
            </w:r>
          </w:hyperlink>
        </w:p>
        <w:p w14:paraId="3F57EDED" w14:textId="61D761AF" w:rsidR="00901BBF" w:rsidRDefault="00BD23DD">
          <w:pPr>
            <w:pStyle w:val="Verzeichnis2"/>
            <w:rPr>
              <w:rFonts w:asciiTheme="minorHAnsi" w:eastAsiaTheme="minorEastAsia" w:hAnsiTheme="minorHAnsi"/>
              <w:noProof/>
              <w:sz w:val="22"/>
              <w:szCs w:val="22"/>
              <w:lang w:eastAsia="de-CH"/>
            </w:rPr>
          </w:pPr>
          <w:hyperlink w:anchor="_Toc185240925" w:history="1">
            <w:r w:rsidR="00901BBF" w:rsidRPr="00401186">
              <w:rPr>
                <w:rStyle w:val="Hyperlink"/>
                <w:noProof/>
              </w:rPr>
              <w:t>5.4</w:t>
            </w:r>
            <w:r w:rsidR="00901BBF">
              <w:rPr>
                <w:rFonts w:asciiTheme="minorHAnsi" w:eastAsiaTheme="minorEastAsia" w:hAnsiTheme="minorHAnsi"/>
                <w:noProof/>
                <w:sz w:val="22"/>
                <w:szCs w:val="22"/>
                <w:lang w:eastAsia="de-CH"/>
              </w:rPr>
              <w:tab/>
            </w:r>
            <w:r w:rsidR="00901BBF" w:rsidRPr="00401186">
              <w:rPr>
                <w:rStyle w:val="Hyperlink"/>
                <w:noProof/>
              </w:rPr>
              <w:t>Vermeidung von Interessenkonflikten</w:t>
            </w:r>
            <w:r w:rsidR="00901BBF">
              <w:rPr>
                <w:noProof/>
                <w:webHidden/>
              </w:rPr>
              <w:tab/>
            </w:r>
            <w:r w:rsidR="00901BBF">
              <w:rPr>
                <w:noProof/>
                <w:webHidden/>
              </w:rPr>
              <w:fldChar w:fldCharType="begin"/>
            </w:r>
            <w:r w:rsidR="00901BBF">
              <w:rPr>
                <w:noProof/>
                <w:webHidden/>
              </w:rPr>
              <w:instrText xml:space="preserve"> PAGEREF _Toc185240925 \h </w:instrText>
            </w:r>
            <w:r w:rsidR="00901BBF">
              <w:rPr>
                <w:noProof/>
                <w:webHidden/>
              </w:rPr>
            </w:r>
            <w:r w:rsidR="00901BBF">
              <w:rPr>
                <w:noProof/>
                <w:webHidden/>
              </w:rPr>
              <w:fldChar w:fldCharType="separate"/>
            </w:r>
            <w:r w:rsidR="00901BBF">
              <w:rPr>
                <w:noProof/>
                <w:webHidden/>
              </w:rPr>
              <w:t>10</w:t>
            </w:r>
            <w:r w:rsidR="00901BBF">
              <w:rPr>
                <w:noProof/>
                <w:webHidden/>
              </w:rPr>
              <w:fldChar w:fldCharType="end"/>
            </w:r>
          </w:hyperlink>
        </w:p>
        <w:p w14:paraId="2B4F7E0E" w14:textId="07894715" w:rsidR="00901BBF" w:rsidRDefault="00BD23DD">
          <w:pPr>
            <w:pStyle w:val="Verzeichnis2"/>
            <w:rPr>
              <w:rFonts w:asciiTheme="minorHAnsi" w:eastAsiaTheme="minorEastAsia" w:hAnsiTheme="minorHAnsi"/>
              <w:noProof/>
              <w:sz w:val="22"/>
              <w:szCs w:val="22"/>
              <w:lang w:eastAsia="de-CH"/>
            </w:rPr>
          </w:pPr>
          <w:hyperlink w:anchor="_Toc185240926" w:history="1">
            <w:r w:rsidR="00901BBF" w:rsidRPr="00401186">
              <w:rPr>
                <w:rStyle w:val="Hyperlink"/>
                <w:noProof/>
              </w:rPr>
              <w:t>5.5</w:t>
            </w:r>
            <w:r w:rsidR="00901BBF">
              <w:rPr>
                <w:rFonts w:asciiTheme="minorHAnsi" w:eastAsiaTheme="minorEastAsia" w:hAnsiTheme="minorHAnsi"/>
                <w:noProof/>
                <w:sz w:val="22"/>
                <w:szCs w:val="22"/>
                <w:lang w:eastAsia="de-CH"/>
              </w:rPr>
              <w:tab/>
            </w:r>
            <w:r w:rsidR="00901BBF" w:rsidRPr="00401186">
              <w:rPr>
                <w:rStyle w:val="Hyperlink"/>
                <w:noProof/>
              </w:rPr>
              <w:t>Organ- und Mitarbeitergeschäfte</w:t>
            </w:r>
            <w:r w:rsidR="00901BBF">
              <w:rPr>
                <w:noProof/>
                <w:webHidden/>
              </w:rPr>
              <w:tab/>
            </w:r>
            <w:r w:rsidR="00901BBF">
              <w:rPr>
                <w:noProof/>
                <w:webHidden/>
              </w:rPr>
              <w:fldChar w:fldCharType="begin"/>
            </w:r>
            <w:r w:rsidR="00901BBF">
              <w:rPr>
                <w:noProof/>
                <w:webHidden/>
              </w:rPr>
              <w:instrText xml:space="preserve"> PAGEREF _Toc185240926 \h </w:instrText>
            </w:r>
            <w:r w:rsidR="00901BBF">
              <w:rPr>
                <w:noProof/>
                <w:webHidden/>
              </w:rPr>
            </w:r>
            <w:r w:rsidR="00901BBF">
              <w:rPr>
                <w:noProof/>
                <w:webHidden/>
              </w:rPr>
              <w:fldChar w:fldCharType="separate"/>
            </w:r>
            <w:r w:rsidR="00901BBF">
              <w:rPr>
                <w:noProof/>
                <w:webHidden/>
              </w:rPr>
              <w:t>10</w:t>
            </w:r>
            <w:r w:rsidR="00901BBF">
              <w:rPr>
                <w:noProof/>
                <w:webHidden/>
              </w:rPr>
              <w:fldChar w:fldCharType="end"/>
            </w:r>
          </w:hyperlink>
        </w:p>
        <w:p w14:paraId="23A3BA93" w14:textId="56A782F8" w:rsidR="00901BBF" w:rsidRDefault="00BD23DD">
          <w:pPr>
            <w:pStyle w:val="Verzeichnis2"/>
            <w:rPr>
              <w:rFonts w:asciiTheme="minorHAnsi" w:eastAsiaTheme="minorEastAsia" w:hAnsiTheme="minorHAnsi"/>
              <w:noProof/>
              <w:sz w:val="22"/>
              <w:szCs w:val="22"/>
              <w:lang w:eastAsia="de-CH"/>
            </w:rPr>
          </w:pPr>
          <w:hyperlink w:anchor="_Toc185240927" w:history="1">
            <w:r w:rsidR="00901BBF" w:rsidRPr="00401186">
              <w:rPr>
                <w:rStyle w:val="Hyperlink"/>
                <w:noProof/>
              </w:rPr>
              <w:t>5.6</w:t>
            </w:r>
            <w:r w:rsidR="00901BBF">
              <w:rPr>
                <w:rFonts w:asciiTheme="minorHAnsi" w:eastAsiaTheme="minorEastAsia" w:hAnsiTheme="minorHAnsi"/>
                <w:noProof/>
                <w:sz w:val="22"/>
                <w:szCs w:val="22"/>
                <w:lang w:eastAsia="de-CH"/>
              </w:rPr>
              <w:tab/>
            </w:r>
            <w:r w:rsidR="00901BBF" w:rsidRPr="00401186">
              <w:rPr>
                <w:rStyle w:val="Hyperlink"/>
                <w:noProof/>
              </w:rPr>
              <w:t>Grenzüberschreitende Dienstleistungen</w:t>
            </w:r>
            <w:r w:rsidR="00901BBF">
              <w:rPr>
                <w:noProof/>
                <w:webHidden/>
              </w:rPr>
              <w:tab/>
            </w:r>
            <w:r w:rsidR="00901BBF">
              <w:rPr>
                <w:noProof/>
                <w:webHidden/>
              </w:rPr>
              <w:fldChar w:fldCharType="begin"/>
            </w:r>
            <w:r w:rsidR="00901BBF">
              <w:rPr>
                <w:noProof/>
                <w:webHidden/>
              </w:rPr>
              <w:instrText xml:space="preserve"> PAGEREF _Toc185240927 \h </w:instrText>
            </w:r>
            <w:r w:rsidR="00901BBF">
              <w:rPr>
                <w:noProof/>
                <w:webHidden/>
              </w:rPr>
            </w:r>
            <w:r w:rsidR="00901BBF">
              <w:rPr>
                <w:noProof/>
                <w:webHidden/>
              </w:rPr>
              <w:fldChar w:fldCharType="separate"/>
            </w:r>
            <w:r w:rsidR="00901BBF">
              <w:rPr>
                <w:noProof/>
                <w:webHidden/>
              </w:rPr>
              <w:t>11</w:t>
            </w:r>
            <w:r w:rsidR="00901BBF">
              <w:rPr>
                <w:noProof/>
                <w:webHidden/>
              </w:rPr>
              <w:fldChar w:fldCharType="end"/>
            </w:r>
          </w:hyperlink>
        </w:p>
        <w:p w14:paraId="5B396AEC" w14:textId="1FC43198" w:rsidR="00901BBF" w:rsidRDefault="00BD23DD">
          <w:pPr>
            <w:pStyle w:val="Verzeichnis2"/>
            <w:rPr>
              <w:rFonts w:asciiTheme="minorHAnsi" w:eastAsiaTheme="minorEastAsia" w:hAnsiTheme="minorHAnsi"/>
              <w:noProof/>
              <w:sz w:val="22"/>
              <w:szCs w:val="22"/>
              <w:lang w:eastAsia="de-CH"/>
            </w:rPr>
          </w:pPr>
          <w:hyperlink w:anchor="_Toc185240928" w:history="1">
            <w:r w:rsidR="00901BBF" w:rsidRPr="00401186">
              <w:rPr>
                <w:rStyle w:val="Hyperlink"/>
                <w:noProof/>
              </w:rPr>
              <w:t>5.7</w:t>
            </w:r>
            <w:r w:rsidR="00901BBF">
              <w:rPr>
                <w:rFonts w:asciiTheme="minorHAnsi" w:eastAsiaTheme="minorEastAsia" w:hAnsiTheme="minorHAnsi"/>
                <w:noProof/>
                <w:sz w:val="22"/>
                <w:szCs w:val="22"/>
                <w:lang w:eastAsia="de-CH"/>
              </w:rPr>
              <w:tab/>
            </w:r>
            <w:r w:rsidR="00901BBF" w:rsidRPr="00401186">
              <w:rPr>
                <w:rStyle w:val="Hyperlink"/>
                <w:noProof/>
              </w:rPr>
              <w:t>Offenlegungspflichten</w:t>
            </w:r>
            <w:r w:rsidR="00901BBF">
              <w:rPr>
                <w:noProof/>
                <w:webHidden/>
              </w:rPr>
              <w:tab/>
            </w:r>
            <w:r w:rsidR="00901BBF">
              <w:rPr>
                <w:noProof/>
                <w:webHidden/>
              </w:rPr>
              <w:fldChar w:fldCharType="begin"/>
            </w:r>
            <w:r w:rsidR="00901BBF">
              <w:rPr>
                <w:noProof/>
                <w:webHidden/>
              </w:rPr>
              <w:instrText xml:space="preserve"> PAGEREF _Toc185240928 \h </w:instrText>
            </w:r>
            <w:r w:rsidR="00901BBF">
              <w:rPr>
                <w:noProof/>
                <w:webHidden/>
              </w:rPr>
            </w:r>
            <w:r w:rsidR="00901BBF">
              <w:rPr>
                <w:noProof/>
                <w:webHidden/>
              </w:rPr>
              <w:fldChar w:fldCharType="separate"/>
            </w:r>
            <w:r w:rsidR="00901BBF">
              <w:rPr>
                <w:noProof/>
                <w:webHidden/>
              </w:rPr>
              <w:t>11</w:t>
            </w:r>
            <w:r w:rsidR="00901BBF">
              <w:rPr>
                <w:noProof/>
                <w:webHidden/>
              </w:rPr>
              <w:fldChar w:fldCharType="end"/>
            </w:r>
          </w:hyperlink>
        </w:p>
        <w:p w14:paraId="44C7D18D" w14:textId="5D7DDB75" w:rsidR="00901BBF" w:rsidRDefault="00BD23DD">
          <w:pPr>
            <w:pStyle w:val="Verzeichnis2"/>
            <w:rPr>
              <w:rFonts w:asciiTheme="minorHAnsi" w:eastAsiaTheme="minorEastAsia" w:hAnsiTheme="minorHAnsi"/>
              <w:noProof/>
              <w:sz w:val="22"/>
              <w:szCs w:val="22"/>
              <w:lang w:eastAsia="de-CH"/>
            </w:rPr>
          </w:pPr>
          <w:hyperlink w:anchor="_Toc185240929" w:history="1">
            <w:r w:rsidR="00901BBF" w:rsidRPr="00401186">
              <w:rPr>
                <w:rStyle w:val="Hyperlink"/>
                <w:noProof/>
              </w:rPr>
              <w:t>5.8</w:t>
            </w:r>
            <w:r w:rsidR="00901BBF">
              <w:rPr>
                <w:rFonts w:asciiTheme="minorHAnsi" w:eastAsiaTheme="minorEastAsia" w:hAnsiTheme="minorHAnsi"/>
                <w:noProof/>
                <w:sz w:val="22"/>
                <w:szCs w:val="22"/>
                <w:lang w:eastAsia="de-CH"/>
              </w:rPr>
              <w:tab/>
            </w:r>
            <w:r w:rsidR="00901BBF" w:rsidRPr="00401186">
              <w:rPr>
                <w:rStyle w:val="Hyperlink"/>
                <w:noProof/>
              </w:rPr>
              <w:t>Vorschriften zum Anlegerschutz</w:t>
            </w:r>
            <w:r w:rsidR="00901BBF">
              <w:rPr>
                <w:noProof/>
                <w:webHidden/>
              </w:rPr>
              <w:tab/>
            </w:r>
            <w:r w:rsidR="00901BBF">
              <w:rPr>
                <w:noProof/>
                <w:webHidden/>
              </w:rPr>
              <w:fldChar w:fldCharType="begin"/>
            </w:r>
            <w:r w:rsidR="00901BBF">
              <w:rPr>
                <w:noProof/>
                <w:webHidden/>
              </w:rPr>
              <w:instrText xml:space="preserve"> PAGEREF _Toc185240929 \h </w:instrText>
            </w:r>
            <w:r w:rsidR="00901BBF">
              <w:rPr>
                <w:noProof/>
                <w:webHidden/>
              </w:rPr>
            </w:r>
            <w:r w:rsidR="00901BBF">
              <w:rPr>
                <w:noProof/>
                <w:webHidden/>
              </w:rPr>
              <w:fldChar w:fldCharType="separate"/>
            </w:r>
            <w:r w:rsidR="00901BBF">
              <w:rPr>
                <w:noProof/>
                <w:webHidden/>
              </w:rPr>
              <w:t>11</w:t>
            </w:r>
            <w:r w:rsidR="00901BBF">
              <w:rPr>
                <w:noProof/>
                <w:webHidden/>
              </w:rPr>
              <w:fldChar w:fldCharType="end"/>
            </w:r>
          </w:hyperlink>
        </w:p>
        <w:p w14:paraId="40BEE4B1" w14:textId="4F98263B" w:rsidR="00901BBF" w:rsidRDefault="00BD23DD">
          <w:pPr>
            <w:pStyle w:val="Verzeichnis3"/>
            <w:rPr>
              <w:rFonts w:asciiTheme="minorHAnsi" w:eastAsiaTheme="minorEastAsia" w:hAnsiTheme="minorHAnsi"/>
              <w:noProof/>
              <w:sz w:val="22"/>
              <w:szCs w:val="22"/>
              <w:lang w:eastAsia="de-CH"/>
            </w:rPr>
          </w:pPr>
          <w:hyperlink w:anchor="_Toc185240930" w:history="1">
            <w:r w:rsidR="00901BBF" w:rsidRPr="00401186">
              <w:rPr>
                <w:rStyle w:val="Hyperlink"/>
                <w:noProof/>
              </w:rPr>
              <w:t>5.8.1</w:t>
            </w:r>
            <w:r w:rsidR="00901BBF">
              <w:rPr>
                <w:rFonts w:asciiTheme="minorHAnsi" w:eastAsiaTheme="minorEastAsia" w:hAnsiTheme="minorHAnsi"/>
                <w:noProof/>
                <w:sz w:val="22"/>
                <w:szCs w:val="22"/>
                <w:lang w:eastAsia="de-CH"/>
              </w:rPr>
              <w:tab/>
            </w:r>
            <w:r w:rsidR="00901BBF" w:rsidRPr="00401186">
              <w:rPr>
                <w:rStyle w:val="Hyperlink"/>
                <w:noProof/>
              </w:rPr>
              <w:t>Anlageberatung</w:t>
            </w:r>
            <w:r w:rsidR="00901BBF">
              <w:rPr>
                <w:noProof/>
                <w:webHidden/>
              </w:rPr>
              <w:tab/>
            </w:r>
            <w:r w:rsidR="00901BBF">
              <w:rPr>
                <w:noProof/>
                <w:webHidden/>
              </w:rPr>
              <w:fldChar w:fldCharType="begin"/>
            </w:r>
            <w:r w:rsidR="00901BBF">
              <w:rPr>
                <w:noProof/>
                <w:webHidden/>
              </w:rPr>
              <w:instrText xml:space="preserve"> PAGEREF _Toc185240930 \h </w:instrText>
            </w:r>
            <w:r w:rsidR="00901BBF">
              <w:rPr>
                <w:noProof/>
                <w:webHidden/>
              </w:rPr>
            </w:r>
            <w:r w:rsidR="00901BBF">
              <w:rPr>
                <w:noProof/>
                <w:webHidden/>
              </w:rPr>
              <w:fldChar w:fldCharType="separate"/>
            </w:r>
            <w:r w:rsidR="00901BBF">
              <w:rPr>
                <w:noProof/>
                <w:webHidden/>
              </w:rPr>
              <w:t>11</w:t>
            </w:r>
            <w:r w:rsidR="00901BBF">
              <w:rPr>
                <w:noProof/>
                <w:webHidden/>
              </w:rPr>
              <w:fldChar w:fldCharType="end"/>
            </w:r>
          </w:hyperlink>
        </w:p>
        <w:p w14:paraId="7658254D" w14:textId="3DE3DE3C" w:rsidR="00901BBF" w:rsidRDefault="00BD23DD">
          <w:pPr>
            <w:pStyle w:val="Verzeichnis3"/>
            <w:rPr>
              <w:rFonts w:asciiTheme="minorHAnsi" w:eastAsiaTheme="minorEastAsia" w:hAnsiTheme="minorHAnsi"/>
              <w:noProof/>
              <w:sz w:val="22"/>
              <w:szCs w:val="22"/>
              <w:lang w:eastAsia="de-CH"/>
            </w:rPr>
          </w:pPr>
          <w:hyperlink w:anchor="_Toc185240931" w:history="1">
            <w:r w:rsidR="00901BBF" w:rsidRPr="00401186">
              <w:rPr>
                <w:rStyle w:val="Hyperlink"/>
                <w:noProof/>
              </w:rPr>
              <w:t>5.8.2</w:t>
            </w:r>
            <w:r w:rsidR="00901BBF">
              <w:rPr>
                <w:rFonts w:asciiTheme="minorHAnsi" w:eastAsiaTheme="minorEastAsia" w:hAnsiTheme="minorHAnsi"/>
                <w:noProof/>
                <w:sz w:val="22"/>
                <w:szCs w:val="22"/>
                <w:lang w:eastAsia="de-CH"/>
              </w:rPr>
              <w:tab/>
            </w:r>
            <w:r w:rsidR="00901BBF" w:rsidRPr="00401186">
              <w:rPr>
                <w:rStyle w:val="Hyperlink"/>
                <w:noProof/>
              </w:rPr>
              <w:t xml:space="preserve">Aufzeichnungs- </w:t>
            </w:r>
            <w:r w:rsidR="00901BBF" w:rsidRPr="00401186">
              <w:rPr>
                <w:rStyle w:val="Hyperlink"/>
                <w:rFonts w:cs="Arial"/>
                <w:noProof/>
              </w:rPr>
              <w:t>und Aufbewahrungspflichten</w:t>
            </w:r>
            <w:r w:rsidR="00901BBF">
              <w:rPr>
                <w:noProof/>
                <w:webHidden/>
              </w:rPr>
              <w:tab/>
            </w:r>
            <w:r w:rsidR="00901BBF">
              <w:rPr>
                <w:noProof/>
                <w:webHidden/>
              </w:rPr>
              <w:fldChar w:fldCharType="begin"/>
            </w:r>
            <w:r w:rsidR="00901BBF">
              <w:rPr>
                <w:noProof/>
                <w:webHidden/>
              </w:rPr>
              <w:instrText xml:space="preserve"> PAGEREF _Toc185240931 \h </w:instrText>
            </w:r>
            <w:r w:rsidR="00901BBF">
              <w:rPr>
                <w:noProof/>
                <w:webHidden/>
              </w:rPr>
            </w:r>
            <w:r w:rsidR="00901BBF">
              <w:rPr>
                <w:noProof/>
                <w:webHidden/>
              </w:rPr>
              <w:fldChar w:fldCharType="separate"/>
            </w:r>
            <w:r w:rsidR="00901BBF">
              <w:rPr>
                <w:noProof/>
                <w:webHidden/>
              </w:rPr>
              <w:t>12</w:t>
            </w:r>
            <w:r w:rsidR="00901BBF">
              <w:rPr>
                <w:noProof/>
                <w:webHidden/>
              </w:rPr>
              <w:fldChar w:fldCharType="end"/>
            </w:r>
          </w:hyperlink>
        </w:p>
        <w:p w14:paraId="2E9BF45C" w14:textId="57E0D37E" w:rsidR="00901BBF" w:rsidRDefault="00BD23DD">
          <w:pPr>
            <w:pStyle w:val="Verzeichnis3"/>
            <w:rPr>
              <w:rFonts w:asciiTheme="minorHAnsi" w:eastAsiaTheme="minorEastAsia" w:hAnsiTheme="minorHAnsi"/>
              <w:noProof/>
              <w:sz w:val="22"/>
              <w:szCs w:val="22"/>
              <w:lang w:eastAsia="de-CH"/>
            </w:rPr>
          </w:pPr>
          <w:hyperlink w:anchor="_Toc185240932" w:history="1">
            <w:r w:rsidR="00901BBF" w:rsidRPr="00401186">
              <w:rPr>
                <w:rStyle w:val="Hyperlink"/>
                <w:noProof/>
              </w:rPr>
              <w:t>5.8.3</w:t>
            </w:r>
            <w:r w:rsidR="00901BBF">
              <w:rPr>
                <w:rFonts w:asciiTheme="minorHAnsi" w:eastAsiaTheme="minorEastAsia" w:hAnsiTheme="minorHAnsi"/>
                <w:noProof/>
                <w:sz w:val="22"/>
                <w:szCs w:val="22"/>
                <w:lang w:eastAsia="de-CH"/>
              </w:rPr>
              <w:tab/>
            </w:r>
            <w:r w:rsidR="00901BBF" w:rsidRPr="00401186">
              <w:rPr>
                <w:rStyle w:val="Hyperlink"/>
                <w:noProof/>
              </w:rPr>
              <w:t>Zuwendungen</w:t>
            </w:r>
            <w:r w:rsidR="00901BBF">
              <w:rPr>
                <w:noProof/>
                <w:webHidden/>
              </w:rPr>
              <w:tab/>
            </w:r>
            <w:r w:rsidR="00901BBF">
              <w:rPr>
                <w:noProof/>
                <w:webHidden/>
              </w:rPr>
              <w:fldChar w:fldCharType="begin"/>
            </w:r>
            <w:r w:rsidR="00901BBF">
              <w:rPr>
                <w:noProof/>
                <w:webHidden/>
              </w:rPr>
              <w:instrText xml:space="preserve"> PAGEREF _Toc185240932 \h </w:instrText>
            </w:r>
            <w:r w:rsidR="00901BBF">
              <w:rPr>
                <w:noProof/>
                <w:webHidden/>
              </w:rPr>
            </w:r>
            <w:r w:rsidR="00901BBF">
              <w:rPr>
                <w:noProof/>
                <w:webHidden/>
              </w:rPr>
              <w:fldChar w:fldCharType="separate"/>
            </w:r>
            <w:r w:rsidR="00901BBF">
              <w:rPr>
                <w:noProof/>
                <w:webHidden/>
              </w:rPr>
              <w:t>12</w:t>
            </w:r>
            <w:r w:rsidR="00901BBF">
              <w:rPr>
                <w:noProof/>
                <w:webHidden/>
              </w:rPr>
              <w:fldChar w:fldCharType="end"/>
            </w:r>
          </w:hyperlink>
        </w:p>
        <w:p w14:paraId="2FFA2ACA" w14:textId="09C8F91F" w:rsidR="00901BBF" w:rsidRDefault="00BD23DD">
          <w:pPr>
            <w:pStyle w:val="Verzeichnis3"/>
            <w:rPr>
              <w:rFonts w:asciiTheme="minorHAnsi" w:eastAsiaTheme="minorEastAsia" w:hAnsiTheme="minorHAnsi"/>
              <w:noProof/>
              <w:sz w:val="22"/>
              <w:szCs w:val="22"/>
              <w:lang w:eastAsia="de-CH"/>
            </w:rPr>
          </w:pPr>
          <w:hyperlink w:anchor="_Toc185240933" w:history="1">
            <w:r w:rsidR="00901BBF" w:rsidRPr="00401186">
              <w:rPr>
                <w:rStyle w:val="Hyperlink"/>
                <w:noProof/>
              </w:rPr>
              <w:t>5.8.4</w:t>
            </w:r>
            <w:r w:rsidR="00901BBF">
              <w:rPr>
                <w:rFonts w:asciiTheme="minorHAnsi" w:eastAsiaTheme="minorEastAsia" w:hAnsiTheme="minorHAnsi"/>
                <w:noProof/>
                <w:sz w:val="22"/>
                <w:szCs w:val="22"/>
                <w:lang w:eastAsia="de-CH"/>
              </w:rPr>
              <w:tab/>
            </w:r>
            <w:r w:rsidR="00901BBF" w:rsidRPr="00401186">
              <w:rPr>
                <w:rStyle w:val="Hyperlink"/>
                <w:noProof/>
              </w:rPr>
              <w:t>Geeignetheit und Angemessenheit</w:t>
            </w:r>
            <w:r w:rsidR="00901BBF">
              <w:rPr>
                <w:noProof/>
                <w:webHidden/>
              </w:rPr>
              <w:tab/>
            </w:r>
            <w:r w:rsidR="00901BBF">
              <w:rPr>
                <w:noProof/>
                <w:webHidden/>
              </w:rPr>
              <w:fldChar w:fldCharType="begin"/>
            </w:r>
            <w:r w:rsidR="00901BBF">
              <w:rPr>
                <w:noProof/>
                <w:webHidden/>
              </w:rPr>
              <w:instrText xml:space="preserve"> PAGEREF _Toc185240933 \h </w:instrText>
            </w:r>
            <w:r w:rsidR="00901BBF">
              <w:rPr>
                <w:noProof/>
                <w:webHidden/>
              </w:rPr>
            </w:r>
            <w:r w:rsidR="00901BBF">
              <w:rPr>
                <w:noProof/>
                <w:webHidden/>
              </w:rPr>
              <w:fldChar w:fldCharType="separate"/>
            </w:r>
            <w:r w:rsidR="00901BBF">
              <w:rPr>
                <w:noProof/>
                <w:webHidden/>
              </w:rPr>
              <w:t>12</w:t>
            </w:r>
            <w:r w:rsidR="00901BBF">
              <w:rPr>
                <w:noProof/>
                <w:webHidden/>
              </w:rPr>
              <w:fldChar w:fldCharType="end"/>
            </w:r>
          </w:hyperlink>
        </w:p>
        <w:p w14:paraId="2B485828" w14:textId="710BE403" w:rsidR="00901BBF" w:rsidRDefault="00BD23DD">
          <w:pPr>
            <w:pStyle w:val="Verzeichnis3"/>
            <w:rPr>
              <w:rFonts w:asciiTheme="minorHAnsi" w:eastAsiaTheme="minorEastAsia" w:hAnsiTheme="minorHAnsi"/>
              <w:noProof/>
              <w:sz w:val="22"/>
              <w:szCs w:val="22"/>
              <w:lang w:eastAsia="de-CH"/>
            </w:rPr>
          </w:pPr>
          <w:hyperlink w:anchor="_Toc185240934" w:history="1">
            <w:r w:rsidR="00901BBF" w:rsidRPr="00401186">
              <w:rPr>
                <w:rStyle w:val="Hyperlink"/>
                <w:noProof/>
              </w:rPr>
              <w:t>5.8.5</w:t>
            </w:r>
            <w:r w:rsidR="00901BBF">
              <w:rPr>
                <w:rFonts w:asciiTheme="minorHAnsi" w:eastAsiaTheme="minorEastAsia" w:hAnsiTheme="minorHAnsi"/>
                <w:noProof/>
                <w:sz w:val="22"/>
                <w:szCs w:val="22"/>
                <w:lang w:eastAsia="de-CH"/>
              </w:rPr>
              <w:tab/>
            </w:r>
            <w:r w:rsidR="00901BBF" w:rsidRPr="00401186">
              <w:rPr>
                <w:rStyle w:val="Hyperlink"/>
                <w:noProof/>
              </w:rPr>
              <w:t>Produktüberwachung</w:t>
            </w:r>
            <w:r w:rsidR="00901BBF">
              <w:rPr>
                <w:noProof/>
                <w:webHidden/>
              </w:rPr>
              <w:tab/>
            </w:r>
            <w:r w:rsidR="00901BBF">
              <w:rPr>
                <w:noProof/>
                <w:webHidden/>
              </w:rPr>
              <w:fldChar w:fldCharType="begin"/>
            </w:r>
            <w:r w:rsidR="00901BBF">
              <w:rPr>
                <w:noProof/>
                <w:webHidden/>
              </w:rPr>
              <w:instrText xml:space="preserve"> PAGEREF _Toc185240934 \h </w:instrText>
            </w:r>
            <w:r w:rsidR="00901BBF">
              <w:rPr>
                <w:noProof/>
                <w:webHidden/>
              </w:rPr>
            </w:r>
            <w:r w:rsidR="00901BBF">
              <w:rPr>
                <w:noProof/>
                <w:webHidden/>
              </w:rPr>
              <w:fldChar w:fldCharType="separate"/>
            </w:r>
            <w:r w:rsidR="00901BBF">
              <w:rPr>
                <w:noProof/>
                <w:webHidden/>
              </w:rPr>
              <w:t>13</w:t>
            </w:r>
            <w:r w:rsidR="00901BBF">
              <w:rPr>
                <w:noProof/>
                <w:webHidden/>
              </w:rPr>
              <w:fldChar w:fldCharType="end"/>
            </w:r>
          </w:hyperlink>
        </w:p>
        <w:p w14:paraId="116AC908" w14:textId="79D41721" w:rsidR="00901BBF" w:rsidRDefault="00BD23DD">
          <w:pPr>
            <w:pStyle w:val="Verzeichnis3"/>
            <w:rPr>
              <w:rFonts w:asciiTheme="minorHAnsi" w:eastAsiaTheme="minorEastAsia" w:hAnsiTheme="minorHAnsi"/>
              <w:noProof/>
              <w:sz w:val="22"/>
              <w:szCs w:val="22"/>
              <w:lang w:eastAsia="de-CH"/>
            </w:rPr>
          </w:pPr>
          <w:hyperlink w:anchor="_Toc185240935" w:history="1">
            <w:r w:rsidR="00901BBF" w:rsidRPr="00401186">
              <w:rPr>
                <w:rStyle w:val="Hyperlink"/>
                <w:noProof/>
              </w:rPr>
              <w:t>5.8.6</w:t>
            </w:r>
            <w:r w:rsidR="00901BBF">
              <w:rPr>
                <w:rFonts w:asciiTheme="minorHAnsi" w:eastAsiaTheme="minorEastAsia" w:hAnsiTheme="minorHAnsi"/>
                <w:noProof/>
                <w:sz w:val="22"/>
                <w:szCs w:val="22"/>
                <w:lang w:eastAsia="de-CH"/>
              </w:rPr>
              <w:tab/>
            </w:r>
            <w:r w:rsidR="00901BBF" w:rsidRPr="00401186">
              <w:rPr>
                <w:rStyle w:val="Hyperlink"/>
                <w:noProof/>
              </w:rPr>
              <w:t>Information und Berichterstattung gegenüber Kunden</w:t>
            </w:r>
            <w:r w:rsidR="00901BBF">
              <w:rPr>
                <w:noProof/>
                <w:webHidden/>
              </w:rPr>
              <w:tab/>
            </w:r>
            <w:r w:rsidR="00901BBF">
              <w:rPr>
                <w:noProof/>
                <w:webHidden/>
              </w:rPr>
              <w:fldChar w:fldCharType="begin"/>
            </w:r>
            <w:r w:rsidR="00901BBF">
              <w:rPr>
                <w:noProof/>
                <w:webHidden/>
              </w:rPr>
              <w:instrText xml:space="preserve"> PAGEREF _Toc185240935 \h </w:instrText>
            </w:r>
            <w:r w:rsidR="00901BBF">
              <w:rPr>
                <w:noProof/>
                <w:webHidden/>
              </w:rPr>
            </w:r>
            <w:r w:rsidR="00901BBF">
              <w:rPr>
                <w:noProof/>
                <w:webHidden/>
              </w:rPr>
              <w:fldChar w:fldCharType="separate"/>
            </w:r>
            <w:r w:rsidR="00901BBF">
              <w:rPr>
                <w:noProof/>
                <w:webHidden/>
              </w:rPr>
              <w:t>13</w:t>
            </w:r>
            <w:r w:rsidR="00901BBF">
              <w:rPr>
                <w:noProof/>
                <w:webHidden/>
              </w:rPr>
              <w:fldChar w:fldCharType="end"/>
            </w:r>
          </w:hyperlink>
        </w:p>
        <w:p w14:paraId="48AEEADB" w14:textId="79115EA5" w:rsidR="00901BBF" w:rsidRDefault="00BD23DD">
          <w:pPr>
            <w:pStyle w:val="Verzeichnis3"/>
            <w:rPr>
              <w:rFonts w:asciiTheme="minorHAnsi" w:eastAsiaTheme="minorEastAsia" w:hAnsiTheme="minorHAnsi"/>
              <w:noProof/>
              <w:sz w:val="22"/>
              <w:szCs w:val="22"/>
              <w:lang w:eastAsia="de-CH"/>
            </w:rPr>
          </w:pPr>
          <w:hyperlink w:anchor="_Toc185240936" w:history="1">
            <w:r w:rsidR="00901BBF" w:rsidRPr="00401186">
              <w:rPr>
                <w:rStyle w:val="Hyperlink"/>
                <w:noProof/>
              </w:rPr>
              <w:t>5.8.7</w:t>
            </w:r>
            <w:r w:rsidR="00901BBF">
              <w:rPr>
                <w:rFonts w:asciiTheme="minorHAnsi" w:eastAsiaTheme="minorEastAsia" w:hAnsiTheme="minorHAnsi"/>
                <w:noProof/>
                <w:sz w:val="22"/>
                <w:szCs w:val="22"/>
                <w:lang w:eastAsia="de-CH"/>
              </w:rPr>
              <w:tab/>
            </w:r>
            <w:r w:rsidR="00901BBF" w:rsidRPr="00401186">
              <w:rPr>
                <w:rStyle w:val="Hyperlink"/>
                <w:noProof/>
              </w:rPr>
              <w:t>Verdachtsmitteilung nach Marktmissbrauchsgesetz</w:t>
            </w:r>
            <w:r w:rsidR="00901BBF">
              <w:rPr>
                <w:noProof/>
                <w:webHidden/>
              </w:rPr>
              <w:tab/>
            </w:r>
            <w:r w:rsidR="00901BBF">
              <w:rPr>
                <w:noProof/>
                <w:webHidden/>
              </w:rPr>
              <w:fldChar w:fldCharType="begin"/>
            </w:r>
            <w:r w:rsidR="00901BBF">
              <w:rPr>
                <w:noProof/>
                <w:webHidden/>
              </w:rPr>
              <w:instrText xml:space="preserve"> PAGEREF _Toc185240936 \h </w:instrText>
            </w:r>
            <w:r w:rsidR="00901BBF">
              <w:rPr>
                <w:noProof/>
                <w:webHidden/>
              </w:rPr>
            </w:r>
            <w:r w:rsidR="00901BBF">
              <w:rPr>
                <w:noProof/>
                <w:webHidden/>
              </w:rPr>
              <w:fldChar w:fldCharType="separate"/>
            </w:r>
            <w:r w:rsidR="00901BBF">
              <w:rPr>
                <w:noProof/>
                <w:webHidden/>
              </w:rPr>
              <w:t>13</w:t>
            </w:r>
            <w:r w:rsidR="00901BBF">
              <w:rPr>
                <w:noProof/>
                <w:webHidden/>
              </w:rPr>
              <w:fldChar w:fldCharType="end"/>
            </w:r>
          </w:hyperlink>
        </w:p>
        <w:p w14:paraId="7974C12D" w14:textId="149DD49F" w:rsidR="00901BBF" w:rsidRDefault="00BD23DD">
          <w:pPr>
            <w:pStyle w:val="Verzeichnis1"/>
            <w:rPr>
              <w:rFonts w:asciiTheme="minorHAnsi" w:eastAsiaTheme="minorEastAsia" w:hAnsiTheme="minorHAnsi"/>
              <w:noProof/>
              <w:sz w:val="22"/>
              <w:szCs w:val="22"/>
              <w:lang w:eastAsia="de-CH"/>
            </w:rPr>
          </w:pPr>
          <w:hyperlink w:anchor="_Toc185240937" w:history="1">
            <w:r w:rsidR="00901BBF" w:rsidRPr="00401186">
              <w:rPr>
                <w:rStyle w:val="Hyperlink"/>
                <w:noProof/>
              </w:rPr>
              <w:t>6.</w:t>
            </w:r>
            <w:r w:rsidR="00901BBF">
              <w:rPr>
                <w:rFonts w:asciiTheme="minorHAnsi" w:eastAsiaTheme="minorEastAsia" w:hAnsiTheme="minorHAnsi"/>
                <w:noProof/>
                <w:sz w:val="22"/>
                <w:szCs w:val="22"/>
                <w:lang w:eastAsia="de-CH"/>
              </w:rPr>
              <w:tab/>
            </w:r>
            <w:r w:rsidR="00901BBF" w:rsidRPr="00401186">
              <w:rPr>
                <w:rStyle w:val="Hyperlink"/>
                <w:noProof/>
              </w:rPr>
              <w:t>Ausserordentliche Prüfung</w:t>
            </w:r>
            <w:r w:rsidR="00901BBF">
              <w:rPr>
                <w:noProof/>
                <w:webHidden/>
              </w:rPr>
              <w:tab/>
            </w:r>
            <w:r w:rsidR="00901BBF">
              <w:rPr>
                <w:noProof/>
                <w:webHidden/>
              </w:rPr>
              <w:fldChar w:fldCharType="begin"/>
            </w:r>
            <w:r w:rsidR="00901BBF">
              <w:rPr>
                <w:noProof/>
                <w:webHidden/>
              </w:rPr>
              <w:instrText xml:space="preserve"> PAGEREF _Toc185240937 \h </w:instrText>
            </w:r>
            <w:r w:rsidR="00901BBF">
              <w:rPr>
                <w:noProof/>
                <w:webHidden/>
              </w:rPr>
            </w:r>
            <w:r w:rsidR="00901BBF">
              <w:rPr>
                <w:noProof/>
                <w:webHidden/>
              </w:rPr>
              <w:fldChar w:fldCharType="separate"/>
            </w:r>
            <w:r w:rsidR="00901BBF">
              <w:rPr>
                <w:noProof/>
                <w:webHidden/>
              </w:rPr>
              <w:t>14</w:t>
            </w:r>
            <w:r w:rsidR="00901BBF">
              <w:rPr>
                <w:noProof/>
                <w:webHidden/>
              </w:rPr>
              <w:fldChar w:fldCharType="end"/>
            </w:r>
          </w:hyperlink>
        </w:p>
        <w:p w14:paraId="0F23D196" w14:textId="50CFE8B4" w:rsidR="00901BBF" w:rsidRDefault="00BD23DD">
          <w:pPr>
            <w:pStyle w:val="Verzeichnis1"/>
            <w:rPr>
              <w:rFonts w:asciiTheme="minorHAnsi" w:eastAsiaTheme="minorEastAsia" w:hAnsiTheme="minorHAnsi"/>
              <w:noProof/>
              <w:sz w:val="22"/>
              <w:szCs w:val="22"/>
              <w:lang w:eastAsia="de-CH"/>
            </w:rPr>
          </w:pPr>
          <w:hyperlink w:anchor="_Toc185240938" w:history="1">
            <w:r w:rsidR="00901BBF" w:rsidRPr="00401186">
              <w:rPr>
                <w:rStyle w:val="Hyperlink"/>
                <w:noProof/>
              </w:rPr>
              <w:t>7.</w:t>
            </w:r>
            <w:r w:rsidR="00901BBF">
              <w:rPr>
                <w:rFonts w:asciiTheme="minorHAnsi" w:eastAsiaTheme="minorEastAsia" w:hAnsiTheme="minorHAnsi"/>
                <w:noProof/>
                <w:sz w:val="22"/>
                <w:szCs w:val="22"/>
                <w:lang w:eastAsia="de-CH"/>
              </w:rPr>
              <w:tab/>
            </w:r>
            <w:r w:rsidR="00901BBF" w:rsidRPr="00401186">
              <w:rPr>
                <w:rStyle w:val="Hyperlink"/>
                <w:noProof/>
              </w:rPr>
              <w:t>Anhang zum Bericht über die Aufsichtsprüfung</w:t>
            </w:r>
            <w:r w:rsidR="00901BBF">
              <w:rPr>
                <w:noProof/>
                <w:webHidden/>
              </w:rPr>
              <w:tab/>
            </w:r>
            <w:r w:rsidR="00901BBF">
              <w:rPr>
                <w:noProof/>
                <w:webHidden/>
              </w:rPr>
              <w:fldChar w:fldCharType="begin"/>
            </w:r>
            <w:r w:rsidR="00901BBF">
              <w:rPr>
                <w:noProof/>
                <w:webHidden/>
              </w:rPr>
              <w:instrText xml:space="preserve"> PAGEREF _Toc185240938 \h </w:instrText>
            </w:r>
            <w:r w:rsidR="00901BBF">
              <w:rPr>
                <w:noProof/>
                <w:webHidden/>
              </w:rPr>
            </w:r>
            <w:r w:rsidR="00901BBF">
              <w:rPr>
                <w:noProof/>
                <w:webHidden/>
              </w:rPr>
              <w:fldChar w:fldCharType="separate"/>
            </w:r>
            <w:r w:rsidR="00901BBF">
              <w:rPr>
                <w:noProof/>
                <w:webHidden/>
              </w:rPr>
              <w:t>14</w:t>
            </w:r>
            <w:r w:rsidR="00901BBF">
              <w:rPr>
                <w:noProof/>
                <w:webHidden/>
              </w:rPr>
              <w:fldChar w:fldCharType="end"/>
            </w:r>
          </w:hyperlink>
        </w:p>
        <w:p w14:paraId="14F5B56D" w14:textId="6F9BDA15" w:rsidR="005C6461" w:rsidRPr="006457E5" w:rsidRDefault="005C6461" w:rsidP="00395058">
          <w:pPr>
            <w:pStyle w:val="Verzeichnis1"/>
          </w:pPr>
          <w:r w:rsidRPr="00395058">
            <w:rPr>
              <w:rStyle w:val="Hyperlink"/>
              <w:noProof/>
            </w:rPr>
            <w:fldChar w:fldCharType="end"/>
          </w:r>
        </w:p>
      </w:sdtContent>
    </w:sdt>
    <w:p w14:paraId="523F980B" w14:textId="77777777" w:rsidR="00383CAB" w:rsidRPr="006457E5" w:rsidRDefault="00383CAB" w:rsidP="00383CAB">
      <w:pPr>
        <w:tabs>
          <w:tab w:val="left" w:pos="1080"/>
        </w:tabs>
      </w:pPr>
    </w:p>
    <w:p w14:paraId="6CB8C2C6" w14:textId="77777777" w:rsidR="00262966" w:rsidRPr="006457E5" w:rsidRDefault="00262966">
      <w:pPr>
        <w:spacing w:after="200"/>
        <w:jc w:val="left"/>
        <w:sectPr w:rsidR="00262966" w:rsidRPr="006457E5" w:rsidSect="00242D9A">
          <w:headerReference w:type="default" r:id="rId8"/>
          <w:footerReference w:type="default" r:id="rId9"/>
          <w:headerReference w:type="first" r:id="rId10"/>
          <w:footerReference w:type="first" r:id="rId11"/>
          <w:pgSz w:w="11906" w:h="16838"/>
          <w:pgMar w:top="2648" w:right="1416" w:bottom="1418" w:left="1418" w:header="850" w:footer="454" w:gutter="0"/>
          <w:cols w:space="708"/>
          <w:titlePg/>
          <w:docGrid w:linePitch="360"/>
        </w:sectPr>
      </w:pPr>
    </w:p>
    <w:p w14:paraId="07150B89" w14:textId="77777777" w:rsidR="00546F18" w:rsidRPr="006457E5" w:rsidRDefault="00546F18" w:rsidP="00F32947">
      <w:pPr>
        <w:pStyle w:val="berschrift1"/>
        <w:tabs>
          <w:tab w:val="clear" w:pos="709"/>
        </w:tabs>
        <w:spacing w:line="240" w:lineRule="auto"/>
      </w:pPr>
      <w:bookmarkStart w:id="3" w:name="_Toc160111742"/>
      <w:bookmarkStart w:id="4" w:name="_Toc185240901"/>
      <w:r w:rsidRPr="006457E5">
        <w:lastRenderedPageBreak/>
        <w:t>Wesentliche Eigenheiten der Vermögensverwaltungsgesellschaft</w:t>
      </w:r>
      <w:bookmarkEnd w:id="3"/>
      <w:bookmarkEnd w:id="4"/>
    </w:p>
    <w:tbl>
      <w:tblPr>
        <w:tblW w:w="12224" w:type="dxa"/>
        <w:tblInd w:w="817" w:type="dxa"/>
        <w:tblLook w:val="01E0" w:firstRow="1" w:lastRow="1" w:firstColumn="1" w:lastColumn="1" w:noHBand="0" w:noVBand="0"/>
      </w:tblPr>
      <w:tblGrid>
        <w:gridCol w:w="12224"/>
      </w:tblGrid>
      <w:tr w:rsidR="00E943E0" w:rsidRPr="006457E5" w14:paraId="5E0DF429" w14:textId="77777777" w:rsidTr="00977387">
        <w:tc>
          <w:tcPr>
            <w:tcW w:w="12224" w:type="dxa"/>
            <w:shd w:val="clear" w:color="auto" w:fill="auto"/>
          </w:tcPr>
          <w:p w14:paraId="4D6845EF" w14:textId="11169471" w:rsidR="00BD2E47" w:rsidRPr="006457E5" w:rsidRDefault="00AB30E7" w:rsidP="00F32947">
            <w:pPr>
              <w:spacing w:after="0" w:line="240" w:lineRule="auto"/>
              <w:rPr>
                <w:rFonts w:cs="Arial"/>
              </w:rPr>
            </w:pPr>
            <w:r w:rsidRPr="006457E5">
              <w:rPr>
                <w:rFonts w:cs="Arial"/>
              </w:rPr>
              <w:t>Die Revisionsstelle</w:t>
            </w:r>
            <w:r w:rsidR="00BD2E47" w:rsidRPr="006457E5">
              <w:rPr>
                <w:rFonts w:cs="Arial"/>
              </w:rPr>
              <w:t xml:space="preserve"> vermerkt die folgenden Informationen</w:t>
            </w:r>
            <w:r w:rsidR="00AA4612">
              <w:rPr>
                <w:rFonts w:cs="Arial"/>
              </w:rPr>
              <w:t xml:space="preserve"> über die Vermögensverwaltungsgesellschaft (VVGes)</w:t>
            </w:r>
            <w:r w:rsidR="00BD2E47" w:rsidRPr="006457E5">
              <w:rPr>
                <w:rFonts w:cs="Arial"/>
              </w:rPr>
              <w:t xml:space="preserve"> in diesem Abschnitt:</w:t>
            </w:r>
          </w:p>
          <w:p w14:paraId="344FC062" w14:textId="1F14C0A0" w:rsidR="00E943E0" w:rsidRPr="006457E5" w:rsidRDefault="00EC00A9" w:rsidP="00F32947">
            <w:pPr>
              <w:numPr>
                <w:ilvl w:val="0"/>
                <w:numId w:val="75"/>
              </w:numPr>
              <w:tabs>
                <w:tab w:val="num" w:pos="317"/>
              </w:tabs>
              <w:spacing w:after="0" w:line="240" w:lineRule="auto"/>
              <w:ind w:left="317" w:hanging="283"/>
              <w:rPr>
                <w:rFonts w:eastAsia="Times New Roman" w:cs="Arial"/>
                <w:lang w:val="de-LI" w:eastAsia="fr-FR"/>
              </w:rPr>
            </w:pPr>
            <w:r w:rsidRPr="008E6A77">
              <w:rPr>
                <w:rFonts w:eastAsia="Times New Roman" w:cs="Arial"/>
                <w:lang w:val="de-LI" w:eastAsia="fr-FR"/>
              </w:rPr>
              <w:t>Tatsächlich ausgeübte Dienstleistungen (</w:t>
            </w:r>
            <w:r w:rsidR="00E943E0" w:rsidRPr="006457E5">
              <w:rPr>
                <w:rFonts w:eastAsia="Times New Roman" w:cs="Arial"/>
                <w:lang w:val="de-LI" w:eastAsia="fr-FR"/>
              </w:rPr>
              <w:t>Haupttätigkeit</w:t>
            </w:r>
            <w:r w:rsidRPr="008E6A77">
              <w:rPr>
                <w:rFonts w:eastAsia="Times New Roman" w:cs="Arial"/>
                <w:lang w:val="de-LI" w:eastAsia="fr-FR"/>
              </w:rPr>
              <w:t>)</w:t>
            </w:r>
            <w:r w:rsidR="00373B94">
              <w:rPr>
                <w:rFonts w:eastAsia="Times New Roman" w:cs="Arial"/>
                <w:lang w:val="de-LI" w:eastAsia="fr-FR"/>
              </w:rPr>
              <w:t xml:space="preserve">, </w:t>
            </w:r>
            <w:r w:rsidR="00BD2E47" w:rsidRPr="006457E5">
              <w:rPr>
                <w:rFonts w:eastAsia="Times New Roman" w:cs="Arial"/>
                <w:lang w:val="de-LI" w:eastAsia="fr-FR"/>
              </w:rPr>
              <w:t>Geschäftsbereiche</w:t>
            </w:r>
            <w:r w:rsidR="00373B94">
              <w:rPr>
                <w:rFonts w:eastAsia="Times New Roman" w:cs="Arial"/>
                <w:lang w:val="de-LI" w:eastAsia="fr-FR"/>
              </w:rPr>
              <w:t xml:space="preserve">, </w:t>
            </w:r>
            <w:r w:rsidR="007F5A48" w:rsidRPr="006457E5">
              <w:rPr>
                <w:rFonts w:eastAsia="Times New Roman" w:cs="Arial"/>
                <w:lang w:val="de-LI" w:eastAsia="fr-FR"/>
              </w:rPr>
              <w:t xml:space="preserve">Kundenstruktur </w:t>
            </w:r>
            <w:r w:rsidR="00373B94">
              <w:rPr>
                <w:rFonts w:eastAsia="Times New Roman" w:cs="Arial"/>
                <w:lang w:val="de-LI" w:eastAsia="fr-FR"/>
              </w:rPr>
              <w:t xml:space="preserve">und </w:t>
            </w:r>
            <w:r w:rsidR="007F5A48" w:rsidRPr="006457E5">
              <w:rPr>
                <w:rFonts w:eastAsia="Times New Roman" w:cs="Arial"/>
                <w:lang w:val="de-LI" w:eastAsia="fr-FR"/>
              </w:rPr>
              <w:t>Cross-Border-Tätigkeit</w:t>
            </w:r>
            <w:r w:rsidR="00B6145F" w:rsidRPr="006457E5">
              <w:rPr>
                <w:rFonts w:eastAsia="Times New Roman" w:cs="Arial"/>
                <w:lang w:val="de-LI" w:eastAsia="fr-FR"/>
              </w:rPr>
              <w:t xml:space="preserve"> unter Angabe der Veränderungen </w:t>
            </w:r>
            <w:r w:rsidR="00B64147" w:rsidRPr="006457E5">
              <w:rPr>
                <w:rFonts w:eastAsia="Times New Roman" w:cs="Arial"/>
                <w:lang w:val="de-LI" w:eastAsia="fr-FR"/>
              </w:rPr>
              <w:t>zum</w:t>
            </w:r>
            <w:r w:rsidR="00B6145F" w:rsidRPr="006457E5">
              <w:rPr>
                <w:rFonts w:eastAsia="Times New Roman" w:cs="Arial"/>
                <w:lang w:val="de-LI" w:eastAsia="fr-FR"/>
              </w:rPr>
              <w:t xml:space="preserve"> Vorjahr</w:t>
            </w:r>
          </w:p>
          <w:p w14:paraId="72945248" w14:textId="63781B17" w:rsidR="00E943E0" w:rsidRDefault="00E943E0" w:rsidP="00F32947">
            <w:pPr>
              <w:numPr>
                <w:ilvl w:val="0"/>
                <w:numId w:val="75"/>
              </w:numPr>
              <w:tabs>
                <w:tab w:val="num" w:pos="317"/>
              </w:tabs>
              <w:spacing w:after="0" w:line="240" w:lineRule="auto"/>
              <w:ind w:left="317" w:hanging="283"/>
              <w:rPr>
                <w:rFonts w:eastAsia="Times New Roman" w:cs="Arial"/>
                <w:lang w:val="de-LI" w:eastAsia="fr-FR"/>
              </w:rPr>
            </w:pPr>
            <w:r w:rsidRPr="006457E5">
              <w:rPr>
                <w:rFonts w:eastAsia="Times New Roman" w:cs="Arial"/>
                <w:lang w:val="de-LI" w:eastAsia="fr-FR"/>
              </w:rPr>
              <w:t>Erbringung von Zusatzdienstleistungen</w:t>
            </w:r>
          </w:p>
          <w:p w14:paraId="11B42E28" w14:textId="7A2E8E7E" w:rsidR="008E6A77" w:rsidRPr="008E6A77" w:rsidRDefault="008E6A77" w:rsidP="008E6A77">
            <w:pPr>
              <w:numPr>
                <w:ilvl w:val="0"/>
                <w:numId w:val="75"/>
              </w:numPr>
              <w:tabs>
                <w:tab w:val="num" w:pos="317"/>
              </w:tabs>
              <w:spacing w:after="0" w:line="240" w:lineRule="auto"/>
              <w:ind w:left="317" w:hanging="283"/>
              <w:rPr>
                <w:rFonts w:eastAsia="Times New Roman" w:cs="Arial"/>
                <w:lang w:val="de-LI" w:eastAsia="fr-FR"/>
              </w:rPr>
            </w:pPr>
            <w:r w:rsidRPr="006457E5">
              <w:t xml:space="preserve">Einstufung der </w:t>
            </w:r>
            <w:r w:rsidR="00AA4612">
              <w:t>VVGes</w:t>
            </w:r>
            <w:r w:rsidRPr="006457E5">
              <w:t xml:space="preserve"> (Klasse 2/Klasse 3)</w:t>
            </w:r>
            <w:r w:rsidRPr="008E6A77">
              <w:t xml:space="preserve"> gemäss Art. 12 IFR</w:t>
            </w:r>
            <w:r w:rsidRPr="006457E5">
              <w:t xml:space="preserve"> </w:t>
            </w:r>
            <w:bookmarkStart w:id="5" w:name="_Hlk170314534"/>
            <w:r w:rsidRPr="006457E5">
              <w:rPr>
                <w:rFonts w:eastAsia="Times New Roman" w:cs="Arial"/>
                <w:lang w:val="de-LI" w:eastAsia="fr-FR"/>
              </w:rPr>
              <w:t>unter Angabe der Veränderung zum Vorjahr</w:t>
            </w:r>
            <w:bookmarkEnd w:id="5"/>
          </w:p>
          <w:p w14:paraId="3F257676" w14:textId="77777777" w:rsidR="00E943E0" w:rsidRPr="006457E5" w:rsidRDefault="00E943E0" w:rsidP="00F32947">
            <w:pPr>
              <w:numPr>
                <w:ilvl w:val="0"/>
                <w:numId w:val="75"/>
              </w:numPr>
              <w:tabs>
                <w:tab w:val="num" w:pos="317"/>
              </w:tabs>
              <w:spacing w:after="0" w:line="240" w:lineRule="auto"/>
              <w:ind w:left="317" w:hanging="283"/>
              <w:rPr>
                <w:rFonts w:eastAsia="Times New Roman" w:cs="Arial"/>
                <w:lang w:val="de-LI" w:eastAsia="fr-FR"/>
              </w:rPr>
            </w:pPr>
            <w:r w:rsidRPr="006457E5">
              <w:rPr>
                <w:rFonts w:eastAsia="Times New Roman" w:cs="Arial"/>
                <w:lang w:val="de-LI" w:eastAsia="fr-FR"/>
              </w:rPr>
              <w:t>Massgebliche Aktionäre</w:t>
            </w:r>
          </w:p>
          <w:p w14:paraId="1B3E72B3" w14:textId="2AD97D30" w:rsidR="00E943E0" w:rsidRPr="006457E5" w:rsidRDefault="00E943E0" w:rsidP="00F32947">
            <w:pPr>
              <w:numPr>
                <w:ilvl w:val="0"/>
                <w:numId w:val="75"/>
              </w:numPr>
              <w:tabs>
                <w:tab w:val="num" w:pos="317"/>
              </w:tabs>
              <w:spacing w:after="0" w:line="240" w:lineRule="auto"/>
              <w:ind w:left="317" w:hanging="283"/>
              <w:rPr>
                <w:rFonts w:eastAsia="Times New Roman" w:cs="Arial"/>
                <w:lang w:val="de-LI" w:eastAsia="fr-FR"/>
              </w:rPr>
            </w:pPr>
            <w:r w:rsidRPr="006457E5">
              <w:rPr>
                <w:rFonts w:eastAsia="Times New Roman" w:cs="Arial"/>
                <w:lang w:val="de-LI" w:eastAsia="fr-FR"/>
              </w:rPr>
              <w:t>Enge Verbindungen</w:t>
            </w:r>
            <w:r w:rsidR="00BD2E47" w:rsidRPr="006457E5">
              <w:rPr>
                <w:rFonts w:eastAsia="Times New Roman" w:cs="Arial"/>
                <w:lang w:val="de-LI" w:eastAsia="fr-FR"/>
              </w:rPr>
              <w:t>/wesentliche Beziehungen</w:t>
            </w:r>
            <w:r w:rsidRPr="006457E5">
              <w:rPr>
                <w:rFonts w:eastAsia="Times New Roman" w:cs="Arial"/>
                <w:lang w:val="de-LI" w:eastAsia="fr-FR"/>
              </w:rPr>
              <w:t xml:space="preserve"> mit Banken, </w:t>
            </w:r>
            <w:r w:rsidR="00BD2E47" w:rsidRPr="006457E5">
              <w:rPr>
                <w:rFonts w:eastAsia="Times New Roman" w:cs="Arial"/>
                <w:lang w:val="de-LI" w:eastAsia="fr-FR"/>
              </w:rPr>
              <w:t xml:space="preserve">bei denen </w:t>
            </w:r>
            <w:r w:rsidRPr="006457E5">
              <w:rPr>
                <w:rFonts w:eastAsia="Times New Roman" w:cs="Arial"/>
                <w:lang w:val="de-LI" w:eastAsia="fr-FR"/>
              </w:rPr>
              <w:t>Vermögenswerte der Kunden gehalten werden</w:t>
            </w:r>
          </w:p>
          <w:p w14:paraId="45C2EABC" w14:textId="77777777" w:rsidR="001831BF" w:rsidRPr="006457E5" w:rsidRDefault="001831BF" w:rsidP="00F32947">
            <w:pPr>
              <w:numPr>
                <w:ilvl w:val="0"/>
                <w:numId w:val="75"/>
              </w:numPr>
              <w:tabs>
                <w:tab w:val="num" w:pos="317"/>
              </w:tabs>
              <w:spacing w:after="0" w:line="240" w:lineRule="auto"/>
              <w:ind w:left="317" w:hanging="283"/>
              <w:rPr>
                <w:rFonts w:eastAsia="Times New Roman" w:cs="Arial"/>
                <w:lang w:val="de-LI" w:eastAsia="fr-FR"/>
              </w:rPr>
            </w:pPr>
            <w:r w:rsidRPr="006457E5">
              <w:rPr>
                <w:rFonts w:eastAsia="Times New Roman" w:cs="Arial"/>
                <w:lang w:val="de-LI" w:eastAsia="fr-FR"/>
              </w:rPr>
              <w:t>Abhängigkeiten wie von Kunden, Aktionären, nahestehenden Personen, Mitarbeitern, die einen wesentlichen Einfluss auf die Geschäftstätigkeit oder Auswirkungen auf die Einhaltung der Bewilligungsvoraussetzungen haben, sowie einseitig gelagerte Ge</w:t>
            </w:r>
            <w:r w:rsidR="006C53A6" w:rsidRPr="006457E5">
              <w:rPr>
                <w:rFonts w:eastAsia="Times New Roman" w:cs="Arial"/>
                <w:lang w:val="de-LI" w:eastAsia="fr-FR"/>
              </w:rPr>
              <w:t>schäftsbereiche</w:t>
            </w:r>
            <w:r w:rsidR="007F5A48" w:rsidRPr="006457E5">
              <w:rPr>
                <w:rFonts w:eastAsia="Times New Roman" w:cs="Arial"/>
                <w:lang w:val="de-LI" w:eastAsia="fr-FR"/>
              </w:rPr>
              <w:t xml:space="preserve"> und Interessenkonflikte</w:t>
            </w:r>
          </w:p>
          <w:p w14:paraId="61B4007E" w14:textId="77777777" w:rsidR="00E943E0" w:rsidRPr="006457E5" w:rsidRDefault="00E943E0" w:rsidP="00F32947">
            <w:pPr>
              <w:numPr>
                <w:ilvl w:val="0"/>
                <w:numId w:val="75"/>
              </w:numPr>
              <w:tabs>
                <w:tab w:val="num" w:pos="317"/>
              </w:tabs>
              <w:spacing w:after="0" w:line="240" w:lineRule="auto"/>
              <w:ind w:left="317" w:hanging="283"/>
              <w:rPr>
                <w:rFonts w:eastAsia="Times New Roman" w:cs="Arial"/>
                <w:lang w:val="de-LI" w:eastAsia="fr-FR"/>
              </w:rPr>
            </w:pPr>
            <w:r w:rsidRPr="006457E5">
              <w:rPr>
                <w:rFonts w:eastAsia="Times New Roman" w:cs="Arial"/>
                <w:lang w:val="de-LI" w:eastAsia="fr-FR"/>
              </w:rPr>
              <w:t>Retrovereinbarungen</w:t>
            </w:r>
          </w:p>
          <w:p w14:paraId="5183C594" w14:textId="77777777" w:rsidR="00E943E0" w:rsidRPr="006457E5" w:rsidRDefault="00BD2E47" w:rsidP="00F32947">
            <w:pPr>
              <w:numPr>
                <w:ilvl w:val="0"/>
                <w:numId w:val="75"/>
              </w:numPr>
              <w:tabs>
                <w:tab w:val="num" w:pos="317"/>
              </w:tabs>
              <w:spacing w:after="0" w:line="240" w:lineRule="auto"/>
              <w:ind w:left="317" w:hanging="283"/>
              <w:rPr>
                <w:rFonts w:eastAsia="Times New Roman" w:cs="Arial"/>
                <w:lang w:val="de-LI" w:eastAsia="fr-FR"/>
              </w:rPr>
            </w:pPr>
            <w:r w:rsidRPr="006457E5">
              <w:rPr>
                <w:rFonts w:eastAsia="Times New Roman" w:cs="Arial"/>
                <w:lang w:val="de-LI" w:eastAsia="fr-FR"/>
              </w:rPr>
              <w:t>Überblick über</w:t>
            </w:r>
            <w:r w:rsidR="007F5A48" w:rsidRPr="006457E5">
              <w:rPr>
                <w:rFonts w:eastAsia="Times New Roman" w:cs="Arial"/>
                <w:lang w:val="de-LI" w:eastAsia="fr-FR"/>
              </w:rPr>
              <w:t xml:space="preserve"> sämtliche</w:t>
            </w:r>
            <w:r w:rsidRPr="006457E5">
              <w:rPr>
                <w:rFonts w:eastAsia="Times New Roman" w:cs="Arial"/>
                <w:lang w:val="de-LI" w:eastAsia="fr-FR"/>
              </w:rPr>
              <w:t xml:space="preserve"> </w:t>
            </w:r>
            <w:r w:rsidR="00E943E0" w:rsidRPr="006457E5">
              <w:rPr>
                <w:rFonts w:eastAsia="Times New Roman" w:cs="Arial"/>
                <w:lang w:val="de-LI" w:eastAsia="fr-FR"/>
              </w:rPr>
              <w:t>Aufgabenübertragung</w:t>
            </w:r>
            <w:r w:rsidR="001C6F12" w:rsidRPr="006457E5">
              <w:rPr>
                <w:rFonts w:eastAsia="Times New Roman" w:cs="Arial"/>
                <w:lang w:val="de-LI" w:eastAsia="fr-FR"/>
              </w:rPr>
              <w:t>en</w:t>
            </w:r>
            <w:r w:rsidR="00E943E0" w:rsidRPr="006457E5">
              <w:rPr>
                <w:rFonts w:eastAsia="Times New Roman" w:cs="Arial"/>
                <w:lang w:val="de-LI" w:eastAsia="fr-FR"/>
              </w:rPr>
              <w:t xml:space="preserve"> an Dritte</w:t>
            </w:r>
            <w:r w:rsidR="007F5A48" w:rsidRPr="006457E5">
              <w:rPr>
                <w:rFonts w:eastAsia="Times New Roman" w:cs="Arial"/>
                <w:lang w:val="de-LI" w:eastAsia="fr-FR"/>
              </w:rPr>
              <w:t xml:space="preserve"> (insbesondere Delegationen von internen Funktionen)</w:t>
            </w:r>
          </w:p>
          <w:p w14:paraId="3A6A688E" w14:textId="77777777" w:rsidR="00AA4612" w:rsidRPr="006457E5" w:rsidRDefault="00AA4612" w:rsidP="00AA4612">
            <w:pPr>
              <w:numPr>
                <w:ilvl w:val="0"/>
                <w:numId w:val="75"/>
              </w:numPr>
              <w:tabs>
                <w:tab w:val="num" w:pos="317"/>
              </w:tabs>
              <w:spacing w:after="0" w:line="240" w:lineRule="auto"/>
              <w:ind w:left="317" w:hanging="283"/>
              <w:rPr>
                <w:rFonts w:eastAsia="Times New Roman" w:cs="Arial"/>
                <w:lang w:val="de-LI" w:eastAsia="fr-FR"/>
              </w:rPr>
            </w:pPr>
            <w:r w:rsidRPr="006457E5">
              <w:rPr>
                <w:rFonts w:eastAsia="Times New Roman" w:cs="Arial"/>
                <w:lang w:val="de-LI" w:eastAsia="fr-FR"/>
              </w:rPr>
              <w:t>Heranziehung von vertraglich gebundenen Vermittlern und/oder Zweigniederlassungen unter Angabe der Veränderungen zum Vorjahr</w:t>
            </w:r>
          </w:p>
          <w:p w14:paraId="473F9682" w14:textId="73E67736" w:rsidR="00E943E0" w:rsidRPr="006457E5" w:rsidRDefault="00E943E0" w:rsidP="00F32947">
            <w:pPr>
              <w:numPr>
                <w:ilvl w:val="0"/>
                <w:numId w:val="75"/>
              </w:numPr>
              <w:tabs>
                <w:tab w:val="num" w:pos="317"/>
              </w:tabs>
              <w:spacing w:after="0" w:line="240" w:lineRule="auto"/>
              <w:ind w:left="317" w:hanging="283"/>
              <w:rPr>
                <w:rFonts w:eastAsia="Times New Roman" w:cs="Arial"/>
                <w:lang w:val="de-LI" w:eastAsia="fr-FR"/>
              </w:rPr>
            </w:pPr>
            <w:r w:rsidRPr="006457E5">
              <w:rPr>
                <w:rFonts w:eastAsia="Times New Roman" w:cs="Arial"/>
                <w:lang w:val="de-LI" w:eastAsia="fr-FR"/>
              </w:rPr>
              <w:t>Personalbestand</w:t>
            </w:r>
            <w:r w:rsidR="009064F2" w:rsidRPr="006457E5">
              <w:rPr>
                <w:rFonts w:eastAsia="Times New Roman" w:cs="Arial"/>
                <w:lang w:val="de-LI" w:eastAsia="fr-FR"/>
              </w:rPr>
              <w:t xml:space="preserve"> sowie organisatorische Aufstellung</w:t>
            </w:r>
            <w:r w:rsidR="007F5A48" w:rsidRPr="006457E5">
              <w:rPr>
                <w:rFonts w:eastAsia="Times New Roman" w:cs="Arial"/>
                <w:lang w:val="de-LI" w:eastAsia="fr-FR"/>
              </w:rPr>
              <w:t xml:space="preserve"> unter Angabe der Veränderungen zum Vorjahr</w:t>
            </w:r>
            <w:r w:rsidR="00E26474" w:rsidRPr="006457E5">
              <w:rPr>
                <w:rFonts w:eastAsia="Times New Roman" w:cs="Arial"/>
                <w:lang w:val="de-LI" w:eastAsia="fr-FR"/>
              </w:rPr>
              <w:t xml:space="preserve"> </w:t>
            </w:r>
            <w:r w:rsidR="00E26474" w:rsidRPr="006457E5">
              <w:rPr>
                <w:rFonts w:cs="Arial"/>
              </w:rPr>
              <w:t>unter Hinweis auf Abgänge von Schlüsselpersonen ausserhalb der Geschäftsleitung sowie fehlende Stellvertretungsregelungen</w:t>
            </w:r>
          </w:p>
          <w:p w14:paraId="6D7DC799" w14:textId="77777777" w:rsidR="00E943E0" w:rsidRPr="006457E5" w:rsidRDefault="00E943E0" w:rsidP="00F32947">
            <w:pPr>
              <w:numPr>
                <w:ilvl w:val="0"/>
                <w:numId w:val="75"/>
              </w:numPr>
              <w:tabs>
                <w:tab w:val="num" w:pos="317"/>
              </w:tabs>
              <w:spacing w:after="0" w:line="240" w:lineRule="auto"/>
              <w:ind w:left="317" w:hanging="283"/>
              <w:rPr>
                <w:rFonts w:eastAsia="Times New Roman" w:cs="Arial"/>
                <w:lang w:val="de-LI" w:eastAsia="fr-FR"/>
              </w:rPr>
            </w:pPr>
            <w:r w:rsidRPr="006457E5">
              <w:rPr>
                <w:rFonts w:eastAsia="Times New Roman" w:cs="Arial"/>
                <w:lang w:val="de-LI" w:eastAsia="fr-FR"/>
              </w:rPr>
              <w:t xml:space="preserve">Wechsel im Verwaltungsrat und in der Geschäftsleitung </w:t>
            </w:r>
          </w:p>
          <w:p w14:paraId="0D5F38A3" w14:textId="77777777" w:rsidR="00BD2E47" w:rsidRPr="006457E5" w:rsidRDefault="00BD2E47" w:rsidP="00F32947">
            <w:pPr>
              <w:numPr>
                <w:ilvl w:val="0"/>
                <w:numId w:val="75"/>
              </w:numPr>
              <w:tabs>
                <w:tab w:val="num" w:pos="317"/>
              </w:tabs>
              <w:spacing w:after="0" w:line="240" w:lineRule="auto"/>
              <w:ind w:left="317" w:hanging="283"/>
              <w:rPr>
                <w:rFonts w:eastAsia="Times New Roman" w:cs="Arial"/>
                <w:lang w:val="de-LI" w:eastAsia="fr-FR"/>
              </w:rPr>
            </w:pPr>
            <w:r w:rsidRPr="006457E5">
              <w:rPr>
                <w:rFonts w:eastAsia="Times New Roman" w:cs="Arial"/>
                <w:lang w:val="de-LI" w:eastAsia="fr-FR"/>
              </w:rPr>
              <w:t>Beteiligungen der Gesellschaft</w:t>
            </w:r>
          </w:p>
          <w:p w14:paraId="190C8907" w14:textId="77777777" w:rsidR="00833D67" w:rsidRPr="006457E5" w:rsidRDefault="00E943E0" w:rsidP="00F32947">
            <w:pPr>
              <w:numPr>
                <w:ilvl w:val="0"/>
                <w:numId w:val="75"/>
              </w:numPr>
              <w:tabs>
                <w:tab w:val="num" w:pos="317"/>
              </w:tabs>
              <w:spacing w:after="0" w:line="240" w:lineRule="auto"/>
              <w:ind w:left="317" w:hanging="283"/>
              <w:rPr>
                <w:rFonts w:eastAsia="Times New Roman" w:cs="Arial"/>
                <w:lang w:val="de-LI" w:eastAsia="fr-FR"/>
              </w:rPr>
            </w:pPr>
            <w:r w:rsidRPr="006457E5">
              <w:rPr>
                <w:rFonts w:eastAsia="Times New Roman" w:cs="Arial"/>
                <w:lang w:val="de-LI" w:eastAsia="fr-FR"/>
              </w:rPr>
              <w:t>Wesentliche Änderungen</w:t>
            </w:r>
            <w:r w:rsidR="00BD2E47" w:rsidRPr="006457E5">
              <w:rPr>
                <w:rFonts w:eastAsia="Times New Roman" w:cs="Arial"/>
                <w:lang w:val="de-LI" w:eastAsia="fr-FR"/>
              </w:rPr>
              <w:t xml:space="preserve"> im Geschäftsjahr</w:t>
            </w:r>
            <w:r w:rsidRPr="006457E5">
              <w:rPr>
                <w:rFonts w:eastAsia="Times New Roman" w:cs="Arial"/>
                <w:lang w:val="de-LI" w:eastAsia="fr-FR"/>
              </w:rPr>
              <w:t xml:space="preserve"> (z.B. Fusionen, Reorganisationen, Restrukturierungen)</w:t>
            </w:r>
          </w:p>
          <w:p w14:paraId="633CCF39" w14:textId="63F69A7F" w:rsidR="0094351A" w:rsidRPr="006457E5" w:rsidRDefault="00E943E0" w:rsidP="003942AC">
            <w:pPr>
              <w:numPr>
                <w:ilvl w:val="0"/>
                <w:numId w:val="75"/>
              </w:numPr>
              <w:tabs>
                <w:tab w:val="num" w:pos="317"/>
              </w:tabs>
              <w:spacing w:after="0" w:line="240" w:lineRule="auto"/>
              <w:ind w:left="317" w:hanging="283"/>
            </w:pPr>
            <w:r w:rsidRPr="006457E5">
              <w:rPr>
                <w:rFonts w:eastAsia="Times New Roman" w:cs="Arial"/>
                <w:lang w:val="de-LI" w:eastAsia="fr-FR"/>
              </w:rPr>
              <w:t>Aussage zu den im Zusammenhang mit der aktuellen und beabsichtigten zukünftigen Geschäftstätigkeit eingegangenen Risiken, insbesondere unter Berücksichtigung der Zielmärkte, der Expansionsabsichten, der erwarteten Volumina sowie der Produkte und Dienstleistungspalette</w:t>
            </w:r>
            <w:r w:rsidR="00833D67" w:rsidRPr="006457E5">
              <w:rPr>
                <w:rFonts w:eastAsia="Times New Roman" w:cs="Arial"/>
                <w:lang w:val="de-LI" w:eastAsia="fr-FR"/>
              </w:rPr>
              <w:t xml:space="preserve"> </w:t>
            </w:r>
          </w:p>
          <w:p w14:paraId="1EBF2903" w14:textId="71789F60" w:rsidR="00833D67" w:rsidRPr="008E6A77" w:rsidRDefault="00833D67" w:rsidP="00F32947">
            <w:pPr>
              <w:numPr>
                <w:ilvl w:val="0"/>
                <w:numId w:val="75"/>
              </w:numPr>
              <w:tabs>
                <w:tab w:val="num" w:pos="317"/>
              </w:tabs>
              <w:spacing w:after="0" w:line="240" w:lineRule="auto"/>
              <w:ind w:left="317" w:hanging="283"/>
            </w:pPr>
            <w:r w:rsidRPr="006457E5">
              <w:rPr>
                <w:rFonts w:eastAsia="Times New Roman" w:cs="Arial"/>
                <w:lang w:val="de-LI" w:eastAsia="fr-FR"/>
              </w:rPr>
              <w:t>Hängige V</w:t>
            </w:r>
            <w:r w:rsidR="00564E66" w:rsidRPr="006457E5">
              <w:rPr>
                <w:rFonts w:eastAsia="Times New Roman" w:cs="Arial"/>
                <w:lang w:val="de-LI" w:eastAsia="fr-FR"/>
              </w:rPr>
              <w:t>erfahren gegen die Gesellschaft, Mitglieder der Leitungsorgane und Aktionäre</w:t>
            </w:r>
          </w:p>
          <w:p w14:paraId="56ECA679" w14:textId="77777777" w:rsidR="007F5A48" w:rsidRPr="006457E5" w:rsidRDefault="007F5A48" w:rsidP="008E6A77">
            <w:pPr>
              <w:spacing w:after="0" w:line="240" w:lineRule="auto"/>
              <w:ind w:left="317"/>
              <w:rPr>
                <w:rFonts w:eastAsia="Times New Roman" w:cs="Arial"/>
                <w:lang w:val="de-LI" w:eastAsia="fr-FR"/>
              </w:rPr>
            </w:pPr>
          </w:p>
          <w:p w14:paraId="4FBB4334" w14:textId="0691F4A6" w:rsidR="006173D0" w:rsidRPr="006457E5" w:rsidRDefault="007F5A48" w:rsidP="00595E32">
            <w:pPr>
              <w:spacing w:after="0" w:line="240" w:lineRule="auto"/>
            </w:pPr>
            <w:r w:rsidRPr="006457E5">
              <w:rPr>
                <w:rFonts w:eastAsia="Times New Roman" w:cs="Arial"/>
                <w:lang w:val="de-LI" w:eastAsia="fr-FR"/>
              </w:rPr>
              <w:t>Die vorgenannten Punkte sind in Tabellenform aufzulisten. Ebenfalls ist zu beachten, dass Änderungen nach dem Bilanzstichtag bis zur Erstellung der Berichterstattung zu kennzeichnen</w:t>
            </w:r>
            <w:r w:rsidR="001C6F12" w:rsidRPr="006457E5">
              <w:rPr>
                <w:rFonts w:eastAsia="Times New Roman" w:cs="Arial"/>
                <w:lang w:val="de-LI" w:eastAsia="fr-FR"/>
              </w:rPr>
              <w:t xml:space="preserve"> bzw. aufzuzeigen</w:t>
            </w:r>
            <w:r w:rsidRPr="006457E5">
              <w:rPr>
                <w:rFonts w:eastAsia="Times New Roman" w:cs="Arial"/>
                <w:lang w:val="de-LI" w:eastAsia="fr-FR"/>
              </w:rPr>
              <w:t xml:space="preserve"> sind. </w:t>
            </w:r>
          </w:p>
        </w:tc>
      </w:tr>
    </w:tbl>
    <w:p w14:paraId="3014088C" w14:textId="0B98B655" w:rsidR="003C3175" w:rsidRPr="006457E5" w:rsidRDefault="003C3175" w:rsidP="003C3175"/>
    <w:p w14:paraId="7C979BB0" w14:textId="5F3CB3B5" w:rsidR="003C3175" w:rsidRPr="006457E5" w:rsidRDefault="003C3175" w:rsidP="003C3175"/>
    <w:p w14:paraId="36C721DD" w14:textId="106ADF79" w:rsidR="003C3175" w:rsidRPr="006457E5" w:rsidRDefault="003C3175" w:rsidP="003C3175"/>
    <w:p w14:paraId="6F0BE3AB" w14:textId="77777777" w:rsidR="003C3175" w:rsidRPr="006457E5" w:rsidRDefault="003C3175" w:rsidP="00376C31"/>
    <w:p w14:paraId="4972172C" w14:textId="77777777" w:rsidR="00546F18" w:rsidRPr="006457E5" w:rsidRDefault="00546F18" w:rsidP="00F32947">
      <w:pPr>
        <w:pStyle w:val="berschrift1"/>
        <w:tabs>
          <w:tab w:val="clear" w:pos="709"/>
        </w:tabs>
        <w:spacing w:line="240" w:lineRule="auto"/>
      </w:pPr>
      <w:bookmarkStart w:id="6" w:name="_Toc140073120"/>
      <w:bookmarkStart w:id="7" w:name="_Toc146540904"/>
      <w:bookmarkStart w:id="8" w:name="_Toc140073121"/>
      <w:bookmarkStart w:id="9" w:name="_Toc146540905"/>
      <w:bookmarkStart w:id="10" w:name="_Toc160111743"/>
      <w:bookmarkStart w:id="11" w:name="_Toc185240902"/>
      <w:bookmarkEnd w:id="6"/>
      <w:bookmarkEnd w:id="7"/>
      <w:bookmarkEnd w:id="8"/>
      <w:bookmarkEnd w:id="9"/>
      <w:r w:rsidRPr="006457E5">
        <w:lastRenderedPageBreak/>
        <w:t>Zusammenfassung der Prüfungsergebnisse</w:t>
      </w:r>
      <w:bookmarkEnd w:id="10"/>
      <w:bookmarkEnd w:id="11"/>
    </w:p>
    <w:p w14:paraId="38EFCF72" w14:textId="77777777" w:rsidR="00546F18" w:rsidRPr="006457E5" w:rsidRDefault="00546F18" w:rsidP="00F32947">
      <w:pPr>
        <w:pStyle w:val="berschrift2"/>
        <w:spacing w:line="240" w:lineRule="auto"/>
      </w:pPr>
      <w:bookmarkStart w:id="12" w:name="_Toc160111744"/>
      <w:bookmarkStart w:id="13" w:name="_Toc185240903"/>
      <w:r w:rsidRPr="006457E5">
        <w:t>Beanstandungen</w:t>
      </w:r>
      <w:bookmarkEnd w:id="12"/>
      <w:bookmarkEnd w:id="13"/>
      <w:r w:rsidRPr="006457E5">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2"/>
      </w:tblGrid>
      <w:tr w:rsidR="00E943E0" w:rsidRPr="006457E5" w14:paraId="18619FB8" w14:textId="77777777" w:rsidTr="00977387">
        <w:tc>
          <w:tcPr>
            <w:tcW w:w="12224" w:type="dxa"/>
            <w:tcBorders>
              <w:top w:val="nil"/>
              <w:left w:val="nil"/>
              <w:bottom w:val="nil"/>
              <w:right w:val="nil"/>
            </w:tcBorders>
            <w:shd w:val="clear" w:color="auto" w:fill="auto"/>
          </w:tcPr>
          <w:p w14:paraId="62F627CC" w14:textId="5FDAC0AE" w:rsidR="00B9280B" w:rsidRPr="006457E5" w:rsidRDefault="00AB30E7" w:rsidP="004E14AA">
            <w:pPr>
              <w:pStyle w:val="FormatvorlageLinks0cm"/>
            </w:pPr>
            <w:r w:rsidRPr="006457E5">
              <w:t xml:space="preserve">Die Revisionsstelle </w:t>
            </w:r>
            <w:r w:rsidR="00244DB4" w:rsidRPr="006457E5">
              <w:t xml:space="preserve">nennt hier die Beanstandungen. </w:t>
            </w:r>
            <w:r w:rsidR="001F50B5" w:rsidRPr="006457E5">
              <w:t xml:space="preserve">Die Klassifizierung von </w:t>
            </w:r>
            <w:r w:rsidR="003A57B6" w:rsidRPr="006457E5">
              <w:t xml:space="preserve">Beanstandungen </w:t>
            </w:r>
            <w:r w:rsidR="0078754B" w:rsidRPr="006457E5">
              <w:t xml:space="preserve">in </w:t>
            </w:r>
            <w:r w:rsidR="001F50B5" w:rsidRPr="006457E5">
              <w:t xml:space="preserve">tief, mittel und </w:t>
            </w:r>
            <w:r w:rsidR="003A57B6" w:rsidRPr="006457E5">
              <w:t>hoch</w:t>
            </w:r>
            <w:r w:rsidR="0078754B" w:rsidRPr="006457E5">
              <w:t xml:space="preserve"> richtet sich nach </w:t>
            </w:r>
            <w:r w:rsidR="00A27AC0" w:rsidRPr="006457E5">
              <w:t xml:space="preserve">dem </w:t>
            </w:r>
            <w:r w:rsidR="0078754B" w:rsidRPr="006457E5">
              <w:t xml:space="preserve">allgemeinen Teil der </w:t>
            </w:r>
            <w:r w:rsidR="002D095D" w:rsidRPr="006457E5">
              <w:t>Richtlinie</w:t>
            </w:r>
            <w:r w:rsidR="003A57B6" w:rsidRPr="006457E5">
              <w:t>.</w:t>
            </w:r>
            <w:r w:rsidR="00E205C2" w:rsidRPr="006457E5">
              <w:t xml:space="preserve"> </w:t>
            </w:r>
          </w:p>
        </w:tc>
      </w:tr>
      <w:tr w:rsidR="00E943E0" w:rsidRPr="006457E5" w14:paraId="73247DFF" w14:textId="77777777" w:rsidTr="00977387">
        <w:tc>
          <w:tcPr>
            <w:tcW w:w="12224" w:type="dxa"/>
            <w:tcBorders>
              <w:top w:val="nil"/>
              <w:left w:val="nil"/>
              <w:bottom w:val="nil"/>
              <w:right w:val="nil"/>
            </w:tcBorders>
            <w:shd w:val="clear" w:color="auto" w:fill="auto"/>
          </w:tcPr>
          <w:p w14:paraId="74390AD1" w14:textId="77777777" w:rsidR="00244DB4" w:rsidRPr="006457E5" w:rsidRDefault="00E943E0" w:rsidP="004E14AA">
            <w:pPr>
              <w:pStyle w:val="FormatvorlageLinks0cm"/>
            </w:pPr>
            <w:r w:rsidRPr="006457E5">
              <w:t xml:space="preserve">Die Beanstandungen erfolgen unter angemessenen Fristansetzungen und mit Hinweis auf die Seitenzahlen des Berichts mit der Detailinformation der jeweiligen Beanstandung. </w:t>
            </w:r>
          </w:p>
          <w:p w14:paraId="5E2CAE38" w14:textId="64783FAE" w:rsidR="00E943E0" w:rsidRPr="006457E5" w:rsidRDefault="00E943E0" w:rsidP="004E14AA">
            <w:pPr>
              <w:pStyle w:val="FormatvorlageLinks0cm"/>
            </w:pPr>
            <w:r w:rsidRPr="006457E5">
              <w:t xml:space="preserve">Hat </w:t>
            </w:r>
            <w:r w:rsidR="008553FA" w:rsidRPr="006457E5">
              <w:t xml:space="preserve">die Revisionsstelle </w:t>
            </w:r>
            <w:r w:rsidRPr="006457E5">
              <w:t>keine Beanstandungen aufzuzeigen, hält sie dies ebenfalls fest.</w:t>
            </w:r>
          </w:p>
        </w:tc>
      </w:tr>
      <w:tr w:rsidR="00E943E0" w:rsidRPr="006457E5" w14:paraId="2F53A888" w14:textId="77777777" w:rsidTr="00977387">
        <w:tc>
          <w:tcPr>
            <w:tcW w:w="12224" w:type="dxa"/>
            <w:tcBorders>
              <w:top w:val="nil"/>
              <w:left w:val="nil"/>
              <w:bottom w:val="nil"/>
              <w:right w:val="nil"/>
            </w:tcBorders>
            <w:shd w:val="clear" w:color="auto" w:fill="auto"/>
          </w:tcPr>
          <w:p w14:paraId="5A028FCE" w14:textId="77777777" w:rsidR="00E943E0" w:rsidRPr="006457E5" w:rsidRDefault="00780771" w:rsidP="004E14AA">
            <w:pPr>
              <w:pStyle w:val="FormatvorlageLinks0cm"/>
              <w:spacing w:after="0"/>
            </w:pPr>
            <w:r w:rsidRPr="006457E5">
              <w:t>Die Revisionsstelle</w:t>
            </w:r>
            <w:r w:rsidR="00E943E0" w:rsidRPr="006457E5">
              <w:t xml:space="preserve"> gewährt der VVGes die Möglichkeit zu einer eigenen Stellungnahme und kennzeichnet diese im Bericht entsprechend.</w:t>
            </w:r>
          </w:p>
        </w:tc>
      </w:tr>
    </w:tbl>
    <w:p w14:paraId="377522F4" w14:textId="77777777" w:rsidR="00FD2840" w:rsidRPr="006457E5" w:rsidRDefault="00FD2840" w:rsidP="00F627F8">
      <w:pPr>
        <w:pStyle w:val="berschrift2"/>
        <w:spacing w:line="240" w:lineRule="auto"/>
      </w:pPr>
      <w:bookmarkStart w:id="14" w:name="_Toc525133272"/>
      <w:bookmarkStart w:id="15" w:name="_Toc525142946"/>
      <w:bookmarkStart w:id="16" w:name="_Toc526779388"/>
      <w:bookmarkStart w:id="17" w:name="_Toc526779600"/>
      <w:bookmarkStart w:id="18" w:name="_Toc526780070"/>
      <w:bookmarkStart w:id="19" w:name="_Toc160111745"/>
      <w:bookmarkStart w:id="20" w:name="_Toc185240904"/>
      <w:bookmarkEnd w:id="14"/>
      <w:bookmarkEnd w:id="15"/>
      <w:bookmarkEnd w:id="16"/>
      <w:bookmarkEnd w:id="17"/>
      <w:bookmarkEnd w:id="18"/>
      <w:r w:rsidRPr="006457E5">
        <w:t>Beanstandungen zum Vorjahr</w:t>
      </w:r>
      <w:bookmarkEnd w:id="19"/>
      <w:bookmarkEnd w:id="20"/>
    </w:p>
    <w:tbl>
      <w:tblPr>
        <w:tblW w:w="0" w:type="auto"/>
        <w:tblInd w:w="817" w:type="dxa"/>
        <w:tblLook w:val="01E0" w:firstRow="1" w:lastRow="1" w:firstColumn="1" w:lastColumn="1" w:noHBand="0" w:noVBand="0"/>
      </w:tblPr>
      <w:tblGrid>
        <w:gridCol w:w="12222"/>
      </w:tblGrid>
      <w:tr w:rsidR="00E943E0" w:rsidRPr="006457E5" w14:paraId="32009577" w14:textId="77777777" w:rsidTr="00977387">
        <w:tc>
          <w:tcPr>
            <w:tcW w:w="12224" w:type="dxa"/>
            <w:shd w:val="clear" w:color="auto" w:fill="auto"/>
          </w:tcPr>
          <w:p w14:paraId="23CAB14D" w14:textId="661ECA45" w:rsidR="00E943E0" w:rsidRPr="006457E5" w:rsidRDefault="00E943E0" w:rsidP="004E14AA">
            <w:pPr>
              <w:pStyle w:val="FormatvorlageLinks0cm"/>
              <w:spacing w:after="0"/>
            </w:pPr>
            <w:r w:rsidRPr="006457E5">
              <w:t xml:space="preserve">Die Revisionsstelle führt die Beanstandungen aufgrund des </w:t>
            </w:r>
            <w:r w:rsidR="00830146" w:rsidRPr="006457E5">
              <w:t>B</w:t>
            </w:r>
            <w:r w:rsidR="00244DB4" w:rsidRPr="006457E5">
              <w:t>erichtes</w:t>
            </w:r>
            <w:r w:rsidR="00830146" w:rsidRPr="006457E5">
              <w:t xml:space="preserve"> über die Aufsichtsprüfung</w:t>
            </w:r>
            <w:r w:rsidR="00244DB4" w:rsidRPr="006457E5">
              <w:t xml:space="preserve"> </w:t>
            </w:r>
            <w:r w:rsidRPr="006457E5">
              <w:t>im Vorjahr auf,</w:t>
            </w:r>
            <w:r w:rsidR="00DC42E5" w:rsidRPr="006457E5">
              <w:rPr>
                <w:color w:val="auto"/>
              </w:rPr>
              <w:t xml:space="preserve"> die zum Berichtszeitpunkt des Vorjahres nicht erledigt waren. Sie</w:t>
            </w:r>
            <w:r w:rsidRPr="006457E5">
              <w:t xml:space="preserve"> berichtet über die Ergebnisse der Nachprüfung</w:t>
            </w:r>
            <w:r w:rsidRPr="006457E5">
              <w:rPr>
                <w:i/>
                <w:iCs/>
              </w:rPr>
              <w:t xml:space="preserve"> </w:t>
            </w:r>
            <w:r w:rsidRPr="006457E5">
              <w:t>und nimmt zur Einhaltung der gesetzten Fristen Stellung. Hat die Revisionsstelle im Vorjahr keine Beanstandungen mit Fristansetzungen vermerkt, hält sie dies fest. Konnte eine Beanstandung nicht fristgerecht erledigt werden</w:t>
            </w:r>
            <w:r w:rsidR="006C53A6" w:rsidRPr="006457E5">
              <w:t>,</w:t>
            </w:r>
            <w:r w:rsidRPr="006457E5">
              <w:t xml:space="preserve"> so sind die Gründe anzugeben und es ist eine neuerliche Beanstandung zu verzeichnen.</w:t>
            </w:r>
          </w:p>
        </w:tc>
      </w:tr>
    </w:tbl>
    <w:p w14:paraId="5B72BC70" w14:textId="77777777" w:rsidR="00FD2840" w:rsidRPr="006457E5" w:rsidRDefault="00FD2840" w:rsidP="00F32947">
      <w:pPr>
        <w:pStyle w:val="berschrift2"/>
        <w:spacing w:line="240" w:lineRule="auto"/>
      </w:pPr>
      <w:bookmarkStart w:id="21" w:name="_Toc160111746"/>
      <w:bookmarkStart w:id="22" w:name="_Toc185240905"/>
      <w:r w:rsidRPr="006457E5">
        <w:t>Empfehlungen</w:t>
      </w:r>
      <w:bookmarkEnd w:id="21"/>
      <w:bookmarkEnd w:id="22"/>
    </w:p>
    <w:tbl>
      <w:tblPr>
        <w:tblW w:w="0" w:type="auto"/>
        <w:tblInd w:w="817" w:type="dxa"/>
        <w:tblLook w:val="01E0" w:firstRow="1" w:lastRow="1" w:firstColumn="1" w:lastColumn="1" w:noHBand="0" w:noVBand="0"/>
      </w:tblPr>
      <w:tblGrid>
        <w:gridCol w:w="12222"/>
      </w:tblGrid>
      <w:tr w:rsidR="00E943E0" w:rsidRPr="006457E5" w14:paraId="21F4D5A8" w14:textId="77777777" w:rsidTr="00977387">
        <w:tc>
          <w:tcPr>
            <w:tcW w:w="12224" w:type="dxa"/>
            <w:shd w:val="clear" w:color="auto" w:fill="auto"/>
          </w:tcPr>
          <w:p w14:paraId="5BB3F618" w14:textId="6363A6C0" w:rsidR="00B9280B" w:rsidRPr="004E14AA" w:rsidRDefault="00E943E0" w:rsidP="004E14AA">
            <w:pPr>
              <w:pStyle w:val="FormatvorlageLinks0cm"/>
              <w:rPr>
                <w:color w:val="auto"/>
              </w:rPr>
            </w:pPr>
            <w:r w:rsidRPr="006457E5">
              <w:t xml:space="preserve">Die Revisionsstelle erläutert Empfehlungen, welche nicht als Beanstandungen eingestuft werden, aber für die VVGes abgegeben wurden. </w:t>
            </w:r>
            <w:r w:rsidR="0078754B" w:rsidRPr="006457E5">
              <w:rPr>
                <w:color w:val="auto"/>
              </w:rPr>
              <w:t xml:space="preserve">Die </w:t>
            </w:r>
            <w:r w:rsidR="0078754B" w:rsidRPr="004E14AA">
              <w:t>Klassifizierung</w:t>
            </w:r>
            <w:r w:rsidR="0078754B" w:rsidRPr="006457E5">
              <w:rPr>
                <w:color w:val="auto"/>
              </w:rPr>
              <w:t xml:space="preserve"> von </w:t>
            </w:r>
            <w:r w:rsidR="0078754B" w:rsidRPr="006457E5">
              <w:t>Empfehlungen</w:t>
            </w:r>
            <w:r w:rsidR="0078754B" w:rsidRPr="006457E5">
              <w:rPr>
                <w:color w:val="auto"/>
              </w:rPr>
              <w:t xml:space="preserve"> in tief, mittel und hoch richtet sich nach </w:t>
            </w:r>
            <w:r w:rsidR="00A27AC0" w:rsidRPr="006457E5">
              <w:rPr>
                <w:color w:val="auto"/>
              </w:rPr>
              <w:t>dem</w:t>
            </w:r>
            <w:r w:rsidR="0078754B" w:rsidRPr="006457E5">
              <w:rPr>
                <w:color w:val="auto"/>
              </w:rPr>
              <w:t xml:space="preserve"> allgemeinen Teil der </w:t>
            </w:r>
            <w:r w:rsidR="002D095D" w:rsidRPr="006457E5">
              <w:rPr>
                <w:color w:val="auto"/>
              </w:rPr>
              <w:t>Richtlinie</w:t>
            </w:r>
            <w:r w:rsidR="0078754B" w:rsidRPr="006457E5">
              <w:rPr>
                <w:color w:val="auto"/>
              </w:rPr>
              <w:t>.</w:t>
            </w:r>
            <w:r w:rsidR="00E205C2" w:rsidRPr="006457E5">
              <w:rPr>
                <w:color w:val="auto"/>
              </w:rPr>
              <w:t xml:space="preserve"> </w:t>
            </w:r>
          </w:p>
        </w:tc>
      </w:tr>
      <w:tr w:rsidR="00E943E0" w:rsidRPr="006457E5" w14:paraId="6D6B00B7" w14:textId="77777777" w:rsidTr="00977387">
        <w:tc>
          <w:tcPr>
            <w:tcW w:w="12224" w:type="dxa"/>
            <w:shd w:val="clear" w:color="auto" w:fill="auto"/>
          </w:tcPr>
          <w:p w14:paraId="09275F17" w14:textId="77777777" w:rsidR="00E205C2" w:rsidRPr="006457E5" w:rsidRDefault="00E205C2" w:rsidP="004E14AA">
            <w:pPr>
              <w:pStyle w:val="FormatvorlageLinks0cm"/>
            </w:pPr>
            <w:r w:rsidRPr="006457E5">
              <w:t xml:space="preserve">Die Empfehlungen erfolgen unter angemessenen Fristansetzungen und mit Hinweis auf die Seitenzahlen des Berichts mit der Detailinformation der jeweiligen Empfehlung. </w:t>
            </w:r>
          </w:p>
          <w:p w14:paraId="48B546D4" w14:textId="7ACCCFF2" w:rsidR="0094351A" w:rsidRPr="006457E5" w:rsidRDefault="00E205C2" w:rsidP="004E14AA">
            <w:pPr>
              <w:pStyle w:val="FormatvorlageLinks0cm"/>
            </w:pPr>
            <w:r w:rsidRPr="006457E5">
              <w:rPr>
                <w:lang w:val="de-CH"/>
              </w:rPr>
              <w:t xml:space="preserve">Hat </w:t>
            </w:r>
            <w:r w:rsidRPr="004E14AA">
              <w:t>die</w:t>
            </w:r>
            <w:r w:rsidRPr="006457E5">
              <w:rPr>
                <w:lang w:val="de-CH"/>
              </w:rPr>
              <w:t xml:space="preserve"> Revisionsstelle keine Empfehlungen aufzuzeigen, hält sie dies ebenfalls fest. </w:t>
            </w:r>
          </w:p>
        </w:tc>
      </w:tr>
      <w:tr w:rsidR="00E943E0" w:rsidRPr="006457E5" w14:paraId="5D355189" w14:textId="77777777" w:rsidTr="00977387">
        <w:tc>
          <w:tcPr>
            <w:tcW w:w="12224" w:type="dxa"/>
            <w:shd w:val="clear" w:color="auto" w:fill="auto"/>
          </w:tcPr>
          <w:p w14:paraId="3D07542F" w14:textId="77777777" w:rsidR="00595E32" w:rsidRPr="006457E5" w:rsidRDefault="00E943E0" w:rsidP="00F32947">
            <w:pPr>
              <w:spacing w:after="0" w:line="240" w:lineRule="auto"/>
              <w:rPr>
                <w:rFonts w:cs="Arial"/>
              </w:rPr>
            </w:pPr>
            <w:r w:rsidRPr="006457E5">
              <w:rPr>
                <w:rFonts w:cs="Arial"/>
              </w:rPr>
              <w:t>Die Revisionsstelle</w:t>
            </w:r>
            <w:r w:rsidR="0040548E" w:rsidRPr="006457E5">
              <w:rPr>
                <w:rFonts w:cs="Arial"/>
              </w:rPr>
              <w:t xml:space="preserve"> </w:t>
            </w:r>
            <w:r w:rsidRPr="006457E5">
              <w:rPr>
                <w:rFonts w:cs="Arial"/>
              </w:rPr>
              <w:t xml:space="preserve">gewährt der VVGes die Möglichkeit zu einer eigenen Stellungnahme und kennzeichnet diese im Bericht entsprechend. </w:t>
            </w:r>
          </w:p>
        </w:tc>
      </w:tr>
    </w:tbl>
    <w:p w14:paraId="6185D307" w14:textId="77777777" w:rsidR="0086073A" w:rsidRPr="006457E5" w:rsidRDefault="0086073A" w:rsidP="00595E32">
      <w:pPr>
        <w:pStyle w:val="berschrift2"/>
        <w:spacing w:line="240" w:lineRule="auto"/>
      </w:pPr>
      <w:bookmarkStart w:id="23" w:name="_Toc160111747"/>
      <w:bookmarkStart w:id="24" w:name="_Toc185240906"/>
      <w:r w:rsidRPr="006457E5">
        <w:t>Empfehlungen zum Vorjahr</w:t>
      </w:r>
      <w:bookmarkEnd w:id="23"/>
      <w:bookmarkEnd w:id="24"/>
    </w:p>
    <w:tbl>
      <w:tblPr>
        <w:tblW w:w="0" w:type="auto"/>
        <w:tblInd w:w="817" w:type="dxa"/>
        <w:tblLook w:val="01E0" w:firstRow="1" w:lastRow="1" w:firstColumn="1" w:lastColumn="1" w:noHBand="0" w:noVBand="0"/>
      </w:tblPr>
      <w:tblGrid>
        <w:gridCol w:w="12222"/>
      </w:tblGrid>
      <w:tr w:rsidR="0086073A" w:rsidRPr="006457E5" w14:paraId="4E0B58E8" w14:textId="77777777" w:rsidTr="00977387">
        <w:tc>
          <w:tcPr>
            <w:tcW w:w="12224" w:type="dxa"/>
            <w:shd w:val="clear" w:color="auto" w:fill="auto"/>
          </w:tcPr>
          <w:p w14:paraId="65FDA0B6" w14:textId="1E525F4B" w:rsidR="0086073A" w:rsidRPr="006457E5" w:rsidRDefault="00AB30E7" w:rsidP="004E14AA">
            <w:pPr>
              <w:pStyle w:val="FormatvorlageLinks0cm"/>
              <w:spacing w:after="0"/>
            </w:pPr>
            <w:r w:rsidRPr="006457E5">
              <w:t xml:space="preserve">Die Revisionsstelle </w:t>
            </w:r>
            <w:r w:rsidR="0086073A" w:rsidRPr="006457E5">
              <w:t xml:space="preserve">führt die Empfehlungen aufgrund des </w:t>
            </w:r>
            <w:r w:rsidR="00830146" w:rsidRPr="006457E5">
              <w:t>Berichts über die Aufsichtsprüfung</w:t>
            </w:r>
            <w:r w:rsidR="0086073A" w:rsidRPr="006457E5">
              <w:t xml:space="preserve"> im Vorjahr auf,</w:t>
            </w:r>
            <w:r w:rsidR="00DC42E5" w:rsidRPr="006457E5">
              <w:rPr>
                <w:color w:val="auto"/>
              </w:rPr>
              <w:t xml:space="preserve"> die zum Berichtszeitpunkt des Vorjahres nicht erledigt waren. Sie</w:t>
            </w:r>
            <w:r w:rsidR="0086073A" w:rsidRPr="006457E5">
              <w:t xml:space="preserve"> berichtet über die Ergebnisse der Nachprüfung und nimmt zur Einhaltung der gesetzten Fristen Stellung. Hat </w:t>
            </w:r>
            <w:r w:rsidRPr="006457E5">
              <w:t xml:space="preserve">die Revisionsstelle </w:t>
            </w:r>
            <w:r w:rsidR="0086073A" w:rsidRPr="006457E5">
              <w:t xml:space="preserve">im Vorjahr keine Empfehlungen vermerkt, hält </w:t>
            </w:r>
            <w:r w:rsidRPr="006457E5">
              <w:t>sie</w:t>
            </w:r>
            <w:r w:rsidR="0086073A" w:rsidRPr="006457E5">
              <w:t xml:space="preserve"> dies fest. Konnte eine </w:t>
            </w:r>
            <w:r w:rsidR="00AC2E5B" w:rsidRPr="006457E5">
              <w:t xml:space="preserve">Empfehlung </w:t>
            </w:r>
            <w:r w:rsidR="0086073A" w:rsidRPr="006457E5">
              <w:t>mit Fristsetzung nicht fristgerecht erledigt werden</w:t>
            </w:r>
            <w:r w:rsidR="00040310" w:rsidRPr="006457E5">
              <w:t>,</w:t>
            </w:r>
            <w:r w:rsidR="0086073A" w:rsidRPr="006457E5">
              <w:t xml:space="preserve"> so sind die Gründe anzugeben und es ist eine neuerliche </w:t>
            </w:r>
            <w:r w:rsidR="00A648B8" w:rsidRPr="006457E5">
              <w:t xml:space="preserve">Empfehlung </w:t>
            </w:r>
            <w:r w:rsidR="0086073A" w:rsidRPr="006457E5">
              <w:t xml:space="preserve">zu verzeichnen. </w:t>
            </w:r>
          </w:p>
        </w:tc>
      </w:tr>
    </w:tbl>
    <w:p w14:paraId="04A1C8BA" w14:textId="1E1C0EBA" w:rsidR="00BF478A" w:rsidRPr="00051A5E" w:rsidRDefault="007E0E41" w:rsidP="00F32947">
      <w:pPr>
        <w:pStyle w:val="berschrift2"/>
        <w:spacing w:line="240" w:lineRule="auto"/>
      </w:pPr>
      <w:bookmarkStart w:id="25" w:name="_Toc185240907"/>
      <w:bookmarkStart w:id="26" w:name="_Hlk178784786"/>
      <w:bookmarkStart w:id="27" w:name="_Hlk178784743"/>
      <w:bookmarkStart w:id="28" w:name="_Toc160111748"/>
      <w:r w:rsidRPr="002F5188">
        <w:lastRenderedPageBreak/>
        <w:t xml:space="preserve">Wesentliche Feststellungen der </w:t>
      </w:r>
      <w:r w:rsidR="008115AB">
        <w:t>Innenrevision</w:t>
      </w:r>
      <w:bookmarkEnd w:id="25"/>
    </w:p>
    <w:tbl>
      <w:tblPr>
        <w:tblStyle w:val="Tabellenraster"/>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8"/>
      </w:tblGrid>
      <w:tr w:rsidR="00B35628" w:rsidRPr="00B35628" w14:paraId="28FACA32" w14:textId="77777777" w:rsidTr="00901BBF">
        <w:tc>
          <w:tcPr>
            <w:tcW w:w="12178" w:type="dxa"/>
          </w:tcPr>
          <w:bookmarkEnd w:id="26"/>
          <w:p w14:paraId="394F0EE2" w14:textId="5E485520" w:rsidR="00B35628" w:rsidRPr="00901BBF" w:rsidRDefault="00B35628" w:rsidP="00901BBF">
            <w:pPr>
              <w:pStyle w:val="FormatvorlageLinks0cm"/>
              <w:spacing w:after="0"/>
              <w:rPr>
                <w:lang w:val="de-CH"/>
              </w:rPr>
            </w:pPr>
            <w:r w:rsidRPr="00051A5E">
              <w:t>Die Revisionsstelle beschreibt an dieser Stelle allfällige wesentliche</w:t>
            </w:r>
            <w:r w:rsidR="008115AB">
              <w:t>, aufsichtsrechtlich relevante</w:t>
            </w:r>
            <w:r w:rsidRPr="00901BBF">
              <w:t xml:space="preserve"> Feststellungen (v.a. Feststellungen mit hoher Gewichtung) durch die </w:t>
            </w:r>
            <w:r w:rsidR="008115AB">
              <w:t>Innenrevisionsfunktion</w:t>
            </w:r>
            <w:r w:rsidRPr="00901BBF">
              <w:t xml:space="preserve">. Die Revisionsstelle hat die Feststellungen sowie deren Auswirkungen auf das Risikoprofil der </w:t>
            </w:r>
            <w:r w:rsidR="008115AB">
              <w:t>VVGes</w:t>
            </w:r>
            <w:r w:rsidRPr="00901BBF">
              <w:t xml:space="preserve"> angemessen zu würdigen. Sofern die Feststellungen an anderer Stelle im Bericht dargestellt werden, ist eine entsprechende Referenz ausreichend.</w:t>
            </w:r>
          </w:p>
        </w:tc>
      </w:tr>
    </w:tbl>
    <w:p w14:paraId="70D8C1D8" w14:textId="25D3DCE0" w:rsidR="008115AB" w:rsidRPr="00650315" w:rsidRDefault="008115AB" w:rsidP="008115AB">
      <w:pPr>
        <w:pStyle w:val="berschrift2"/>
        <w:spacing w:line="240" w:lineRule="auto"/>
      </w:pPr>
      <w:bookmarkStart w:id="29" w:name="_Toc178594349"/>
      <w:bookmarkStart w:id="30" w:name="_Toc179462574"/>
      <w:bookmarkStart w:id="31" w:name="_Toc185240908"/>
      <w:bookmarkStart w:id="32" w:name="_Hlk178784811"/>
      <w:bookmarkEnd w:id="29"/>
      <w:bookmarkEnd w:id="30"/>
      <w:r w:rsidRPr="002F5188">
        <w:t xml:space="preserve">Wesentliche Feststellungen </w:t>
      </w:r>
      <w:r>
        <w:t>durch Dritte</w:t>
      </w:r>
      <w:bookmarkEnd w:id="31"/>
    </w:p>
    <w:tbl>
      <w:tblPr>
        <w:tblStyle w:val="Tabellenraster"/>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8"/>
      </w:tblGrid>
      <w:tr w:rsidR="008115AB" w:rsidRPr="00B35628" w14:paraId="551D146C" w14:textId="77777777" w:rsidTr="008115AB">
        <w:tc>
          <w:tcPr>
            <w:tcW w:w="12178" w:type="dxa"/>
          </w:tcPr>
          <w:bookmarkEnd w:id="32"/>
          <w:p w14:paraId="46917407" w14:textId="70B1C51D" w:rsidR="008115AB" w:rsidRPr="00901BBF" w:rsidRDefault="008115AB" w:rsidP="00901BBF">
            <w:pPr>
              <w:pStyle w:val="FormatvorlageLinks0cm"/>
              <w:spacing w:after="0"/>
              <w:rPr>
                <w:highlight w:val="lightGray"/>
              </w:rPr>
            </w:pPr>
            <w:r w:rsidRPr="00901BBF">
              <w:t>Die Revisionsstelle beschreibt an dieser Stelle allfällige wesentliche, aufsichtsrechtlich relevante Feststellungen durch Dritte (z.B. die FMA, inländische/ausländische Behörden oder andere Revisionsstellen), über die sie innerhalb oder ausserhalb der Prüfungstätigkeit Kenntnis erlangt hat. Die Revisionsstelle hat die Feststellungen, sowie deren Auswirkungen auf das Risikoprofil der VVGes angemessen zu würdigen. Sofern die Feststellungen an anderer Stelle im Bericht dargestellt werden, ist eine entsprechende Referenz ausreichend.</w:t>
            </w:r>
            <w:r w:rsidRPr="00901BBF">
              <w:rPr>
                <w:highlight w:val="lightGray"/>
              </w:rPr>
              <w:t xml:space="preserve"> </w:t>
            </w:r>
          </w:p>
        </w:tc>
      </w:tr>
    </w:tbl>
    <w:p w14:paraId="245EA09D" w14:textId="044A75BC" w:rsidR="00FD2840" w:rsidRPr="006457E5" w:rsidRDefault="00FD2840" w:rsidP="00F32947">
      <w:pPr>
        <w:pStyle w:val="berschrift2"/>
        <w:spacing w:line="240" w:lineRule="auto"/>
      </w:pPr>
      <w:bookmarkStart w:id="33" w:name="_Toc185240909"/>
      <w:bookmarkEnd w:id="27"/>
      <w:r w:rsidRPr="006457E5">
        <w:t>Wichtige Informationen</w:t>
      </w:r>
      <w:bookmarkEnd w:id="28"/>
      <w:bookmarkEnd w:id="33"/>
    </w:p>
    <w:tbl>
      <w:tblPr>
        <w:tblW w:w="0" w:type="auto"/>
        <w:tblInd w:w="817" w:type="dxa"/>
        <w:tblLook w:val="01E0" w:firstRow="1" w:lastRow="1" w:firstColumn="1" w:lastColumn="1" w:noHBand="0" w:noVBand="0"/>
      </w:tblPr>
      <w:tblGrid>
        <w:gridCol w:w="12222"/>
      </w:tblGrid>
      <w:tr w:rsidR="00E943E0" w:rsidRPr="006457E5" w14:paraId="6418118F" w14:textId="77777777" w:rsidTr="00977387">
        <w:tc>
          <w:tcPr>
            <w:tcW w:w="12224" w:type="dxa"/>
            <w:shd w:val="clear" w:color="auto" w:fill="auto"/>
          </w:tcPr>
          <w:p w14:paraId="5D4462D4" w14:textId="77777777" w:rsidR="00E943E0" w:rsidRPr="006457E5" w:rsidRDefault="003F57C2" w:rsidP="0079364F">
            <w:pPr>
              <w:pStyle w:val="Default"/>
              <w:jc w:val="both"/>
              <w:rPr>
                <w:color w:val="auto"/>
                <w:sz w:val="20"/>
                <w:szCs w:val="20"/>
              </w:rPr>
            </w:pPr>
            <w:r w:rsidRPr="006457E5">
              <w:rPr>
                <w:rFonts w:ascii="Arial" w:hAnsi="Arial" w:cs="Arial"/>
                <w:color w:val="auto"/>
                <w:sz w:val="20"/>
                <w:szCs w:val="20"/>
              </w:rPr>
              <w:t>Hierunter</w:t>
            </w:r>
            <w:r w:rsidR="00E943E0" w:rsidRPr="006457E5">
              <w:rPr>
                <w:rFonts w:ascii="Arial" w:hAnsi="Arial" w:cs="Arial"/>
                <w:color w:val="auto"/>
                <w:sz w:val="20"/>
                <w:szCs w:val="20"/>
              </w:rPr>
              <w:t xml:space="preserve"> fallen insbesondere:</w:t>
            </w:r>
          </w:p>
          <w:p w14:paraId="239036E9" w14:textId="77777777" w:rsidR="00E943E0" w:rsidRPr="006457E5" w:rsidRDefault="00E943E0" w:rsidP="004A2311">
            <w:pPr>
              <w:pStyle w:val="Listenabsatz"/>
              <w:numPr>
                <w:ilvl w:val="0"/>
                <w:numId w:val="92"/>
              </w:numPr>
              <w:spacing w:after="0" w:line="240" w:lineRule="auto"/>
              <w:rPr>
                <w:rFonts w:cs="Arial"/>
              </w:rPr>
            </w:pPr>
            <w:r w:rsidRPr="006457E5">
              <w:rPr>
                <w:rFonts w:cs="Arial"/>
              </w:rPr>
              <w:t>Hinweis auf allfällige Schwierigkeiten bei der Prüfung (z.B. bezüglich Mitwirkung der zu prüfenden VVGes, Bereitstellung von Unterlagen, etc.);</w:t>
            </w:r>
          </w:p>
          <w:p w14:paraId="6E973E97" w14:textId="77777777" w:rsidR="003F57C2" w:rsidRPr="006457E5" w:rsidRDefault="003F57C2" w:rsidP="004A2311">
            <w:pPr>
              <w:pStyle w:val="Listenabsatz"/>
              <w:numPr>
                <w:ilvl w:val="0"/>
                <w:numId w:val="92"/>
              </w:numPr>
              <w:spacing w:after="0" w:line="240" w:lineRule="auto"/>
              <w:rPr>
                <w:rFonts w:cs="Arial"/>
              </w:rPr>
            </w:pPr>
            <w:r w:rsidRPr="006457E5">
              <w:rPr>
                <w:rFonts w:cs="Arial"/>
              </w:rPr>
              <w:t>Abstützung auf Arbeiten der Innenrevision (Prüffelder und Umfang);</w:t>
            </w:r>
          </w:p>
          <w:p w14:paraId="5B9F2B70" w14:textId="4C2770BF" w:rsidR="007D111D" w:rsidRPr="006457E5" w:rsidRDefault="003F57C2" w:rsidP="00395058">
            <w:pPr>
              <w:pStyle w:val="Listenabsatz"/>
              <w:spacing w:after="0" w:line="240" w:lineRule="auto"/>
              <w:rPr>
                <w:rFonts w:cs="Arial"/>
              </w:rPr>
            </w:pPr>
            <w:r w:rsidRPr="006457E5">
              <w:rPr>
                <w:rFonts w:cs="Arial"/>
              </w:rPr>
              <w:t>Berichtszeitraum, sofern dieser nicht mit dem Geschäftsjahr der VVGes übereinstimmt</w:t>
            </w:r>
            <w:r w:rsidR="007D111D">
              <w:rPr>
                <w:rFonts w:cs="Arial"/>
              </w:rPr>
              <w:t>;</w:t>
            </w:r>
          </w:p>
          <w:p w14:paraId="7F710E7D" w14:textId="201D2688" w:rsidR="00BA015E" w:rsidRPr="008E6A77" w:rsidRDefault="00E943E0" w:rsidP="00395058">
            <w:pPr>
              <w:pStyle w:val="Listenabsatz"/>
              <w:numPr>
                <w:ilvl w:val="0"/>
                <w:numId w:val="92"/>
              </w:numPr>
              <w:spacing w:after="0" w:line="240" w:lineRule="auto"/>
            </w:pPr>
            <w:r w:rsidRPr="007D111D">
              <w:rPr>
                <w:rFonts w:cs="Arial"/>
              </w:rPr>
              <w:t>Wesentliche Ereignisse nach dem Bilanzstichtag</w:t>
            </w:r>
            <w:r w:rsidR="001C6F12" w:rsidRPr="007D111D">
              <w:rPr>
                <w:rFonts w:cs="Arial"/>
              </w:rPr>
              <w:t xml:space="preserve">. Bei Änderungen nach dem Bilanzstichtag welche bereits unter </w:t>
            </w:r>
            <w:r w:rsidR="0094351A" w:rsidRPr="007D111D">
              <w:rPr>
                <w:rFonts w:cs="Arial"/>
              </w:rPr>
              <w:t>Tz</w:t>
            </w:r>
            <w:r w:rsidR="001C6F12" w:rsidRPr="007D111D">
              <w:rPr>
                <w:rFonts w:cs="Arial"/>
              </w:rPr>
              <w:t xml:space="preserve"> 1 </w:t>
            </w:r>
            <w:r w:rsidR="003F57C2" w:rsidRPr="007D111D">
              <w:rPr>
                <w:rFonts w:cs="Arial"/>
              </w:rPr>
              <w:t>aufgezeigt wurden,</w:t>
            </w:r>
            <w:r w:rsidR="001C6F12" w:rsidRPr="007D111D">
              <w:rPr>
                <w:rFonts w:cs="Arial"/>
              </w:rPr>
              <w:t xml:space="preserve"> kann</w:t>
            </w:r>
            <w:r w:rsidR="001C6F12" w:rsidRPr="007D111D">
              <w:rPr>
                <w:rFonts w:eastAsia="Times New Roman" w:cs="Arial"/>
                <w:lang w:val="de-LI" w:eastAsia="fr-FR"/>
              </w:rPr>
              <w:t xml:space="preserve"> ein entsprechender Verweis angebracht werden</w:t>
            </w:r>
            <w:r w:rsidR="007D111D">
              <w:rPr>
                <w:rFonts w:eastAsia="Times New Roman" w:cs="Arial"/>
                <w:lang w:val="de-LI" w:eastAsia="fr-FR"/>
              </w:rPr>
              <w:t>.</w:t>
            </w:r>
          </w:p>
          <w:p w14:paraId="314F6FEB" w14:textId="77777777" w:rsidR="00BA015E" w:rsidRPr="006457E5" w:rsidRDefault="00BA015E" w:rsidP="004E14AA">
            <w:pPr>
              <w:pStyle w:val="FormatvorlageLinks0cm"/>
              <w:spacing w:after="0"/>
            </w:pPr>
          </w:p>
          <w:p w14:paraId="075F0A3A" w14:textId="71D5C765" w:rsidR="00E943E0" w:rsidRPr="006457E5" w:rsidRDefault="00E943E0" w:rsidP="004E14AA">
            <w:pPr>
              <w:pStyle w:val="FormatvorlageLinks0cm"/>
              <w:spacing w:after="0"/>
            </w:pPr>
            <w:r w:rsidRPr="006457E5">
              <w:t>Hat die Revisionsstelle keine wichtigen Hinweise anzubringen, hält sie dies ebenfalls fest.</w:t>
            </w:r>
          </w:p>
        </w:tc>
      </w:tr>
    </w:tbl>
    <w:p w14:paraId="0A668786" w14:textId="187A11DB" w:rsidR="009348A3" w:rsidRPr="006457E5" w:rsidRDefault="009348A3" w:rsidP="00F32947">
      <w:pPr>
        <w:pStyle w:val="berschrift1"/>
        <w:spacing w:line="240" w:lineRule="auto"/>
      </w:pPr>
      <w:bookmarkStart w:id="34" w:name="_Toc160111749"/>
      <w:bookmarkStart w:id="35" w:name="_Toc185240910"/>
      <w:r w:rsidRPr="006457E5">
        <w:t>Konsolidierte und zusätzliche Beaufsichtigung</w:t>
      </w:r>
      <w:bookmarkEnd w:id="34"/>
      <w:bookmarkEnd w:id="35"/>
    </w:p>
    <w:tbl>
      <w:tblPr>
        <w:tblW w:w="0" w:type="auto"/>
        <w:tblInd w:w="817" w:type="dxa"/>
        <w:tblLook w:val="01E0" w:firstRow="1" w:lastRow="1" w:firstColumn="1" w:lastColumn="1" w:noHBand="0" w:noVBand="0"/>
      </w:tblPr>
      <w:tblGrid>
        <w:gridCol w:w="12222"/>
      </w:tblGrid>
      <w:tr w:rsidR="00E943E0" w:rsidRPr="006457E5" w14:paraId="69F8CA24" w14:textId="77777777" w:rsidTr="00977387">
        <w:tc>
          <w:tcPr>
            <w:tcW w:w="12224" w:type="dxa"/>
            <w:shd w:val="clear" w:color="auto" w:fill="auto"/>
          </w:tcPr>
          <w:p w14:paraId="1A69DABA" w14:textId="6D2917F8" w:rsidR="00E943E0" w:rsidRPr="006457E5" w:rsidRDefault="00E943E0" w:rsidP="004E14AA">
            <w:pPr>
              <w:pStyle w:val="FormatvorlageLinks0cm"/>
              <w:spacing w:after="0"/>
            </w:pPr>
            <w:r w:rsidRPr="006457E5">
              <w:t xml:space="preserve">Gestützt auf </w:t>
            </w:r>
            <w:r w:rsidR="00BA015E" w:rsidRPr="008E6A77">
              <w:t>Art. 7 IFR und Art. 8 IFR</w:t>
            </w:r>
            <w:r w:rsidR="00145ED4" w:rsidRPr="008E6A77">
              <w:t xml:space="preserve"> bzw. Art. 58a VVG</w:t>
            </w:r>
            <w:r w:rsidR="00BA015E" w:rsidRPr="006457E5">
              <w:t xml:space="preserve"> </w:t>
            </w:r>
            <w:r w:rsidRPr="006457E5">
              <w:t xml:space="preserve">nimmt die Revisionsstelle Stellung über </w:t>
            </w:r>
            <w:r w:rsidR="00F96027" w:rsidRPr="006457E5">
              <w:t xml:space="preserve">das </w:t>
            </w:r>
            <w:r w:rsidRPr="006457E5">
              <w:t xml:space="preserve">Erfordernis einer konsolidierten und zusätzlichen Beaufsichtigung und ob die diesbezüglichen Vorschriften eingehalten sind. </w:t>
            </w:r>
          </w:p>
        </w:tc>
      </w:tr>
    </w:tbl>
    <w:p w14:paraId="086FA63E" w14:textId="77777777" w:rsidR="00FD2840" w:rsidRPr="006457E5" w:rsidRDefault="00B310EF" w:rsidP="00DA7436">
      <w:pPr>
        <w:pStyle w:val="berschrift1"/>
        <w:spacing w:before="720" w:line="240" w:lineRule="auto"/>
      </w:pPr>
      <w:bookmarkStart w:id="36" w:name="_Toc525133278"/>
      <w:bookmarkStart w:id="37" w:name="_Toc525142952"/>
      <w:bookmarkStart w:id="38" w:name="_Toc526779394"/>
      <w:bookmarkStart w:id="39" w:name="_Toc526779606"/>
      <w:bookmarkStart w:id="40" w:name="_Toc526780076"/>
      <w:bookmarkStart w:id="41" w:name="_Toc160111750"/>
      <w:bookmarkStart w:id="42" w:name="_Toc185240911"/>
      <w:bookmarkEnd w:id="36"/>
      <w:bookmarkEnd w:id="37"/>
      <w:bookmarkEnd w:id="38"/>
      <w:bookmarkEnd w:id="39"/>
      <w:bookmarkEnd w:id="40"/>
      <w:r w:rsidRPr="006457E5">
        <w:lastRenderedPageBreak/>
        <w:t xml:space="preserve">Einhaltung der </w:t>
      </w:r>
      <w:r w:rsidR="007F3D19" w:rsidRPr="006457E5">
        <w:t>Bewilligungsvoraussetzungen</w:t>
      </w:r>
      <w:bookmarkEnd w:id="41"/>
      <w:bookmarkEnd w:id="42"/>
    </w:p>
    <w:tbl>
      <w:tblPr>
        <w:tblW w:w="0" w:type="auto"/>
        <w:tblInd w:w="817" w:type="dxa"/>
        <w:tblLook w:val="01E0" w:firstRow="1" w:lastRow="1" w:firstColumn="1" w:lastColumn="1" w:noHBand="0" w:noVBand="0"/>
      </w:tblPr>
      <w:tblGrid>
        <w:gridCol w:w="12222"/>
      </w:tblGrid>
      <w:tr w:rsidR="00E943E0" w:rsidRPr="006457E5" w14:paraId="1B23C2A0" w14:textId="77777777" w:rsidTr="00977387">
        <w:tc>
          <w:tcPr>
            <w:tcW w:w="12224" w:type="dxa"/>
            <w:shd w:val="clear" w:color="auto" w:fill="auto"/>
          </w:tcPr>
          <w:p w14:paraId="3E493FDC" w14:textId="431F8DD3" w:rsidR="00E943E0" w:rsidRPr="006457E5" w:rsidRDefault="00AA4612" w:rsidP="004E14AA">
            <w:pPr>
              <w:pStyle w:val="FormatvorlageLinks0cm"/>
              <w:spacing w:after="0"/>
            </w:pPr>
            <w:r>
              <w:t>D</w:t>
            </w:r>
            <w:r w:rsidR="00E943E0" w:rsidRPr="006457E5">
              <w:t xml:space="preserve">ie Revisionsstelle </w:t>
            </w:r>
            <w:r w:rsidR="007D111D">
              <w:t xml:space="preserve">nimmt </w:t>
            </w:r>
            <w:r w:rsidR="00E943E0" w:rsidRPr="006457E5">
              <w:t>Stellung zur dauernden</w:t>
            </w:r>
            <w:r w:rsidR="007D111D">
              <w:t xml:space="preserve"> </w:t>
            </w:r>
            <w:r w:rsidR="00E943E0" w:rsidRPr="006457E5">
              <w:t xml:space="preserve">Einhaltung </w:t>
            </w:r>
            <w:r>
              <w:t>der</w:t>
            </w:r>
            <w:r w:rsidRPr="006457E5">
              <w:t xml:space="preserve"> </w:t>
            </w:r>
            <w:r w:rsidR="00E943E0" w:rsidRPr="006457E5">
              <w:t>Bewilligungsvoraussetzungen nach Art. 6</w:t>
            </w:r>
            <w:r w:rsidR="00CA2D21" w:rsidRPr="006457E5">
              <w:t xml:space="preserve"> VVG</w:t>
            </w:r>
            <w:r w:rsidR="00E943E0" w:rsidRPr="006457E5">
              <w:t xml:space="preserve"> i.V.m. den entsprechend konkretisierenden Voraussetzungen der VVO. Sofern die Vorschriften nicht eingehalten sind oder in der Berichtsperiode nicht eingehalten waren, legt die Revisionsstelle die Umstände ausführlich im </w:t>
            </w:r>
            <w:r w:rsidR="00830146" w:rsidRPr="006457E5">
              <w:t>B</w:t>
            </w:r>
            <w:r w:rsidR="00645FBF" w:rsidRPr="006457E5">
              <w:t xml:space="preserve">ericht </w:t>
            </w:r>
            <w:r w:rsidR="00E943E0" w:rsidRPr="006457E5">
              <w:t>dar.</w:t>
            </w:r>
            <w:r w:rsidR="00645FBF" w:rsidRPr="006457E5">
              <w:t xml:space="preserve"> </w:t>
            </w:r>
            <w:r w:rsidR="00AB30E7" w:rsidRPr="006457E5">
              <w:t>Sie</w:t>
            </w:r>
            <w:r w:rsidR="00645FBF" w:rsidRPr="006457E5">
              <w:t xml:space="preserve"> äussert sich dazu, inwieweit die Beanstandungen zum Berichtsjahr die Einhaltung </w:t>
            </w:r>
            <w:r w:rsidR="002D1ECC" w:rsidRPr="006457E5">
              <w:t xml:space="preserve">in </w:t>
            </w:r>
            <w:r w:rsidR="00645FBF" w:rsidRPr="006457E5">
              <w:t xml:space="preserve">Frage stellen. </w:t>
            </w:r>
          </w:p>
        </w:tc>
      </w:tr>
    </w:tbl>
    <w:p w14:paraId="45EE3696" w14:textId="3C5B6943" w:rsidR="0054158E" w:rsidRPr="006457E5" w:rsidRDefault="0054158E" w:rsidP="00F32947">
      <w:pPr>
        <w:pStyle w:val="berschrift2"/>
        <w:spacing w:line="240" w:lineRule="auto"/>
      </w:pPr>
      <w:bookmarkStart w:id="43" w:name="_Toc525108251"/>
      <w:bookmarkStart w:id="44" w:name="_Toc525108466"/>
      <w:bookmarkStart w:id="45" w:name="_Toc525108681"/>
      <w:bookmarkStart w:id="46" w:name="_Toc525108889"/>
      <w:bookmarkStart w:id="47" w:name="_Toc525109079"/>
      <w:bookmarkStart w:id="48" w:name="_Toc525109261"/>
      <w:bookmarkStart w:id="49" w:name="_Toc525114632"/>
      <w:bookmarkStart w:id="50" w:name="_Toc525114812"/>
      <w:bookmarkStart w:id="51" w:name="_Toc525116200"/>
      <w:bookmarkStart w:id="52" w:name="_Toc525133280"/>
      <w:bookmarkStart w:id="53" w:name="_Toc525142954"/>
      <w:bookmarkStart w:id="54" w:name="_Toc526779396"/>
      <w:bookmarkStart w:id="55" w:name="_Toc526779608"/>
      <w:bookmarkStart w:id="56" w:name="_Toc526780078"/>
      <w:bookmarkStart w:id="57" w:name="_Toc525108255"/>
      <w:bookmarkStart w:id="58" w:name="_Toc525108470"/>
      <w:bookmarkStart w:id="59" w:name="_Toc525108685"/>
      <w:bookmarkStart w:id="60" w:name="_Toc525108893"/>
      <w:bookmarkStart w:id="61" w:name="_Toc525109083"/>
      <w:bookmarkStart w:id="62" w:name="_Toc525109265"/>
      <w:bookmarkStart w:id="63" w:name="_Toc525114636"/>
      <w:bookmarkStart w:id="64" w:name="_Toc525114816"/>
      <w:bookmarkStart w:id="65" w:name="_Toc525116204"/>
      <w:bookmarkStart w:id="66" w:name="_Toc525133284"/>
      <w:bookmarkStart w:id="67" w:name="_Toc525142958"/>
      <w:bookmarkStart w:id="68" w:name="_Toc526779400"/>
      <w:bookmarkStart w:id="69" w:name="_Toc526779612"/>
      <w:bookmarkStart w:id="70" w:name="_Toc526780082"/>
      <w:bookmarkStart w:id="71" w:name="_Toc160111751"/>
      <w:bookmarkStart w:id="72" w:name="_Toc18524091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6457E5">
        <w:t>Eigenmittelvorschriften</w:t>
      </w:r>
      <w:bookmarkEnd w:id="71"/>
      <w:r w:rsidR="00525065" w:rsidRPr="006457E5">
        <w:t xml:space="preserve"> und Liquiditätsanforderungen</w:t>
      </w:r>
      <w:bookmarkEnd w:id="72"/>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2"/>
      </w:tblGrid>
      <w:tr w:rsidR="0054158E" w:rsidRPr="006457E5" w14:paraId="737A252C" w14:textId="77777777" w:rsidTr="00977387">
        <w:tc>
          <w:tcPr>
            <w:tcW w:w="12224" w:type="dxa"/>
            <w:tcBorders>
              <w:top w:val="nil"/>
              <w:left w:val="nil"/>
              <w:bottom w:val="nil"/>
              <w:right w:val="nil"/>
            </w:tcBorders>
            <w:shd w:val="clear" w:color="auto" w:fill="auto"/>
          </w:tcPr>
          <w:p w14:paraId="1E0F7D9F" w14:textId="356D7DA4" w:rsidR="00F5509A" w:rsidRPr="008E6A77" w:rsidRDefault="0054158E" w:rsidP="004E14AA">
            <w:pPr>
              <w:pStyle w:val="FormatvorlageLinks0cm"/>
            </w:pPr>
            <w:r w:rsidRPr="006457E5">
              <w:t xml:space="preserve">Die Revisionsstelle nimmt Stellung zur Einhaltung der Eigenmittelvorschriften nach Art. 6 Abs. 1 Bst. i und k, </w:t>
            </w:r>
            <w:r w:rsidR="003D3F68" w:rsidRPr="008E6A77">
              <w:t>A</w:t>
            </w:r>
            <w:r w:rsidRPr="006457E5">
              <w:t xml:space="preserve">rt. 8 VVG i.V.m. </w:t>
            </w:r>
            <w:r w:rsidR="00382F81" w:rsidRPr="006457E5">
              <w:t>Art. 9</w:t>
            </w:r>
            <w:r w:rsidR="00B3278B" w:rsidRPr="008E6A77">
              <w:t>, 11, 13 und 14</w:t>
            </w:r>
            <w:r w:rsidR="00382F81" w:rsidRPr="006457E5">
              <w:t xml:space="preserve"> IFR</w:t>
            </w:r>
            <w:r w:rsidR="00C64736" w:rsidRPr="006457E5">
              <w:t xml:space="preserve"> und bestätigt </w:t>
            </w:r>
            <w:r w:rsidR="00C64736" w:rsidRPr="008E6A77">
              <w:t>die</w:t>
            </w:r>
            <w:r w:rsidR="00C64736" w:rsidRPr="006457E5">
              <w:t xml:space="preserve"> Richtigkeit</w:t>
            </w:r>
            <w:r w:rsidR="00C64736" w:rsidRPr="008E6A77">
              <w:t xml:space="preserve"> der </w:t>
            </w:r>
            <w:r w:rsidR="00F5509A" w:rsidRPr="008E6A77">
              <w:t xml:space="preserve">Meldung zum Stichtag 31. Dezember </w:t>
            </w:r>
            <w:r w:rsidR="00717CFA" w:rsidRPr="006457E5">
              <w:t xml:space="preserve">gemäss </w:t>
            </w:r>
            <w:r w:rsidR="00717CFA" w:rsidRPr="008E6A77">
              <w:t>Anhang I oder Anhang III der Delegierte Verordnung (EU) 2021/2284</w:t>
            </w:r>
            <w:r w:rsidR="00C64736" w:rsidRPr="006457E5">
              <w:t>.</w:t>
            </w:r>
          </w:p>
          <w:p w14:paraId="3EDD918D" w14:textId="0D0F9647" w:rsidR="00F5509A" w:rsidRPr="008E6A77" w:rsidRDefault="00F5509A" w:rsidP="004E14AA">
            <w:pPr>
              <w:pStyle w:val="FormatvorlageLinks0cm"/>
            </w:pPr>
            <w:r w:rsidRPr="008E6A77">
              <w:t>Die Revisionsstelle nimmt weiters Stellung zur Einhaltung der Liquiditätsanforderungen nach Art. 43 IFR</w:t>
            </w:r>
            <w:r w:rsidR="00C42395" w:rsidRPr="008E6A77">
              <w:t xml:space="preserve"> </w:t>
            </w:r>
            <w:bookmarkStart w:id="73" w:name="_Hlk170314869"/>
            <w:r w:rsidR="00C42395" w:rsidRPr="008E6A77">
              <w:t>und bestätigt bei einer Befreiung von den Liquiditätsanforderungen nach Art. 43 IFR, dass die Voraussetzungen für diese Befreiung weiterhin gegeben sind</w:t>
            </w:r>
            <w:bookmarkEnd w:id="73"/>
            <w:r w:rsidR="00C42395" w:rsidRPr="008E6A77">
              <w:t>.</w:t>
            </w:r>
            <w:r w:rsidRPr="008E6A77">
              <w:t xml:space="preserve"> Die Berechnungen sind im Bericht über die Aufsichtsprüfung oder dessen Anhang offenzulegen.</w:t>
            </w:r>
          </w:p>
          <w:p w14:paraId="147BFBDE" w14:textId="0B4B8664" w:rsidR="003C3175" w:rsidRPr="006457E5" w:rsidRDefault="008A184C" w:rsidP="004E14AA">
            <w:pPr>
              <w:pStyle w:val="FormatvorlageLinks0cm"/>
              <w:spacing w:after="0"/>
            </w:pPr>
            <w:r w:rsidRPr="008E6A77">
              <w:t xml:space="preserve">Die Revisionsstelle nimmt ebenfalls dazu Stellung, ob </w:t>
            </w:r>
            <w:r w:rsidRPr="006457E5">
              <w:rPr>
                <w:shd w:val="clear" w:color="auto" w:fill="FFFFFF"/>
              </w:rPr>
              <w:t>Klasse-2 Vermögensverwaltungsgesellschaften über solide, wirksame und umfassende Regelungen, Strategien und Verfahren b</w:t>
            </w:r>
            <w:r w:rsidR="007D111D">
              <w:rPr>
                <w:shd w:val="clear" w:color="auto" w:fill="FFFFFF"/>
              </w:rPr>
              <w:t>ezüglich</w:t>
            </w:r>
            <w:r w:rsidRPr="006457E5">
              <w:rPr>
                <w:shd w:val="clear" w:color="auto" w:fill="FFFFFF"/>
              </w:rPr>
              <w:t xml:space="preserve"> Höhe, Arten und Verteilung des internen Kapitals und der liquiden Aktiva </w:t>
            </w:r>
            <w:r w:rsidRPr="008E6A77">
              <w:rPr>
                <w:rFonts w:eastAsiaTheme="minorHAnsi"/>
              </w:rPr>
              <w:t xml:space="preserve">gemäss </w:t>
            </w:r>
            <w:r w:rsidRPr="008E6A77">
              <w:t>Art.</w:t>
            </w:r>
            <w:r w:rsidR="008E6A77">
              <w:t> </w:t>
            </w:r>
            <w:r w:rsidRPr="008E6A77">
              <w:t>29 VVG verfügen.</w:t>
            </w:r>
          </w:p>
        </w:tc>
      </w:tr>
    </w:tbl>
    <w:p w14:paraId="2FF10BA9" w14:textId="515B1C93" w:rsidR="0054158E" w:rsidRPr="006457E5" w:rsidRDefault="0054158E">
      <w:pPr>
        <w:pStyle w:val="berschrift2"/>
        <w:spacing w:line="240" w:lineRule="auto"/>
      </w:pPr>
      <w:bookmarkStart w:id="74" w:name="_Toc525108261"/>
      <w:bookmarkStart w:id="75" w:name="_Toc525108476"/>
      <w:bookmarkStart w:id="76" w:name="_Toc525108691"/>
      <w:bookmarkStart w:id="77" w:name="_Toc525108899"/>
      <w:bookmarkStart w:id="78" w:name="_Toc525109089"/>
      <w:bookmarkStart w:id="79" w:name="_Toc525109271"/>
      <w:bookmarkStart w:id="80" w:name="_Toc525114642"/>
      <w:bookmarkStart w:id="81" w:name="_Toc525114822"/>
      <w:bookmarkStart w:id="82" w:name="_Toc525116210"/>
      <w:bookmarkStart w:id="83" w:name="_Toc525133290"/>
      <w:bookmarkStart w:id="84" w:name="_Toc525142964"/>
      <w:bookmarkStart w:id="85" w:name="_Toc526779406"/>
      <w:bookmarkStart w:id="86" w:name="_Toc526779618"/>
      <w:bookmarkStart w:id="87" w:name="_Toc526780088"/>
      <w:bookmarkStart w:id="88" w:name="_Toc170123216"/>
      <w:bookmarkStart w:id="89" w:name="_Toc170475480"/>
      <w:bookmarkStart w:id="90" w:name="_Toc173423595"/>
      <w:bookmarkStart w:id="91" w:name="_Toc173427316"/>
      <w:bookmarkStart w:id="92" w:name="_Toc178594354"/>
      <w:bookmarkStart w:id="93" w:name="_Toc179462580"/>
      <w:bookmarkStart w:id="94" w:name="_Toc160111753"/>
      <w:bookmarkStart w:id="95" w:name="_Toc18524091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6457E5">
        <w:t>Darstellung der Eigentumsverhältnisse</w:t>
      </w:r>
      <w:bookmarkEnd w:id="94"/>
      <w:bookmarkEnd w:id="95"/>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2"/>
      </w:tblGrid>
      <w:tr w:rsidR="0054158E" w:rsidRPr="006457E5" w14:paraId="03B71CED" w14:textId="77777777" w:rsidTr="00977387">
        <w:tc>
          <w:tcPr>
            <w:tcW w:w="12224" w:type="dxa"/>
            <w:tcBorders>
              <w:top w:val="nil"/>
              <w:left w:val="nil"/>
              <w:bottom w:val="nil"/>
              <w:right w:val="nil"/>
            </w:tcBorders>
            <w:shd w:val="clear" w:color="auto" w:fill="auto"/>
          </w:tcPr>
          <w:p w14:paraId="60BD0339" w14:textId="2E5AE1E9" w:rsidR="003D3F68" w:rsidRPr="006457E5" w:rsidRDefault="0054158E" w:rsidP="004E14AA">
            <w:pPr>
              <w:pStyle w:val="FormatvorlageLinks0cm"/>
            </w:pPr>
            <w:r w:rsidRPr="006457E5">
              <w:t>Die Revisionsstelle nimmt Stellung zur Angemessenheit der Darstellung der Eigentumsverhältnisse und</w:t>
            </w:r>
            <w:r w:rsidR="00373B94">
              <w:t>,</w:t>
            </w:r>
            <w:r w:rsidRPr="006457E5">
              <w:t xml:space="preserve"> ob Verstösse gegen </w:t>
            </w:r>
            <w:r w:rsidR="004044F7" w:rsidRPr="006457E5">
              <w:t>die</w:t>
            </w:r>
            <w:r w:rsidRPr="006457E5">
              <w:t xml:space="preserve"> Anforderungen nach Art. 6 Abs. 1 Bst. </w:t>
            </w:r>
            <w:r w:rsidR="005863A5" w:rsidRPr="006457E5">
              <w:t>g</w:t>
            </w:r>
            <w:r w:rsidR="005863A5" w:rsidRPr="006457E5">
              <w:rPr>
                <w:vertAlign w:val="superscript"/>
              </w:rPr>
              <w:t>bis</w:t>
            </w:r>
            <w:r w:rsidR="00884421" w:rsidRPr="006457E5">
              <w:t xml:space="preserve"> VVG</w:t>
            </w:r>
            <w:r w:rsidR="003D3F68" w:rsidRPr="006457E5">
              <w:t xml:space="preserve"> </w:t>
            </w:r>
            <w:r w:rsidRPr="006457E5">
              <w:t>vorliegen.</w:t>
            </w:r>
          </w:p>
          <w:p w14:paraId="0335A517" w14:textId="7666B42B" w:rsidR="007D111D" w:rsidRPr="006457E5" w:rsidRDefault="0054158E" w:rsidP="004E14AA">
            <w:pPr>
              <w:pStyle w:val="FormatvorlageLinks0cm"/>
            </w:pPr>
            <w:r w:rsidRPr="006457E5">
              <w:t xml:space="preserve">Die Revisionsstelle nimmt Stellung zum Einfluss der qualifiziert Beteiligten hinsichtlich einer umsichtigen und soliden Geschäftstätigkeit. </w:t>
            </w:r>
          </w:p>
          <w:p w14:paraId="14700356" w14:textId="5D1ABB99" w:rsidR="00B711CE" w:rsidRPr="006457E5" w:rsidRDefault="0054158E" w:rsidP="004E14AA">
            <w:pPr>
              <w:pStyle w:val="FormatvorlageLinks0cm"/>
            </w:pPr>
            <w:r w:rsidRPr="006457E5">
              <w:t xml:space="preserve">Die Revisionsstelle hält die Ausleihungen an Aktionäre bzw. an andere an der VVGes Beteiligte oder diesen nahestehenden natürlichen und juristische Personen fest. Hat die Revisionsstelle keine solchen Geschäfte festgestellt, hält sie dies ebenfalls fest. </w:t>
            </w:r>
          </w:p>
          <w:p w14:paraId="0612363B" w14:textId="4A543FBE" w:rsidR="00B711CE" w:rsidRPr="006457E5" w:rsidRDefault="008630D5" w:rsidP="004E14AA">
            <w:pPr>
              <w:pStyle w:val="FormatvorlageLinks0cm"/>
              <w:spacing w:after="0"/>
            </w:pPr>
            <w:r w:rsidRPr="006457E5">
              <w:rPr>
                <w:rStyle w:val="ui-provider"/>
                <w:rFonts w:eastAsiaTheme="majorEastAsia"/>
              </w:rPr>
              <w:t xml:space="preserve">Die Revisionsstelle </w:t>
            </w:r>
            <w:r w:rsidR="00FF65BF" w:rsidRPr="006457E5">
              <w:rPr>
                <w:rStyle w:val="ui-provider"/>
                <w:rFonts w:eastAsiaTheme="majorEastAsia"/>
              </w:rPr>
              <w:t>prüft</w:t>
            </w:r>
            <w:r w:rsidRPr="006457E5">
              <w:rPr>
                <w:rStyle w:val="ui-provider"/>
                <w:rFonts w:eastAsiaTheme="majorEastAsia"/>
              </w:rPr>
              <w:t>, ob eine EWR/Unions-Mutterwertpapierfirmen gem</w:t>
            </w:r>
            <w:r w:rsidR="00283DF4">
              <w:rPr>
                <w:rStyle w:val="ui-provider"/>
                <w:rFonts w:eastAsiaTheme="majorEastAsia"/>
              </w:rPr>
              <w:t>äss</w:t>
            </w:r>
            <w:r w:rsidRPr="006457E5">
              <w:rPr>
                <w:rStyle w:val="ui-provider"/>
                <w:rFonts w:eastAsiaTheme="majorEastAsia"/>
              </w:rPr>
              <w:t xml:space="preserve"> Art. 4 Abs. 1 Z. 56 IFR, </w:t>
            </w:r>
            <w:r w:rsidR="00283DF4">
              <w:rPr>
                <w:rStyle w:val="ui-provider"/>
                <w:rFonts w:eastAsiaTheme="majorEastAsia"/>
              </w:rPr>
              <w:t xml:space="preserve">eine </w:t>
            </w:r>
            <w:r w:rsidRPr="006457E5">
              <w:rPr>
                <w:rStyle w:val="ui-provider"/>
                <w:rFonts w:eastAsiaTheme="majorEastAsia"/>
              </w:rPr>
              <w:t>EWR/Unions-Mutterinvestmentholdinggesellschaft gem</w:t>
            </w:r>
            <w:r w:rsidR="00283DF4">
              <w:rPr>
                <w:rStyle w:val="ui-provider"/>
                <w:rFonts w:eastAsiaTheme="majorEastAsia"/>
              </w:rPr>
              <w:t>äss</w:t>
            </w:r>
            <w:r w:rsidRPr="006457E5">
              <w:rPr>
                <w:rStyle w:val="ui-provider"/>
                <w:rFonts w:eastAsiaTheme="majorEastAsia"/>
              </w:rPr>
              <w:t xml:space="preserve"> Art. 4 Abs. 1 Z. 57 IFR oder </w:t>
            </w:r>
            <w:r w:rsidR="00283DF4">
              <w:rPr>
                <w:rStyle w:val="ui-provider"/>
                <w:rFonts w:eastAsiaTheme="majorEastAsia"/>
              </w:rPr>
              <w:t xml:space="preserve">eine </w:t>
            </w:r>
            <w:r w:rsidRPr="006457E5">
              <w:rPr>
                <w:rStyle w:val="ui-provider"/>
                <w:rFonts w:eastAsiaTheme="majorEastAsia"/>
              </w:rPr>
              <w:t>gemischte EWR/Unions-Mutterfinanzholdinggesellschaft gem</w:t>
            </w:r>
            <w:r w:rsidR="00283DF4">
              <w:rPr>
                <w:rStyle w:val="ui-provider"/>
                <w:rFonts w:eastAsiaTheme="majorEastAsia"/>
              </w:rPr>
              <w:t>äss</w:t>
            </w:r>
            <w:r w:rsidRPr="006457E5">
              <w:rPr>
                <w:rStyle w:val="ui-provider"/>
                <w:rFonts w:eastAsiaTheme="majorEastAsia"/>
              </w:rPr>
              <w:t xml:space="preserve"> Art.</w:t>
            </w:r>
            <w:r w:rsidR="007D111D">
              <w:rPr>
                <w:rStyle w:val="ui-provider"/>
                <w:rFonts w:eastAsiaTheme="majorEastAsia"/>
              </w:rPr>
              <w:t> </w:t>
            </w:r>
            <w:r w:rsidRPr="006457E5">
              <w:rPr>
                <w:rStyle w:val="ui-provider"/>
                <w:rFonts w:eastAsiaTheme="majorEastAsia"/>
              </w:rPr>
              <w:t>4 Abs. 1 Z.</w:t>
            </w:r>
            <w:r w:rsidR="00CC2854">
              <w:rPr>
                <w:rStyle w:val="ui-provider"/>
                <w:rFonts w:eastAsiaTheme="majorEastAsia"/>
              </w:rPr>
              <w:t> </w:t>
            </w:r>
            <w:r w:rsidRPr="006457E5">
              <w:rPr>
                <w:rStyle w:val="ui-provider"/>
                <w:rFonts w:eastAsiaTheme="majorEastAsia"/>
              </w:rPr>
              <w:t>58 IFR eine Beteiligung an der VVGes hält</w:t>
            </w:r>
            <w:r w:rsidR="007D111D">
              <w:rPr>
                <w:rStyle w:val="ui-provider"/>
                <w:rFonts w:eastAsiaTheme="majorEastAsia"/>
              </w:rPr>
              <w:t>.</w:t>
            </w:r>
          </w:p>
        </w:tc>
      </w:tr>
    </w:tbl>
    <w:p w14:paraId="22DD5903" w14:textId="77777777" w:rsidR="00096148" w:rsidRPr="006457E5" w:rsidRDefault="00096148" w:rsidP="00DA7436">
      <w:pPr>
        <w:pStyle w:val="berschrift2"/>
        <w:spacing w:before="480" w:line="240" w:lineRule="auto"/>
      </w:pPr>
      <w:bookmarkStart w:id="96" w:name="_Toc525108274"/>
      <w:bookmarkStart w:id="97" w:name="_Toc525108489"/>
      <w:bookmarkStart w:id="98" w:name="_Toc525108704"/>
      <w:bookmarkStart w:id="99" w:name="_Toc525108912"/>
      <w:bookmarkStart w:id="100" w:name="_Toc525109102"/>
      <w:bookmarkStart w:id="101" w:name="_Toc525109284"/>
      <w:bookmarkStart w:id="102" w:name="_Toc525114655"/>
      <w:bookmarkStart w:id="103" w:name="_Toc525114835"/>
      <w:bookmarkStart w:id="104" w:name="_Toc525116223"/>
      <w:bookmarkStart w:id="105" w:name="_Toc525133303"/>
      <w:bookmarkStart w:id="106" w:name="_Toc525142977"/>
      <w:bookmarkStart w:id="107" w:name="_Toc526779419"/>
      <w:bookmarkStart w:id="108" w:name="_Toc526779631"/>
      <w:bookmarkStart w:id="109" w:name="_Toc526780101"/>
      <w:bookmarkStart w:id="110" w:name="_Toc526779420"/>
      <w:bookmarkStart w:id="111" w:name="_Toc526779632"/>
      <w:bookmarkStart w:id="112" w:name="_Toc526780102"/>
      <w:bookmarkStart w:id="113" w:name="_Toc160111754"/>
      <w:bookmarkStart w:id="114" w:name="_Toc185240914"/>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6457E5">
        <w:lastRenderedPageBreak/>
        <w:t>Geschäftsplan</w:t>
      </w:r>
      <w:bookmarkEnd w:id="113"/>
      <w:bookmarkEnd w:id="114"/>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2"/>
      </w:tblGrid>
      <w:tr w:rsidR="00E943E0" w:rsidRPr="006457E5" w14:paraId="150FEFB6" w14:textId="77777777" w:rsidTr="00977387">
        <w:tc>
          <w:tcPr>
            <w:tcW w:w="12224" w:type="dxa"/>
            <w:tcBorders>
              <w:top w:val="nil"/>
              <w:left w:val="nil"/>
              <w:bottom w:val="nil"/>
              <w:right w:val="nil"/>
            </w:tcBorders>
            <w:shd w:val="clear" w:color="auto" w:fill="auto"/>
          </w:tcPr>
          <w:p w14:paraId="7AC73A77" w14:textId="1D1E3305" w:rsidR="00DE00F3" w:rsidRPr="006457E5" w:rsidRDefault="00E943E0" w:rsidP="004E14AA">
            <w:pPr>
              <w:pStyle w:val="FormatvorlageLinks0cm"/>
            </w:pPr>
            <w:r w:rsidRPr="006457E5">
              <w:t>Die Revisionsstelle nimmt Stellung, ob die tatsächliche Geschäftstätigkeit mit den Angaben im Geschäftsplan</w:t>
            </w:r>
            <w:r w:rsidR="007C3A06" w:rsidRPr="006457E5">
              <w:t>/-reglement</w:t>
            </w:r>
            <w:r w:rsidRPr="006457E5">
              <w:t xml:space="preserve"> übereinstimmen. </w:t>
            </w:r>
            <w:r w:rsidR="00AB30E7" w:rsidRPr="006457E5">
              <w:t>Sie</w:t>
            </w:r>
            <w:r w:rsidRPr="006457E5">
              <w:t xml:space="preserve"> bestätigt, dass abweichend vom Bewilligungsumfang</w:t>
            </w:r>
            <w:r w:rsidR="00026968" w:rsidRPr="006457E5">
              <w:t>,</w:t>
            </w:r>
            <w:r w:rsidRPr="006457E5">
              <w:t xml:space="preserve"> keine unerlaubten Geschäfte getätigt werden und geht </w:t>
            </w:r>
            <w:r w:rsidR="00B248A1" w:rsidRPr="006457E5">
              <w:t xml:space="preserve">unter Berücksichtigung des Art. 9 VVG </w:t>
            </w:r>
            <w:r w:rsidRPr="006457E5">
              <w:t xml:space="preserve">darauf ein, welche Tätigkeiten nach Art. 3 Abs. 1 </w:t>
            </w:r>
            <w:r w:rsidR="004044F7" w:rsidRPr="006457E5">
              <w:t xml:space="preserve">VVG </w:t>
            </w:r>
            <w:r w:rsidRPr="006457E5">
              <w:t>tatsächlich ausgeführt werden</w:t>
            </w:r>
            <w:r w:rsidR="00B711CE" w:rsidRPr="006457E5">
              <w:t xml:space="preserve"> bzw. seit mehr als </w:t>
            </w:r>
            <w:r w:rsidR="00CC2854">
              <w:t>sechs</w:t>
            </w:r>
            <w:r w:rsidR="00B711CE" w:rsidRPr="006457E5">
              <w:t xml:space="preserve"> Monaten nicht ausgeführt werden</w:t>
            </w:r>
            <w:r w:rsidR="008630D5" w:rsidRPr="006457E5">
              <w:t xml:space="preserve"> (Art. 31</w:t>
            </w:r>
            <w:r w:rsidR="00304A18">
              <w:t xml:space="preserve"> Abs. 1 Bst. f </w:t>
            </w:r>
            <w:r w:rsidR="008630D5" w:rsidRPr="006457E5">
              <w:t>VVG)</w:t>
            </w:r>
            <w:r w:rsidR="00B711CE" w:rsidRPr="006457E5">
              <w:t xml:space="preserve">. </w:t>
            </w:r>
          </w:p>
          <w:p w14:paraId="20AC8250" w14:textId="2A97F5DF" w:rsidR="00DE00F3" w:rsidRPr="006457E5" w:rsidRDefault="00DE00F3" w:rsidP="004E14AA">
            <w:pPr>
              <w:pStyle w:val="FormatvorlageLinks0cm"/>
              <w:spacing w:after="0"/>
            </w:pPr>
            <w:r w:rsidRPr="006457E5">
              <w:t xml:space="preserve">Bei Heranziehung von Zweigniederlassungen und/oder vertraglich gebundenen Vermittlern nimmt die Revisionsstelle Bezug auf die von diesen </w:t>
            </w:r>
            <w:r w:rsidRPr="004E14AA">
              <w:rPr>
                <w:rStyle w:val="ui-provider"/>
                <w:rFonts w:eastAsiaTheme="majorEastAsia"/>
              </w:rPr>
              <w:t>angebotenen</w:t>
            </w:r>
            <w:r w:rsidRPr="006457E5">
              <w:t xml:space="preserve"> bzw. erbrachten Wertpapier- und Nebendienstleistungen.</w:t>
            </w:r>
          </w:p>
        </w:tc>
      </w:tr>
    </w:tbl>
    <w:p w14:paraId="1F6BD8E2" w14:textId="77777777" w:rsidR="0054158E" w:rsidRPr="006457E5" w:rsidRDefault="00AC2E5B" w:rsidP="00F32947">
      <w:pPr>
        <w:pStyle w:val="berschrift2"/>
        <w:spacing w:line="240" w:lineRule="auto"/>
      </w:pPr>
      <w:bookmarkStart w:id="115" w:name="_Toc525108284"/>
      <w:bookmarkStart w:id="116" w:name="_Toc525108499"/>
      <w:bookmarkStart w:id="117" w:name="_Toc525108714"/>
      <w:bookmarkStart w:id="118" w:name="_Toc525108922"/>
      <w:bookmarkStart w:id="119" w:name="_Toc525109112"/>
      <w:bookmarkStart w:id="120" w:name="_Toc525109294"/>
      <w:bookmarkStart w:id="121" w:name="_Toc525114665"/>
      <w:bookmarkStart w:id="122" w:name="_Toc525114845"/>
      <w:bookmarkStart w:id="123" w:name="_Toc525116233"/>
      <w:bookmarkStart w:id="124" w:name="_Toc525133313"/>
      <w:bookmarkStart w:id="125" w:name="_Toc525142987"/>
      <w:bookmarkStart w:id="126" w:name="_Toc526779429"/>
      <w:bookmarkStart w:id="127" w:name="_Toc526779641"/>
      <w:bookmarkStart w:id="128" w:name="_Toc526780111"/>
      <w:bookmarkStart w:id="129" w:name="_Toc525108292"/>
      <w:bookmarkStart w:id="130" w:name="_Toc525108507"/>
      <w:bookmarkStart w:id="131" w:name="_Toc525108722"/>
      <w:bookmarkStart w:id="132" w:name="_Toc525108930"/>
      <w:bookmarkStart w:id="133" w:name="_Toc525109120"/>
      <w:bookmarkStart w:id="134" w:name="_Toc525109302"/>
      <w:bookmarkStart w:id="135" w:name="_Toc525114673"/>
      <w:bookmarkStart w:id="136" w:name="_Toc525114853"/>
      <w:bookmarkStart w:id="137" w:name="_Toc525116241"/>
      <w:bookmarkStart w:id="138" w:name="_Toc525133321"/>
      <w:bookmarkStart w:id="139" w:name="_Toc525142995"/>
      <w:bookmarkStart w:id="140" w:name="_Toc526779437"/>
      <w:bookmarkStart w:id="141" w:name="_Toc526779649"/>
      <w:bookmarkStart w:id="142" w:name="_Toc526780119"/>
      <w:bookmarkStart w:id="143" w:name="_Toc525108302"/>
      <w:bookmarkStart w:id="144" w:name="_Toc525108517"/>
      <w:bookmarkStart w:id="145" w:name="_Toc525108732"/>
      <w:bookmarkStart w:id="146" w:name="_Toc525108940"/>
      <w:bookmarkStart w:id="147" w:name="_Toc525109130"/>
      <w:bookmarkStart w:id="148" w:name="_Toc525109312"/>
      <w:bookmarkStart w:id="149" w:name="_Toc525114683"/>
      <w:bookmarkStart w:id="150" w:name="_Toc525114863"/>
      <w:bookmarkStart w:id="151" w:name="_Toc525116251"/>
      <w:bookmarkStart w:id="152" w:name="_Toc525133331"/>
      <w:bookmarkStart w:id="153" w:name="_Toc525143005"/>
      <w:bookmarkStart w:id="154" w:name="_Toc526779447"/>
      <w:bookmarkStart w:id="155" w:name="_Toc526779659"/>
      <w:bookmarkStart w:id="156" w:name="_Toc526780129"/>
      <w:bookmarkStart w:id="157" w:name="_Toc160111755"/>
      <w:bookmarkStart w:id="158" w:name="_Toc185240915"/>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6457E5">
        <w:t>I</w:t>
      </w:r>
      <w:r w:rsidR="0054158E" w:rsidRPr="006457E5">
        <w:t>nländische Betriebsstätte und geeignete Organisation</w:t>
      </w:r>
      <w:bookmarkEnd w:id="157"/>
      <w:bookmarkEnd w:id="158"/>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2"/>
      </w:tblGrid>
      <w:tr w:rsidR="0054158E" w:rsidRPr="006457E5" w14:paraId="149278F1" w14:textId="77777777" w:rsidTr="00977387">
        <w:tc>
          <w:tcPr>
            <w:tcW w:w="12224" w:type="dxa"/>
            <w:tcBorders>
              <w:top w:val="nil"/>
              <w:left w:val="nil"/>
              <w:bottom w:val="nil"/>
              <w:right w:val="nil"/>
            </w:tcBorders>
            <w:shd w:val="clear" w:color="auto" w:fill="auto"/>
          </w:tcPr>
          <w:p w14:paraId="13333A69" w14:textId="677F1A85" w:rsidR="00372939" w:rsidRDefault="00372939" w:rsidP="004E14AA">
            <w:pPr>
              <w:pStyle w:val="FormatvorlageLinks0cm"/>
            </w:pPr>
            <w:r w:rsidRPr="006457E5">
              <w:t>Die Revisionsstelle stellt die Grundzüge der Organisation und internen Kontrollmechanismen dar. Sie nimmt zusammenfassend Stellung zur Angemessenheit der Organisation in den wesentlichen Geschäftsbereichen und der internen Kontrollmechanismen nach Art. 6 Abs.</w:t>
            </w:r>
            <w:r w:rsidR="0094351A" w:rsidRPr="006457E5">
              <w:t> </w:t>
            </w:r>
            <w:r w:rsidRPr="006457E5">
              <w:t xml:space="preserve">1 Ziff. c, Art. 7c VVG i.V.m. </w:t>
            </w:r>
            <w:r w:rsidR="00A1140A" w:rsidRPr="006457E5">
              <w:t>FMA-Mitteilung 2013/8</w:t>
            </w:r>
            <w:r w:rsidRPr="006457E5">
              <w:t xml:space="preserve">. </w:t>
            </w:r>
          </w:p>
          <w:p w14:paraId="3410DEA4" w14:textId="59626C5C" w:rsidR="004C0AC9" w:rsidRPr="006457E5" w:rsidRDefault="004C0AC9" w:rsidP="004E14AA">
            <w:pPr>
              <w:pStyle w:val="FormatvorlageLinks0cm"/>
              <w:rPr>
                <w:lang w:eastAsia="de-CH"/>
              </w:rPr>
            </w:pPr>
            <w:r w:rsidRPr="006457E5">
              <w:t xml:space="preserve">Die Revisionsstelle nimmt dazu Stellung, ob die Vorschriften zur internen </w:t>
            </w:r>
            <w:r w:rsidRPr="00CC2854">
              <w:rPr>
                <w:lang w:eastAsia="de-CH"/>
              </w:rPr>
              <w:t>Unternehmensführung gem</w:t>
            </w:r>
            <w:r>
              <w:rPr>
                <w:lang w:eastAsia="de-CH"/>
              </w:rPr>
              <w:t>äss</w:t>
            </w:r>
            <w:r w:rsidRPr="00CC2854">
              <w:rPr>
                <w:lang w:eastAsia="de-CH"/>
              </w:rPr>
              <w:t xml:space="preserve"> Art</w:t>
            </w:r>
            <w:r>
              <w:rPr>
                <w:lang w:eastAsia="de-CH"/>
              </w:rPr>
              <w:t>.</w:t>
            </w:r>
            <w:r w:rsidRPr="00CC2854">
              <w:rPr>
                <w:lang w:eastAsia="de-CH"/>
              </w:rPr>
              <w:t xml:space="preserve"> 29b VVG eingehalten sind</w:t>
            </w:r>
            <w:r>
              <w:rPr>
                <w:lang w:eastAsia="de-CH"/>
              </w:rPr>
              <w:t xml:space="preserve"> und </w:t>
            </w:r>
            <w:r w:rsidRPr="006457E5">
              <w:t>beurteilt zudem die Wahrnehmung der Kontrollen durch die Geschäftsleitung und den Verwaltungsrat.</w:t>
            </w:r>
          </w:p>
          <w:p w14:paraId="5A083E49" w14:textId="7BEA3027" w:rsidR="0054158E" w:rsidRPr="006457E5" w:rsidRDefault="0054158E" w:rsidP="004E14AA">
            <w:pPr>
              <w:pStyle w:val="FormatvorlageLinks0cm"/>
            </w:pPr>
            <w:r w:rsidRPr="006457E5">
              <w:t>Weiter nimmt die Revisionsstelle Stellung zur Ressourcenausstattung der VVGes</w:t>
            </w:r>
            <w:r w:rsidR="00E205C2" w:rsidRPr="006457E5">
              <w:t xml:space="preserve">. Sie beurteilt, ob die Organisation sowie die </w:t>
            </w:r>
            <w:r w:rsidRPr="006457E5">
              <w:t>verfügbaren Kompetenzen und Fähigkeiten angemessen sind</w:t>
            </w:r>
            <w:r w:rsidR="000E77ED" w:rsidRPr="006457E5">
              <w:t xml:space="preserve">, sofern </w:t>
            </w:r>
            <w:r w:rsidR="00B714E6" w:rsidRPr="006457E5">
              <w:t>die</w:t>
            </w:r>
            <w:r w:rsidR="000E77ED" w:rsidRPr="006457E5">
              <w:t xml:space="preserve"> betroffenen Personen keiner Bewilligungspflicht unterliegen.</w:t>
            </w:r>
            <w:r w:rsidR="00E205C2" w:rsidRPr="006457E5">
              <w:t xml:space="preserve"> Dabei wird die </w:t>
            </w:r>
            <w:r w:rsidR="00E205C2" w:rsidRPr="006457E5">
              <w:rPr>
                <w:lang w:val="de-CH"/>
              </w:rPr>
              <w:t>wirksame Einbeziehung von Nachhaltigkeitsrisiken berücksichtigt.</w:t>
            </w:r>
          </w:p>
          <w:p w14:paraId="49D1E6DD" w14:textId="5CBEE969" w:rsidR="005C6461" w:rsidRPr="00CC2854" w:rsidRDefault="00B64147" w:rsidP="004E14AA">
            <w:pPr>
              <w:pStyle w:val="FormatvorlageLinks0cm"/>
              <w:spacing w:after="0"/>
            </w:pPr>
            <w:r w:rsidRPr="006457E5">
              <w:t>Bei Heranziehung von Zweigniederlassungen und/oder vertraglich gebundenen Vermittlern prüft die Revisionsstelle die Angemessenheit der Organisationsstruktur inkl</w:t>
            </w:r>
            <w:r w:rsidR="00283DF4">
              <w:t>usive</w:t>
            </w:r>
            <w:r w:rsidRPr="006457E5">
              <w:t xml:space="preserve"> Berichtslinie</w:t>
            </w:r>
            <w:r w:rsidR="00DE00F3" w:rsidRPr="006457E5">
              <w:t>n sowie die Einhaltung des Art. 23 VVG in Bezug auf vertraglich gebundene Vermittler</w:t>
            </w:r>
            <w:r w:rsidR="00613263" w:rsidRPr="006457E5">
              <w:t xml:space="preserve">. </w:t>
            </w:r>
          </w:p>
        </w:tc>
      </w:tr>
    </w:tbl>
    <w:p w14:paraId="5236620F" w14:textId="77777777" w:rsidR="008553FA" w:rsidRPr="006457E5" w:rsidRDefault="008553FA" w:rsidP="008553FA">
      <w:pPr>
        <w:pStyle w:val="berschrift2"/>
        <w:spacing w:line="240" w:lineRule="auto"/>
      </w:pPr>
      <w:bookmarkStart w:id="159" w:name="_Toc160111756"/>
      <w:bookmarkStart w:id="160" w:name="_Toc185240916"/>
      <w:r w:rsidRPr="006457E5">
        <w:t>Bewilligungs- und meldepflichtige Änderungen</w:t>
      </w:r>
      <w:bookmarkEnd w:id="159"/>
      <w:bookmarkEnd w:id="160"/>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2"/>
      </w:tblGrid>
      <w:tr w:rsidR="008553FA" w:rsidRPr="006457E5" w14:paraId="7DBBB689" w14:textId="77777777" w:rsidTr="00977387">
        <w:tc>
          <w:tcPr>
            <w:tcW w:w="12224" w:type="dxa"/>
            <w:tcBorders>
              <w:top w:val="nil"/>
              <w:left w:val="nil"/>
              <w:bottom w:val="nil"/>
              <w:right w:val="nil"/>
            </w:tcBorders>
            <w:shd w:val="clear" w:color="auto" w:fill="auto"/>
          </w:tcPr>
          <w:p w14:paraId="6605B9A6" w14:textId="230D4374" w:rsidR="00CC2854" w:rsidRDefault="008553FA" w:rsidP="004E14AA">
            <w:pPr>
              <w:pStyle w:val="FormatvorlageLinks0cm"/>
            </w:pPr>
            <w:bookmarkStart w:id="161" w:name="_Hlk76398512"/>
            <w:r w:rsidRPr="006457E5">
              <w:t xml:space="preserve">Die Revisionsstelle nimmt Stellung, ob im Berichtsjahr bewilligungs- und meldepflichtige Ereignisse nach Art. 10 VVG vorlagen und die gesetzliche Pflicht eingehalten wurde. </w:t>
            </w:r>
          </w:p>
          <w:p w14:paraId="0B5CAF3F" w14:textId="3DE7A96F" w:rsidR="00202A92" w:rsidRPr="006457E5" w:rsidRDefault="008553FA" w:rsidP="004E14AA">
            <w:pPr>
              <w:pStyle w:val="FormatvorlageLinks0cm"/>
              <w:spacing w:after="0"/>
            </w:pPr>
            <w:r w:rsidRPr="006457E5">
              <w:t xml:space="preserve">Dabei </w:t>
            </w:r>
            <w:r w:rsidR="005D5ABE" w:rsidRPr="006457E5">
              <w:t xml:space="preserve">sind </w:t>
            </w:r>
            <w:r w:rsidRPr="006457E5">
              <w:t xml:space="preserve">auch Art. </w:t>
            </w:r>
            <w:r w:rsidRPr="00CC2854">
              <w:t>10a V</w:t>
            </w:r>
            <w:r w:rsidRPr="006457E5">
              <w:t>VG</w:t>
            </w:r>
            <w:r w:rsidR="00B711CE" w:rsidRPr="006457E5">
              <w:t xml:space="preserve">, </w:t>
            </w:r>
            <w:r w:rsidR="00CC2854" w:rsidRPr="00CC2854">
              <w:t>Art. 58g Abs. 2 VVG und</w:t>
            </w:r>
            <w:r w:rsidR="00CC2854" w:rsidRPr="006457E5">
              <w:t xml:space="preserve"> </w:t>
            </w:r>
            <w:r w:rsidR="00CC2854" w:rsidRPr="00CC2854">
              <w:t>Art. 12 Abs. 3 IFR</w:t>
            </w:r>
            <w:r w:rsidR="00E21F02">
              <w:t xml:space="preserve"> </w:t>
            </w:r>
            <w:r w:rsidRPr="006457E5">
              <w:t>zu berücksichtigen</w:t>
            </w:r>
            <w:r w:rsidR="00205318" w:rsidRPr="006457E5">
              <w:t>, wobei die relevanten Schwellenwerte nach Art. 12 IFR zum Stichtag 31. Dezember der Höhe nach anzuführen sind</w:t>
            </w:r>
            <w:r w:rsidR="004C0AC9">
              <w:t>.</w:t>
            </w:r>
          </w:p>
        </w:tc>
      </w:tr>
    </w:tbl>
    <w:p w14:paraId="25569DE2" w14:textId="64E47F77" w:rsidR="00096148" w:rsidRPr="006457E5" w:rsidRDefault="0079364F" w:rsidP="000B1EF0">
      <w:pPr>
        <w:pStyle w:val="berschrift1"/>
        <w:spacing w:after="0" w:line="240" w:lineRule="auto"/>
      </w:pPr>
      <w:bookmarkStart w:id="162" w:name="_Toc170123221"/>
      <w:bookmarkStart w:id="163" w:name="_Toc170123222"/>
      <w:bookmarkStart w:id="164" w:name="_Toc170123223"/>
      <w:bookmarkStart w:id="165" w:name="_Toc170123224"/>
      <w:bookmarkStart w:id="166" w:name="_Toc140073135"/>
      <w:bookmarkStart w:id="167" w:name="_Toc146540919"/>
      <w:bookmarkStart w:id="168" w:name="_Toc160111757"/>
      <w:bookmarkStart w:id="169" w:name="_Toc185240917"/>
      <w:bookmarkEnd w:id="161"/>
      <w:bookmarkEnd w:id="162"/>
      <w:bookmarkEnd w:id="163"/>
      <w:bookmarkEnd w:id="164"/>
      <w:bookmarkEnd w:id="165"/>
      <w:bookmarkEnd w:id="166"/>
      <w:bookmarkEnd w:id="167"/>
      <w:r w:rsidRPr="006457E5">
        <w:lastRenderedPageBreak/>
        <w:t>Pflichten der Vermögensverwaltungsgesellschaft</w:t>
      </w:r>
      <w:bookmarkEnd w:id="168"/>
      <w:bookmarkEnd w:id="169"/>
    </w:p>
    <w:p w14:paraId="4439C826" w14:textId="77777777" w:rsidR="008A184C" w:rsidRPr="006457E5" w:rsidRDefault="006C53A6" w:rsidP="000B1EF0">
      <w:pPr>
        <w:pStyle w:val="berschrift2"/>
        <w:spacing w:line="240" w:lineRule="auto"/>
      </w:pPr>
      <w:bookmarkStart w:id="170" w:name="_Toc525108307"/>
      <w:bookmarkStart w:id="171" w:name="_Toc525108522"/>
      <w:bookmarkStart w:id="172" w:name="_Toc525108737"/>
      <w:bookmarkStart w:id="173" w:name="_Toc525108945"/>
      <w:bookmarkStart w:id="174" w:name="_Toc525109135"/>
      <w:bookmarkStart w:id="175" w:name="_Toc525109317"/>
      <w:bookmarkStart w:id="176" w:name="_Toc525114688"/>
      <w:bookmarkStart w:id="177" w:name="_Toc525114868"/>
      <w:bookmarkStart w:id="178" w:name="_Toc525116256"/>
      <w:bookmarkStart w:id="179" w:name="_Toc525133336"/>
      <w:bookmarkStart w:id="180" w:name="_Toc525143010"/>
      <w:bookmarkStart w:id="181" w:name="_Toc526779453"/>
      <w:bookmarkStart w:id="182" w:name="_Toc526779665"/>
      <w:bookmarkStart w:id="183" w:name="_Toc526780135"/>
      <w:bookmarkStart w:id="184" w:name="_Toc140073137"/>
      <w:bookmarkStart w:id="185" w:name="_Toc173423601"/>
      <w:bookmarkStart w:id="186" w:name="_Toc173427322"/>
      <w:bookmarkStart w:id="187" w:name="_Toc178594360"/>
      <w:bookmarkStart w:id="188" w:name="_Toc179462586"/>
      <w:bookmarkStart w:id="189" w:name="_Toc170123228"/>
      <w:bookmarkStart w:id="190" w:name="_Toc170475488"/>
      <w:bookmarkStart w:id="191" w:name="_Toc173423635"/>
      <w:bookmarkStart w:id="192" w:name="_Toc173427363"/>
      <w:bookmarkStart w:id="193" w:name="_Toc173427364"/>
      <w:bookmarkStart w:id="194" w:name="_Toc170123230"/>
      <w:bookmarkStart w:id="195" w:name="_Toc170123231"/>
      <w:bookmarkStart w:id="196" w:name="_Toc160111761"/>
      <w:bookmarkStart w:id="197" w:name="_Toc185240918"/>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6457E5">
        <w:t>Organisatorische</w:t>
      </w:r>
      <w:r w:rsidR="00CC19AB" w:rsidRPr="006457E5">
        <w:t xml:space="preserve"> Anforderungen</w:t>
      </w:r>
      <w:bookmarkEnd w:id="196"/>
      <w:bookmarkEnd w:id="197"/>
    </w:p>
    <w:p w14:paraId="610ED9B6" w14:textId="7BC3573A" w:rsidR="00CC19AB" w:rsidRPr="006457E5" w:rsidRDefault="00CC19AB" w:rsidP="00F32947">
      <w:pPr>
        <w:pStyle w:val="berschrift3"/>
        <w:tabs>
          <w:tab w:val="clear" w:pos="993"/>
          <w:tab w:val="num" w:pos="709"/>
        </w:tabs>
        <w:spacing w:line="240" w:lineRule="auto"/>
        <w:ind w:left="992" w:hanging="992"/>
      </w:pPr>
      <w:bookmarkStart w:id="198" w:name="_Toc166662474"/>
      <w:bookmarkStart w:id="199" w:name="_Toc170111737"/>
      <w:bookmarkStart w:id="200" w:name="_Toc170123233"/>
      <w:bookmarkStart w:id="201" w:name="_Toc160111762"/>
      <w:bookmarkStart w:id="202" w:name="_Toc185240919"/>
      <w:bookmarkEnd w:id="198"/>
      <w:bookmarkEnd w:id="199"/>
      <w:bookmarkEnd w:id="200"/>
      <w:r w:rsidRPr="006457E5">
        <w:t>Risikomanagement-Funktion</w:t>
      </w:r>
      <w:bookmarkEnd w:id="201"/>
      <w:bookmarkEnd w:id="202"/>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CC19AB" w:rsidRPr="006457E5" w14:paraId="24283374" w14:textId="77777777" w:rsidTr="009770AA">
        <w:tc>
          <w:tcPr>
            <w:tcW w:w="12191" w:type="dxa"/>
            <w:tcBorders>
              <w:top w:val="nil"/>
              <w:left w:val="nil"/>
              <w:bottom w:val="nil"/>
              <w:right w:val="nil"/>
            </w:tcBorders>
            <w:shd w:val="clear" w:color="auto" w:fill="auto"/>
          </w:tcPr>
          <w:p w14:paraId="68DE04A5" w14:textId="51ADAD9D" w:rsidR="000B57CA" w:rsidRPr="006457E5" w:rsidRDefault="00CC19AB" w:rsidP="004E14AA">
            <w:pPr>
              <w:pStyle w:val="FormatvorlageLinks0cm"/>
            </w:pPr>
            <w:r w:rsidRPr="006457E5">
              <w:t xml:space="preserve">Die Revisionsstelle </w:t>
            </w:r>
            <w:r w:rsidR="009462BF" w:rsidRPr="006457E5">
              <w:t xml:space="preserve">beschreibt die Grundsätze der Risikomanagement-Funktion und </w:t>
            </w:r>
            <w:r w:rsidRPr="006457E5">
              <w:t>ni</w:t>
            </w:r>
            <w:r w:rsidR="009462BF" w:rsidRPr="006457E5">
              <w:t>mmt Stellung zur Ausgestaltung</w:t>
            </w:r>
            <w:r w:rsidRPr="006457E5">
              <w:t xml:space="preserve"> nach </w:t>
            </w:r>
            <w:r w:rsidR="004B76A0" w:rsidRPr="006457E5">
              <w:t>Art</w:t>
            </w:r>
            <w:r w:rsidR="004B76A0" w:rsidRPr="00A964C7">
              <w:t>.</w:t>
            </w:r>
            <w:r w:rsidR="004B76A0" w:rsidRPr="006457E5">
              <w:t xml:space="preserve"> 23 </w:t>
            </w:r>
            <w:r w:rsidR="004B76A0" w:rsidRPr="00A964C7">
              <w:t xml:space="preserve">der Delegierte Verordnung </w:t>
            </w:r>
            <w:r w:rsidR="004B76A0" w:rsidRPr="00395058">
              <w:t xml:space="preserve">(EU) </w:t>
            </w:r>
            <w:r w:rsidR="004B76A0" w:rsidRPr="006457E5">
              <w:t>2017/565</w:t>
            </w:r>
            <w:r w:rsidR="004B76A0" w:rsidRPr="00A964C7">
              <w:t xml:space="preserve"> unter Berücksichtigung der </w:t>
            </w:r>
            <w:r w:rsidR="00A1140A" w:rsidRPr="006457E5">
              <w:t>FMA-Mitteilung 2013/8</w:t>
            </w:r>
            <w:r w:rsidRPr="006457E5">
              <w:t xml:space="preserve">. </w:t>
            </w:r>
          </w:p>
          <w:p w14:paraId="1521D218" w14:textId="39C4B0CF" w:rsidR="000B57CA" w:rsidRPr="006457E5" w:rsidRDefault="004B76A0" w:rsidP="004E14AA">
            <w:pPr>
              <w:pStyle w:val="FormatvorlageLinks0cm"/>
            </w:pPr>
            <w:r w:rsidRPr="006457E5">
              <w:t>Sie beurteilt</w:t>
            </w:r>
            <w:r w:rsidR="003C647F" w:rsidRPr="006457E5">
              <w:t xml:space="preserve">, ob die </w:t>
            </w:r>
            <w:r w:rsidR="004C0AC9">
              <w:t>VVGes</w:t>
            </w:r>
            <w:r w:rsidR="003C647F" w:rsidRPr="00A964C7">
              <w:t xml:space="preserve"> über solide Strategien, Grundsätze, Verfahren und Systeme </w:t>
            </w:r>
            <w:r w:rsidR="003C647F" w:rsidRPr="006457E5">
              <w:t xml:space="preserve">nach Art. 29e VVG </w:t>
            </w:r>
            <w:r w:rsidR="003C647F" w:rsidRPr="00A964C7">
              <w:t>verfüg</w:t>
            </w:r>
            <w:r w:rsidR="003C647F" w:rsidRPr="006457E5">
              <w:t>t. Sofern anwendbar</w:t>
            </w:r>
            <w:r w:rsidR="00183CB0" w:rsidRPr="00A964C7">
              <w:t>,</w:t>
            </w:r>
            <w:r w:rsidR="003C647F" w:rsidRPr="006457E5">
              <w:t xml:space="preserve"> beurteilt sie, </w:t>
            </w:r>
            <w:r w:rsidR="0010363E" w:rsidRPr="00A964C7">
              <w:t xml:space="preserve">ob das Leitungsorgan </w:t>
            </w:r>
            <w:r w:rsidR="00667211" w:rsidRPr="00A964C7">
              <w:t xml:space="preserve">seinen Verpflichtungen </w:t>
            </w:r>
            <w:r w:rsidR="0014217A" w:rsidRPr="00A964C7">
              <w:rPr>
                <w:lang w:eastAsia="de-CH"/>
              </w:rPr>
              <w:t xml:space="preserve">im Risikomanagement </w:t>
            </w:r>
            <w:r w:rsidR="003C647F" w:rsidRPr="00A964C7">
              <w:t>nach Art. 29d VVG</w:t>
            </w:r>
            <w:r w:rsidR="00667211" w:rsidRPr="00A964C7">
              <w:t xml:space="preserve"> nachkommt</w:t>
            </w:r>
            <w:r w:rsidR="003C647F" w:rsidRPr="00A964C7">
              <w:t>.</w:t>
            </w:r>
          </w:p>
          <w:p w14:paraId="11C2F8C8" w14:textId="258AFCCC" w:rsidR="00CC19AB" w:rsidRPr="006457E5" w:rsidRDefault="00CC19AB" w:rsidP="004E14AA">
            <w:pPr>
              <w:pStyle w:val="FormatvorlageLinks0cm"/>
            </w:pPr>
            <w:r w:rsidRPr="006457E5">
              <w:t xml:space="preserve">Sie beurteilt, ob die Risikomanagement-Funktion den komplexen Verhältnissen (komplexe Anlagestrategien oder andere besondere Risiken) genügen kann, hinsichtlich Identifikation, Messung, Bewirtschaftung und Überwachung der Risiken sowie der Einhaltung der einschlägigen Bestimmungen. </w:t>
            </w:r>
          </w:p>
          <w:p w14:paraId="7FCEC614" w14:textId="2278D388" w:rsidR="00CC19AB" w:rsidRPr="006457E5" w:rsidRDefault="00CC19AB" w:rsidP="004E14AA">
            <w:pPr>
              <w:pStyle w:val="FormatvorlageLinks0cm"/>
            </w:pPr>
            <w:r w:rsidRPr="006457E5">
              <w:t>Die Revisionsstelle beurteilt</w:t>
            </w:r>
            <w:r w:rsidR="006F6C90" w:rsidRPr="006457E5">
              <w:t>, unter Berücksichtigung der Art und Komplexität der betriebenen Geschäfte,</w:t>
            </w:r>
            <w:r w:rsidRPr="006457E5">
              <w:t xml:space="preserve"> die Organisation, die Ressourcen sowie die Qualität der Arbeit. In diesem Zusammenhang prüft die Revisionsstelle die Handhabung von Cross-Border-Risiken (FMA-Mitteilung 2015/3) und nimmt hierzu Stellung</w:t>
            </w:r>
            <w:r w:rsidR="00745A8F" w:rsidRPr="006457E5">
              <w:t>.</w:t>
            </w:r>
          </w:p>
          <w:p w14:paraId="69231CF1" w14:textId="0EEA4D82" w:rsidR="00A52364" w:rsidRPr="006457E5" w:rsidRDefault="00A52364" w:rsidP="004E14AA">
            <w:pPr>
              <w:pStyle w:val="FormatvorlageLinks0cm"/>
            </w:pPr>
            <w:r w:rsidRPr="006457E5">
              <w:t>Dabei prüft sie auch, dass die Risikomanagement-Funktion Nachhaltigkeitsfaktoren in ihrer Bewertung und Überwachung angemessen miteinbezieht und die Offenlegung betreffend die Strategien für den Umgang mit Nachhaltigkeitsrisiken nach Art. 3 Verordnung (EU)</w:t>
            </w:r>
            <w:r w:rsidR="00373B94">
              <w:t> </w:t>
            </w:r>
            <w:r w:rsidRPr="006457E5">
              <w:t>2019/2088 den implementierten Verfahren entspricht.</w:t>
            </w:r>
          </w:p>
          <w:p w14:paraId="087E66BB" w14:textId="77777777" w:rsidR="00CC19AB" w:rsidRPr="006457E5" w:rsidRDefault="00CC19AB" w:rsidP="004E14AA">
            <w:pPr>
              <w:pStyle w:val="FormatvorlageLinks0cm"/>
            </w:pPr>
            <w:r w:rsidRPr="006457E5">
              <w:t xml:space="preserve">Erfolgt eine Delegation der Risikomanagement-Funktion ist die zuständige Person (ausführende Person) beim Delegationsnehmer zu benennen. Weiter ist anzugeben, wer bei der </w:t>
            </w:r>
            <w:r w:rsidR="00F97F83" w:rsidRPr="006457E5">
              <w:t xml:space="preserve">VVGes </w:t>
            </w:r>
            <w:r w:rsidRPr="006457E5">
              <w:t xml:space="preserve">für die Überwachung der Delegation zuständig ist. </w:t>
            </w:r>
          </w:p>
          <w:p w14:paraId="1AA1FC0D" w14:textId="77777777" w:rsidR="0087542E" w:rsidRPr="006457E5" w:rsidRDefault="0087542E">
            <w:pPr>
              <w:pStyle w:val="Textkrper2"/>
              <w:spacing w:after="0" w:line="240" w:lineRule="auto"/>
            </w:pPr>
            <w:r w:rsidRPr="006457E5">
              <w:t>Die Einhaltung der Vorschriften bei Delegationen ist zu prüfen.</w:t>
            </w:r>
          </w:p>
          <w:p w14:paraId="534F4C1F" w14:textId="7F73193F" w:rsidR="000B57CA" w:rsidRPr="006457E5" w:rsidRDefault="00CC19AB">
            <w:pPr>
              <w:pStyle w:val="Textkrper2"/>
              <w:spacing w:after="0" w:line="240" w:lineRule="auto"/>
              <w:rPr>
                <w:rFonts w:cs="Arial"/>
              </w:rPr>
            </w:pPr>
            <w:r w:rsidRPr="006457E5">
              <w:rPr>
                <w:rFonts w:cs="Arial"/>
              </w:rPr>
              <w:t xml:space="preserve">Zur Beurteilung der Angemessenheit der </w:t>
            </w:r>
            <w:r w:rsidRPr="006457E5">
              <w:t xml:space="preserve">Risikomanagement-Funktion </w:t>
            </w:r>
            <w:r w:rsidRPr="006457E5">
              <w:rPr>
                <w:rFonts w:cs="Arial"/>
              </w:rPr>
              <w:t>kann sich die Revisionsstelle auf die Arbeit der Revisionsstelle des Delegationsnehmers stützen. Dies ersetzt jedoch nicht die abschliessende Beurteilung der Angemessenheit hinsichtlich Organisation und Ressourcen sowie Qualität der Arbeit</w:t>
            </w:r>
            <w:r w:rsidR="00026968" w:rsidRPr="006457E5">
              <w:rPr>
                <w:rFonts w:cs="Arial"/>
              </w:rPr>
              <w:t xml:space="preserve"> der Funktion</w:t>
            </w:r>
            <w:r w:rsidRPr="006457E5">
              <w:rPr>
                <w:rFonts w:cs="Arial"/>
              </w:rPr>
              <w:t>.</w:t>
            </w:r>
          </w:p>
        </w:tc>
      </w:tr>
    </w:tbl>
    <w:p w14:paraId="354ABC16" w14:textId="77777777" w:rsidR="00D85F0D" w:rsidRPr="006457E5" w:rsidRDefault="00D85F0D">
      <w:pPr>
        <w:pStyle w:val="berschrift3"/>
        <w:tabs>
          <w:tab w:val="clear" w:pos="993"/>
          <w:tab w:val="num" w:pos="709"/>
        </w:tabs>
        <w:spacing w:line="240" w:lineRule="auto"/>
        <w:ind w:left="992" w:hanging="992"/>
      </w:pPr>
      <w:bookmarkStart w:id="203" w:name="_Toc160111763"/>
      <w:bookmarkStart w:id="204" w:name="_Toc185240920"/>
      <w:r w:rsidRPr="006457E5">
        <w:t>Compliance-Funktion</w:t>
      </w:r>
      <w:bookmarkEnd w:id="203"/>
      <w:bookmarkEnd w:id="204"/>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CC19AB" w:rsidRPr="006457E5" w14:paraId="021B7C13" w14:textId="77777777" w:rsidTr="009770AA">
        <w:tc>
          <w:tcPr>
            <w:tcW w:w="12191" w:type="dxa"/>
            <w:tcBorders>
              <w:top w:val="nil"/>
              <w:left w:val="nil"/>
              <w:bottom w:val="nil"/>
              <w:right w:val="nil"/>
            </w:tcBorders>
            <w:shd w:val="clear" w:color="auto" w:fill="auto"/>
          </w:tcPr>
          <w:p w14:paraId="0F1E74C2" w14:textId="66B91B76" w:rsidR="00CC19AB" w:rsidRPr="006457E5" w:rsidRDefault="006F6C90" w:rsidP="004E14AA">
            <w:pPr>
              <w:pStyle w:val="FormatvorlageLinks0cm"/>
            </w:pPr>
            <w:r w:rsidRPr="006457E5">
              <w:t xml:space="preserve">Die Revisionsstelle nimmt, unter Berücksichtigung der Art und Komplexität der betriebenen Geschäfte, </w:t>
            </w:r>
            <w:r w:rsidR="00CC19AB" w:rsidRPr="006457E5">
              <w:t xml:space="preserve">Stellung zur angemessenen Ausgestaltung der Compliance-Funktion gemäss </w:t>
            </w:r>
            <w:r w:rsidR="00FC2E63" w:rsidRPr="004F08EC">
              <w:t>Art. 22 der Delegierte Verordnung (EU)</w:t>
            </w:r>
            <w:r w:rsidR="00FC2E63" w:rsidRPr="004F08EC">
              <w:rPr>
                <w:sz w:val="18"/>
              </w:rPr>
              <w:t xml:space="preserve"> </w:t>
            </w:r>
            <w:r w:rsidR="00FC2E63" w:rsidRPr="004F08EC">
              <w:t>2017/565 unter Berücksichtigung der FMA-Mitteilung 2013/8</w:t>
            </w:r>
            <w:r w:rsidR="00FC2E63" w:rsidRPr="006457E5">
              <w:t xml:space="preserve"> </w:t>
            </w:r>
            <w:r w:rsidR="00CC19AB" w:rsidRPr="006457E5">
              <w:t xml:space="preserve">hinsichtlich Organisation und Ressourcen sowie zur Qualität der Arbeit. In diesem Zusammenhang wird auf die ESMA-Leitlinie zu einigen Aspekten der MiFID-Anforderungen an die Compliance-Funktion, welche die FMA für </w:t>
            </w:r>
            <w:r w:rsidR="00BC37CD" w:rsidRPr="006457E5">
              <w:t>c</w:t>
            </w:r>
            <w:r w:rsidR="00CC19AB" w:rsidRPr="006457E5">
              <w:t>omply erklärt hat, verwiesen.</w:t>
            </w:r>
          </w:p>
          <w:p w14:paraId="126B4FDA" w14:textId="77777777" w:rsidR="00CC19AB" w:rsidRPr="006457E5" w:rsidRDefault="00CC19AB" w:rsidP="004E14AA">
            <w:pPr>
              <w:pStyle w:val="FormatvorlageLinks0cm"/>
            </w:pPr>
            <w:r w:rsidRPr="006457E5">
              <w:lastRenderedPageBreak/>
              <w:t xml:space="preserve">Erfolgt eine Delegation der Compliance-Funktion ist die zuständige Person (ausführende Person) beim Delegationsnehmer zu benennen. Weiter ist anzugeben, wer bei der VVGes für die Überwachung der Delegation zuständig ist. </w:t>
            </w:r>
          </w:p>
          <w:p w14:paraId="579CBFFB" w14:textId="77777777" w:rsidR="00295500" w:rsidRPr="006457E5" w:rsidRDefault="00295500" w:rsidP="009770AA">
            <w:pPr>
              <w:pStyle w:val="Textkrper2"/>
              <w:spacing w:after="0" w:line="240" w:lineRule="auto"/>
              <w:rPr>
                <w:rFonts w:cs="Arial"/>
              </w:rPr>
            </w:pPr>
            <w:r w:rsidRPr="006457E5">
              <w:rPr>
                <w:rFonts w:cs="Arial"/>
              </w:rPr>
              <w:t>Die Einhaltung der Vorschriften bei Delegationen ist zu prüfen.</w:t>
            </w:r>
          </w:p>
          <w:p w14:paraId="337DF48C" w14:textId="27ED1D43" w:rsidR="004B20D8" w:rsidRPr="006457E5" w:rsidRDefault="00CC19AB" w:rsidP="009770AA">
            <w:pPr>
              <w:pStyle w:val="Textkrper2"/>
              <w:spacing w:after="0" w:line="240" w:lineRule="auto"/>
              <w:rPr>
                <w:rFonts w:cs="Arial"/>
              </w:rPr>
            </w:pPr>
            <w:r w:rsidRPr="006457E5">
              <w:rPr>
                <w:rFonts w:cs="Arial"/>
              </w:rPr>
              <w:t>Zur Beurteilung der Angemessenheit der Compliance-Funktion kann sich die Revisionsstelle auf die Arbeit der Revisionsstelle des Delegationsnehmers stützen. Dies ersetzt jedoch nicht die abschliessende Beurteilung der Angemessenheit hinsichtlich Organisation und Ressourcen sowie Qualität der Arbeit</w:t>
            </w:r>
            <w:r w:rsidR="00026968" w:rsidRPr="006457E5">
              <w:rPr>
                <w:rFonts w:cs="Arial"/>
              </w:rPr>
              <w:t xml:space="preserve"> der Funktion</w:t>
            </w:r>
            <w:r w:rsidRPr="006457E5">
              <w:rPr>
                <w:rFonts w:cs="Arial"/>
              </w:rPr>
              <w:t>.</w:t>
            </w:r>
          </w:p>
        </w:tc>
      </w:tr>
    </w:tbl>
    <w:p w14:paraId="737396E0" w14:textId="602AEDE7" w:rsidR="00CC19AB" w:rsidRPr="006457E5" w:rsidRDefault="0094351A" w:rsidP="00F32947">
      <w:pPr>
        <w:pStyle w:val="berschrift3"/>
        <w:tabs>
          <w:tab w:val="clear" w:pos="993"/>
          <w:tab w:val="num" w:pos="709"/>
        </w:tabs>
        <w:spacing w:line="240" w:lineRule="auto"/>
        <w:ind w:left="992" w:hanging="992"/>
      </w:pPr>
      <w:bookmarkStart w:id="205" w:name="_Toc160111764"/>
      <w:bookmarkStart w:id="206" w:name="_Toc185240921"/>
      <w:r w:rsidRPr="006457E5">
        <w:rPr>
          <w:rStyle w:val="FormatvorlageFormatvorlageberschrift7KursivTimesNewRomanNichtKuChar"/>
          <w:rFonts w:eastAsiaTheme="majorEastAsia"/>
          <w:i w:val="0"/>
        </w:rPr>
        <w:lastRenderedPageBreak/>
        <w:t>Innenrevisionsfunktion</w:t>
      </w:r>
      <w:bookmarkEnd w:id="205"/>
      <w:bookmarkEnd w:id="206"/>
      <w:r w:rsidRPr="006457E5">
        <w:rPr>
          <w:rStyle w:val="FormatvorlageFormatvorlageberschrift7KursivTimesNewRomanNichtKuChar"/>
          <w:rFonts w:eastAsiaTheme="majorEastAsia"/>
          <w:i w:val="0"/>
        </w:rPr>
        <w:t xml:space="preserve"> </w:t>
      </w:r>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CC19AB" w:rsidRPr="006457E5" w14:paraId="1FA466ED" w14:textId="77777777" w:rsidTr="009770AA">
        <w:tc>
          <w:tcPr>
            <w:tcW w:w="12191" w:type="dxa"/>
            <w:tcBorders>
              <w:top w:val="nil"/>
              <w:left w:val="nil"/>
              <w:bottom w:val="nil"/>
              <w:right w:val="nil"/>
            </w:tcBorders>
            <w:shd w:val="clear" w:color="auto" w:fill="auto"/>
          </w:tcPr>
          <w:p w14:paraId="34701580" w14:textId="77777777" w:rsidR="009462BF" w:rsidRPr="006457E5" w:rsidRDefault="00CC19AB" w:rsidP="004E14AA">
            <w:pPr>
              <w:pStyle w:val="FormatvorlageLinks0cm"/>
            </w:pPr>
            <w:r w:rsidRPr="006457E5">
              <w:t xml:space="preserve">Die Revisionsstelle hält die von der </w:t>
            </w:r>
            <w:r w:rsidR="00E00BB5" w:rsidRPr="006457E5">
              <w:t>Innenrevisionsfunktion</w:t>
            </w:r>
            <w:r w:rsidRPr="006457E5">
              <w:t xml:space="preserve"> durchgeführten Prüfungen fest und nimmt Stellung zu den wesentlichen Prüfergebnissen sowie den diesbezüglich von der VVGes getroffenen Massnahmen. </w:t>
            </w:r>
          </w:p>
          <w:p w14:paraId="4BED119B" w14:textId="31BEEC61" w:rsidR="00A81E20" w:rsidRPr="006457E5" w:rsidRDefault="00CC19AB" w:rsidP="004E14AA">
            <w:pPr>
              <w:pStyle w:val="FormatvorlageLinks0cm"/>
            </w:pPr>
            <w:r w:rsidRPr="006457E5">
              <w:t xml:space="preserve">Sie äussert sich ebenfalls zur Qualität der Arbeiten der </w:t>
            </w:r>
            <w:r w:rsidR="00E00BB5" w:rsidRPr="006457E5">
              <w:t xml:space="preserve">Innenrevisionsfunktion </w:t>
            </w:r>
            <w:r w:rsidRPr="006457E5">
              <w:t>sowie dazu, ob</w:t>
            </w:r>
            <w:r w:rsidR="00E00BB5" w:rsidRPr="006457E5">
              <w:t>, unter Berücksichtigung der Art und Komplexität der</w:t>
            </w:r>
            <w:r w:rsidR="00323DB4" w:rsidRPr="006457E5">
              <w:t xml:space="preserve"> von der VVGes</w:t>
            </w:r>
            <w:r w:rsidR="00E00BB5" w:rsidRPr="006457E5">
              <w:t xml:space="preserve"> betriebenen Geschäfte,</w:t>
            </w:r>
            <w:r w:rsidRPr="006457E5">
              <w:t xml:space="preserve"> die Organisation und die Ressourcen</w:t>
            </w:r>
            <w:r w:rsidR="00323DB4" w:rsidRPr="006457E5">
              <w:t xml:space="preserve"> der I</w:t>
            </w:r>
            <w:r w:rsidR="00E21F02">
              <w:t>nnenr</w:t>
            </w:r>
            <w:r w:rsidR="00323DB4" w:rsidRPr="006457E5">
              <w:t>evision</w:t>
            </w:r>
            <w:r w:rsidRPr="006457E5">
              <w:t xml:space="preserve"> den besonderen Anforderungen gemäss </w:t>
            </w:r>
            <w:r w:rsidR="00FC2E63" w:rsidRPr="004F08EC">
              <w:t>Art. 24 der Delegierte Verordnung (EU) 2017/565 unter Berücksichtigung der FMA-Mitteilung 2013/8</w:t>
            </w:r>
            <w:r w:rsidR="005A218D">
              <w:t xml:space="preserve"> </w:t>
            </w:r>
            <w:r w:rsidRPr="006457E5">
              <w:t xml:space="preserve">entsprechen. Sie erläutert dabei kurz die organisatorische Eingliederung und die personelle Zusammensetzung der </w:t>
            </w:r>
            <w:r w:rsidR="00E00BB5" w:rsidRPr="006457E5">
              <w:t xml:space="preserve">Innenrevisionsfunktion </w:t>
            </w:r>
            <w:r w:rsidRPr="006457E5">
              <w:t xml:space="preserve">und die Form der Zusammenarbeit mit der Revisionsstelle. </w:t>
            </w:r>
          </w:p>
          <w:p w14:paraId="26088721" w14:textId="77777777" w:rsidR="00CC19AB" w:rsidRPr="006457E5" w:rsidRDefault="00CC19AB" w:rsidP="004E14AA">
            <w:pPr>
              <w:pStyle w:val="FormatvorlageLinks0cm"/>
            </w:pPr>
            <w:r w:rsidRPr="006457E5">
              <w:t xml:space="preserve">Erfolgt eine Delegation der </w:t>
            </w:r>
            <w:r w:rsidR="00E00BB5" w:rsidRPr="006457E5">
              <w:t xml:space="preserve">Innenrevisionsfunktion </w:t>
            </w:r>
            <w:r w:rsidRPr="006457E5">
              <w:t xml:space="preserve">ist die zuständige Person (ausführende Person) beim Delegationsnehmer zu benennen. Weiter ist anzugeben, wer bei der </w:t>
            </w:r>
            <w:r w:rsidR="00F97F83" w:rsidRPr="006457E5">
              <w:t xml:space="preserve">VVGes </w:t>
            </w:r>
            <w:r w:rsidRPr="006457E5">
              <w:t>für die Überwachung der Delegation zuständig ist.</w:t>
            </w:r>
          </w:p>
          <w:p w14:paraId="75C09915" w14:textId="77777777" w:rsidR="00295500" w:rsidRPr="006457E5" w:rsidRDefault="00295500" w:rsidP="004E14AA">
            <w:pPr>
              <w:pStyle w:val="Textkrper2"/>
              <w:spacing w:after="0" w:line="240" w:lineRule="auto"/>
            </w:pPr>
            <w:r w:rsidRPr="006457E5">
              <w:t>Die Einhaltung der Vorschriften bei Delegationen ist zu prüfen.</w:t>
            </w:r>
          </w:p>
          <w:p w14:paraId="78BDAD0B" w14:textId="77777777" w:rsidR="00CC19AB" w:rsidRPr="006457E5" w:rsidRDefault="00CC19AB" w:rsidP="00F32947">
            <w:pPr>
              <w:pStyle w:val="Textkrper2"/>
              <w:spacing w:after="0" w:line="240" w:lineRule="auto"/>
            </w:pPr>
            <w:r w:rsidRPr="006457E5">
              <w:rPr>
                <w:rFonts w:cs="Arial"/>
              </w:rPr>
              <w:t xml:space="preserve">Zur Beurteilung der Angemessenheit der </w:t>
            </w:r>
            <w:r w:rsidR="00E00BB5" w:rsidRPr="006457E5">
              <w:t>Innenrevisionsfunktion</w:t>
            </w:r>
            <w:r w:rsidR="00E00BB5" w:rsidRPr="006457E5">
              <w:rPr>
                <w:rFonts w:cs="Arial"/>
              </w:rPr>
              <w:t xml:space="preserve"> </w:t>
            </w:r>
            <w:r w:rsidRPr="006457E5">
              <w:rPr>
                <w:rFonts w:cs="Arial"/>
              </w:rPr>
              <w:t>kann sich die Revisionsstelle auf die Arbeit der Revisionsstelle des Delegationsnehmers stützen. Dies ersetzt jedoch nicht die abschliessende Beurteilung der Angemessenheit hinsichtlich Organisation und Ressourcen sowie Qualität der Arbeit</w:t>
            </w:r>
            <w:r w:rsidR="00026968" w:rsidRPr="006457E5">
              <w:rPr>
                <w:rFonts w:cs="Arial"/>
              </w:rPr>
              <w:t xml:space="preserve"> der Funktion</w:t>
            </w:r>
            <w:r w:rsidRPr="006457E5">
              <w:rPr>
                <w:rFonts w:cs="Arial"/>
              </w:rPr>
              <w:t>.</w:t>
            </w:r>
          </w:p>
        </w:tc>
      </w:tr>
    </w:tbl>
    <w:p w14:paraId="6130FACC" w14:textId="77777777" w:rsidR="00996123" w:rsidRPr="006457E5" w:rsidRDefault="00996123" w:rsidP="00996123">
      <w:pPr>
        <w:pStyle w:val="berschrift3"/>
        <w:tabs>
          <w:tab w:val="clear" w:pos="993"/>
          <w:tab w:val="num" w:pos="709"/>
        </w:tabs>
        <w:spacing w:line="240" w:lineRule="auto"/>
        <w:ind w:left="992" w:hanging="992"/>
      </w:pPr>
      <w:bookmarkStart w:id="207" w:name="_Toc185240922"/>
      <w:bookmarkStart w:id="208" w:name="_Toc160111765"/>
      <w:r w:rsidRPr="006457E5">
        <w:t>Beschwerdemanagement</w:t>
      </w:r>
      <w:bookmarkEnd w:id="207"/>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996123" w:rsidRPr="006457E5" w14:paraId="37CDC54F" w14:textId="77777777" w:rsidTr="00996123">
        <w:tc>
          <w:tcPr>
            <w:tcW w:w="12191" w:type="dxa"/>
            <w:tcBorders>
              <w:top w:val="nil"/>
              <w:left w:val="nil"/>
              <w:bottom w:val="nil"/>
              <w:right w:val="nil"/>
            </w:tcBorders>
            <w:shd w:val="clear" w:color="auto" w:fill="auto"/>
          </w:tcPr>
          <w:p w14:paraId="2F12425F" w14:textId="77777777" w:rsidR="00996123" w:rsidRPr="00395058" w:rsidRDefault="00996123" w:rsidP="004E14AA">
            <w:pPr>
              <w:pStyle w:val="FormatvorlageLinks0cm"/>
            </w:pPr>
            <w:r w:rsidRPr="006457E5">
              <w:t xml:space="preserve">Die Revisionsstelle nimmt Stellung zur Angemessenheit des Beschwerdemanagements gemäss </w:t>
            </w:r>
            <w:r w:rsidRPr="004F08EC">
              <w:t xml:space="preserve">Art. 26 der Delegierte Verordnung </w:t>
            </w:r>
            <w:r w:rsidRPr="00395058">
              <w:t>(EU)</w:t>
            </w:r>
            <w:r>
              <w:t> </w:t>
            </w:r>
            <w:r w:rsidRPr="004F08EC">
              <w:t>2017/565.</w:t>
            </w:r>
          </w:p>
          <w:p w14:paraId="246AFF38" w14:textId="77777777" w:rsidR="00996123" w:rsidRPr="006457E5" w:rsidRDefault="00996123" w:rsidP="004E14AA">
            <w:pPr>
              <w:pStyle w:val="FormatvorlageLinks0cm"/>
              <w:spacing w:after="0"/>
            </w:pPr>
            <w:r w:rsidRPr="00395058">
              <w:t>Zudem prüft sie, ob die Dokumentation und Aufbewahrung der Beschwerden und die zur Beilegung getroffenen Massnahmen zweckmässig erfolgte. Weiter ist zu prüfen, ob die ergänzenden Vorschriften der FMA-Mitteilung 2015/2 eingehalten werden</w:t>
            </w:r>
            <w:r w:rsidRPr="006457E5">
              <w:t xml:space="preserve">. </w:t>
            </w:r>
          </w:p>
        </w:tc>
      </w:tr>
    </w:tbl>
    <w:p w14:paraId="1D1FF95A" w14:textId="77777777" w:rsidR="00996123" w:rsidRPr="006457E5" w:rsidRDefault="00996123" w:rsidP="00242D9A">
      <w:pPr>
        <w:pStyle w:val="berschrift2"/>
        <w:spacing w:line="240" w:lineRule="auto"/>
      </w:pPr>
      <w:bookmarkStart w:id="209" w:name="_Toc185240923"/>
      <w:r w:rsidRPr="006457E5">
        <w:lastRenderedPageBreak/>
        <w:t>Delegation von Tätigkeiten</w:t>
      </w:r>
      <w:bookmarkEnd w:id="209"/>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2"/>
      </w:tblGrid>
      <w:tr w:rsidR="00996123" w:rsidRPr="006457E5" w14:paraId="18926651" w14:textId="77777777" w:rsidTr="00996123">
        <w:tc>
          <w:tcPr>
            <w:tcW w:w="12224" w:type="dxa"/>
            <w:tcBorders>
              <w:top w:val="nil"/>
              <w:left w:val="nil"/>
              <w:bottom w:val="nil"/>
              <w:right w:val="nil"/>
            </w:tcBorders>
            <w:shd w:val="clear" w:color="auto" w:fill="auto"/>
          </w:tcPr>
          <w:p w14:paraId="4E6B15F2" w14:textId="152EA85A" w:rsidR="00235F47" w:rsidRPr="006457E5" w:rsidRDefault="00996123" w:rsidP="004E14AA">
            <w:pPr>
              <w:pStyle w:val="FormatvorlageLinks0cm"/>
            </w:pPr>
            <w:r w:rsidRPr="006457E5">
              <w:t>Bei Delegationsverhältnissen nimmt die Revisionsstelle Stellung zur Einhaltung der Anforderungen bei der Aufgabenübertragung gemäss</w:t>
            </w:r>
            <w:r w:rsidR="004E14AA">
              <w:t xml:space="preserve"> </w:t>
            </w:r>
            <w:r w:rsidRPr="006457E5">
              <w:t xml:space="preserve">Art. 12 VVG i.V.m. Art. 9 </w:t>
            </w:r>
            <w:r w:rsidRPr="002F5188">
              <w:t>VVO</w:t>
            </w:r>
            <w:r w:rsidR="00841027" w:rsidRPr="002F5188">
              <w:t xml:space="preserve"> i.V.m.</w:t>
            </w:r>
            <w:r w:rsidR="00235F47" w:rsidRPr="00901BBF">
              <w:t xml:space="preserve"> </w:t>
            </w:r>
            <w:r w:rsidR="00235F47" w:rsidRPr="002F5188">
              <w:t>Art. 30 ff Delegierte Verordnung (EU) 2017/565</w:t>
            </w:r>
            <w:r w:rsidR="006E2E89" w:rsidRPr="00901BBF">
              <w:t>.</w:t>
            </w:r>
          </w:p>
          <w:p w14:paraId="55EA4CD5" w14:textId="77777777" w:rsidR="00996123" w:rsidRPr="006457E5" w:rsidRDefault="00996123" w:rsidP="004E14AA">
            <w:pPr>
              <w:pStyle w:val="FormatvorlageLinks0cm"/>
              <w:spacing w:after="0"/>
            </w:pPr>
            <w:r w:rsidRPr="006457E5">
              <w:t>Hierbei beurteilt die Revisionsstelle die Anforderungen bei den delegierten Funktionen und stellt die Prozesse der Überwachung der delegierten Funktionen dar.</w:t>
            </w:r>
          </w:p>
        </w:tc>
      </w:tr>
    </w:tbl>
    <w:p w14:paraId="3F496349" w14:textId="7E1A81AF" w:rsidR="008A184C" w:rsidRPr="004F08EC" w:rsidRDefault="008A184C" w:rsidP="00242D9A">
      <w:pPr>
        <w:pStyle w:val="berschrift2"/>
        <w:spacing w:line="240" w:lineRule="auto"/>
      </w:pPr>
      <w:bookmarkStart w:id="210" w:name="_Toc173427376"/>
      <w:bookmarkStart w:id="211" w:name="_Toc178594399"/>
      <w:bookmarkStart w:id="212" w:name="_Toc179462625"/>
      <w:bookmarkStart w:id="213" w:name="_Toc526779463"/>
      <w:bookmarkStart w:id="214" w:name="_Toc526779675"/>
      <w:bookmarkStart w:id="215" w:name="_Toc526780145"/>
      <w:bookmarkStart w:id="216" w:name="_Toc525108318"/>
      <w:bookmarkStart w:id="217" w:name="_Toc525108533"/>
      <w:bookmarkStart w:id="218" w:name="_Toc525108748"/>
      <w:bookmarkStart w:id="219" w:name="_Toc525108956"/>
      <w:bookmarkStart w:id="220" w:name="_Toc525109146"/>
      <w:bookmarkStart w:id="221" w:name="_Toc525109328"/>
      <w:bookmarkStart w:id="222" w:name="_Toc525114699"/>
      <w:bookmarkStart w:id="223" w:name="_Toc525114879"/>
      <w:bookmarkStart w:id="224" w:name="_Toc525116267"/>
      <w:bookmarkStart w:id="225" w:name="_Toc525133347"/>
      <w:bookmarkStart w:id="226" w:name="_Toc525143021"/>
      <w:bookmarkStart w:id="227" w:name="_Toc526779466"/>
      <w:bookmarkStart w:id="228" w:name="_Toc526779678"/>
      <w:bookmarkStart w:id="229" w:name="_Toc526780148"/>
      <w:bookmarkStart w:id="230" w:name="_Toc185240924"/>
      <w:bookmarkStart w:id="231" w:name="_Toc160111766"/>
      <w:bookmarkEnd w:id="208"/>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4F08EC">
        <w:t>Vergütungspolitik</w:t>
      </w:r>
      <w:bookmarkEnd w:id="230"/>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8A184C" w:rsidRPr="006457E5" w14:paraId="710D82C6" w14:textId="77777777" w:rsidTr="00B6145F">
        <w:tc>
          <w:tcPr>
            <w:tcW w:w="12191" w:type="dxa"/>
            <w:tcBorders>
              <w:top w:val="nil"/>
              <w:left w:val="nil"/>
              <w:bottom w:val="nil"/>
              <w:right w:val="nil"/>
            </w:tcBorders>
            <w:shd w:val="clear" w:color="auto" w:fill="auto"/>
          </w:tcPr>
          <w:p w14:paraId="7D72CAB9" w14:textId="699F173E" w:rsidR="008A184C" w:rsidRPr="006457E5" w:rsidRDefault="008A184C" w:rsidP="004E14AA">
            <w:pPr>
              <w:pStyle w:val="FormatvorlageLinks0cm"/>
              <w:spacing w:after="0"/>
            </w:pPr>
            <w:r w:rsidRPr="006457E5">
              <w:t xml:space="preserve">Die Revisionsstelle nimmt </w:t>
            </w:r>
            <w:r w:rsidR="00235F47" w:rsidRPr="001D41B2">
              <w:t>bei Klasse</w:t>
            </w:r>
            <w:r w:rsidR="00E7339B">
              <w:t>-</w:t>
            </w:r>
            <w:r w:rsidR="00235F47" w:rsidRPr="001D41B2">
              <w:t xml:space="preserve">2 Vermögensverwaltungsgesellschaften </w:t>
            </w:r>
            <w:r w:rsidRPr="001D41B2">
              <w:t>dazu</w:t>
            </w:r>
            <w:r w:rsidRPr="006457E5">
              <w:t xml:space="preserve"> Stellung, ob die Vorschriften zu folgenden Punkten eingehalten werden:</w:t>
            </w:r>
          </w:p>
          <w:p w14:paraId="75B4FE83" w14:textId="4F7EAF99" w:rsidR="008A184C" w:rsidRPr="004F08EC" w:rsidRDefault="008A184C" w:rsidP="00B6145F">
            <w:pPr>
              <w:pStyle w:val="Listenabsatz"/>
              <w:numPr>
                <w:ilvl w:val="0"/>
                <w:numId w:val="98"/>
              </w:numPr>
              <w:spacing w:after="0" w:line="240" w:lineRule="auto"/>
              <w:rPr>
                <w:rFonts w:cs="Arial"/>
              </w:rPr>
            </w:pPr>
            <w:r w:rsidRPr="004F08EC">
              <w:rPr>
                <w:rFonts w:cs="Arial"/>
              </w:rPr>
              <w:t xml:space="preserve">Vergütungspolitik </w:t>
            </w:r>
            <w:r w:rsidRPr="004F08EC">
              <w:rPr>
                <w:lang w:eastAsia="de-CH"/>
              </w:rPr>
              <w:t>(Art</w:t>
            </w:r>
            <w:r w:rsidR="00283DF4">
              <w:rPr>
                <w:lang w:eastAsia="de-CH"/>
              </w:rPr>
              <w:t>.</w:t>
            </w:r>
            <w:r w:rsidRPr="004F08EC">
              <w:rPr>
                <w:lang w:eastAsia="de-CH"/>
              </w:rPr>
              <w:t xml:space="preserve"> 29f VVG)</w:t>
            </w:r>
          </w:p>
          <w:p w14:paraId="3B94EB9D" w14:textId="5C0E2854" w:rsidR="008A184C" w:rsidRPr="004F08EC" w:rsidRDefault="008A184C" w:rsidP="00B6145F">
            <w:pPr>
              <w:pStyle w:val="Listenabsatz"/>
              <w:numPr>
                <w:ilvl w:val="0"/>
                <w:numId w:val="98"/>
              </w:numPr>
              <w:spacing w:after="0" w:line="240" w:lineRule="auto"/>
              <w:rPr>
                <w:rFonts w:cs="Arial"/>
              </w:rPr>
            </w:pPr>
            <w:r w:rsidRPr="004F08EC">
              <w:rPr>
                <w:rFonts w:cs="Arial"/>
              </w:rPr>
              <w:t xml:space="preserve">Variable Vergütung </w:t>
            </w:r>
            <w:r w:rsidRPr="004F08EC">
              <w:rPr>
                <w:lang w:eastAsia="de-CH"/>
              </w:rPr>
              <w:t>(Art</w:t>
            </w:r>
            <w:r w:rsidR="00283DF4">
              <w:rPr>
                <w:lang w:eastAsia="de-CH"/>
              </w:rPr>
              <w:t>.</w:t>
            </w:r>
            <w:r w:rsidRPr="004F08EC">
              <w:rPr>
                <w:lang w:eastAsia="de-CH"/>
              </w:rPr>
              <w:t xml:space="preserve"> 29g VVG)</w:t>
            </w:r>
          </w:p>
          <w:p w14:paraId="5B1FC1F9" w14:textId="02695DEC" w:rsidR="008A184C" w:rsidRPr="004F08EC" w:rsidRDefault="008A184C" w:rsidP="00B6145F">
            <w:pPr>
              <w:pStyle w:val="Listenabsatz"/>
              <w:numPr>
                <w:ilvl w:val="0"/>
                <w:numId w:val="98"/>
              </w:numPr>
              <w:spacing w:after="0" w:line="240" w:lineRule="auto"/>
              <w:rPr>
                <w:rFonts w:cs="Arial"/>
              </w:rPr>
            </w:pPr>
            <w:r w:rsidRPr="004F08EC">
              <w:rPr>
                <w:rFonts w:cs="Arial"/>
              </w:rPr>
              <w:t xml:space="preserve">Vergütungsausschuss </w:t>
            </w:r>
            <w:r w:rsidRPr="004F08EC">
              <w:rPr>
                <w:lang w:eastAsia="de-CH"/>
              </w:rPr>
              <w:t>(Art</w:t>
            </w:r>
            <w:r w:rsidR="00283DF4">
              <w:rPr>
                <w:lang w:eastAsia="de-CH"/>
              </w:rPr>
              <w:t>.</w:t>
            </w:r>
            <w:r w:rsidRPr="004F08EC">
              <w:rPr>
                <w:lang w:eastAsia="de-CH"/>
              </w:rPr>
              <w:t xml:space="preserve"> 29h VVG)</w:t>
            </w:r>
          </w:p>
          <w:p w14:paraId="6C61426C" w14:textId="6FD9D35F" w:rsidR="008A184C" w:rsidRPr="004F08EC" w:rsidRDefault="008A184C" w:rsidP="00B6145F">
            <w:pPr>
              <w:pStyle w:val="Listenabsatz"/>
              <w:numPr>
                <w:ilvl w:val="0"/>
                <w:numId w:val="98"/>
              </w:numPr>
              <w:spacing w:after="0" w:line="240" w:lineRule="auto"/>
              <w:rPr>
                <w:rFonts w:cs="Arial"/>
              </w:rPr>
            </w:pPr>
            <w:r w:rsidRPr="004F08EC">
              <w:rPr>
                <w:rFonts w:cs="Arial"/>
              </w:rPr>
              <w:t xml:space="preserve">Überwachung der Vergütungspolitik </w:t>
            </w:r>
            <w:r w:rsidRPr="004F08EC">
              <w:rPr>
                <w:lang w:eastAsia="de-CH"/>
              </w:rPr>
              <w:t>(Art</w:t>
            </w:r>
            <w:r w:rsidR="00283DF4">
              <w:rPr>
                <w:lang w:eastAsia="de-CH"/>
              </w:rPr>
              <w:t>.</w:t>
            </w:r>
            <w:r w:rsidRPr="004F08EC">
              <w:rPr>
                <w:lang w:eastAsia="de-CH"/>
              </w:rPr>
              <w:t xml:space="preserve"> 29i VVG)</w:t>
            </w:r>
          </w:p>
          <w:p w14:paraId="6A3E28AF" w14:textId="77777777" w:rsidR="008A184C" w:rsidRPr="006457E5" w:rsidRDefault="008A184C" w:rsidP="00B6145F">
            <w:pPr>
              <w:pStyle w:val="Listenabsatz"/>
              <w:spacing w:after="0" w:line="240" w:lineRule="auto"/>
              <w:ind w:left="0"/>
              <w:rPr>
                <w:rFonts w:cs="Arial"/>
              </w:rPr>
            </w:pPr>
          </w:p>
          <w:p w14:paraId="6DABC0BA" w14:textId="1D17E624" w:rsidR="00235F47" w:rsidRPr="00B25FD6" w:rsidRDefault="008A184C" w:rsidP="00B6145F">
            <w:pPr>
              <w:pStyle w:val="Listenabsatz"/>
              <w:spacing w:after="0" w:line="240" w:lineRule="auto"/>
              <w:ind w:left="0"/>
            </w:pPr>
            <w:r w:rsidRPr="004F08EC">
              <w:t xml:space="preserve">Die Revisionsstelle stellt die von der VVGes festgelegten und angewendeten Vergütungsgrundsätze und -praktiken dar und nimmt Stellung zur Einhaltung der </w:t>
            </w:r>
            <w:r w:rsidR="00B1565D" w:rsidRPr="006457E5">
              <w:t>Transparenzanforderungen</w:t>
            </w:r>
            <w:r w:rsidRPr="004F08EC">
              <w:t xml:space="preserve"> </w:t>
            </w:r>
            <w:r w:rsidR="00B1565D" w:rsidRPr="006457E5">
              <w:t>des</w:t>
            </w:r>
            <w:r w:rsidRPr="004F08EC">
              <w:t xml:space="preserve"> Art. 5 der Verordnung (EU) 2019/2088.</w:t>
            </w:r>
          </w:p>
        </w:tc>
      </w:tr>
    </w:tbl>
    <w:p w14:paraId="0C69749A" w14:textId="44C24321" w:rsidR="006872B1" w:rsidRPr="006457E5" w:rsidRDefault="006C53A6" w:rsidP="00242D9A">
      <w:pPr>
        <w:pStyle w:val="berschrift2"/>
        <w:spacing w:line="240" w:lineRule="auto"/>
      </w:pPr>
      <w:bookmarkStart w:id="232" w:name="_Toc185240925"/>
      <w:r w:rsidRPr="006457E5">
        <w:t>Vermeidung von Interessen</w:t>
      </w:r>
      <w:r w:rsidR="006872B1" w:rsidRPr="006457E5">
        <w:t>konflikten</w:t>
      </w:r>
      <w:bookmarkEnd w:id="231"/>
      <w:bookmarkEnd w:id="232"/>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7"/>
      </w:tblGrid>
      <w:tr w:rsidR="006872B1" w:rsidRPr="006457E5" w14:paraId="6A83F202" w14:textId="77777777" w:rsidTr="006872B1">
        <w:tc>
          <w:tcPr>
            <w:tcW w:w="12157" w:type="dxa"/>
            <w:tcBorders>
              <w:top w:val="nil"/>
              <w:left w:val="nil"/>
              <w:bottom w:val="nil"/>
              <w:right w:val="nil"/>
            </w:tcBorders>
            <w:shd w:val="clear" w:color="auto" w:fill="auto"/>
          </w:tcPr>
          <w:p w14:paraId="405DF487" w14:textId="03A01A60" w:rsidR="006872B1" w:rsidRPr="006457E5" w:rsidRDefault="006872B1" w:rsidP="004E14AA">
            <w:pPr>
              <w:pStyle w:val="FormatvorlageLinks0cm"/>
            </w:pPr>
            <w:r w:rsidRPr="006457E5">
              <w:t>Die Revisionsstelle nimmt Stellung zur Angemessenheit der Vorkehrungen zur Vermeidung von Interessenkonflikten nach Art. 20 VVG i.V.m. Art. 12b</w:t>
            </w:r>
            <w:r w:rsidR="00B674EA" w:rsidRPr="004F08EC">
              <w:t xml:space="preserve"> und Art. </w:t>
            </w:r>
            <w:r w:rsidRPr="006457E5">
              <w:t>12g VVO</w:t>
            </w:r>
            <w:r w:rsidR="00B674EA" w:rsidRPr="004F08EC">
              <w:t xml:space="preserve"> sowie gemäss </w:t>
            </w:r>
            <w:r w:rsidR="004B7077" w:rsidRPr="004F08EC">
              <w:t>Abschnitt 3</w:t>
            </w:r>
            <w:r w:rsidR="00B674EA" w:rsidRPr="004F08EC">
              <w:t xml:space="preserve"> der Delegierte Verordnung (EU) 2017/565.</w:t>
            </w:r>
            <w:r w:rsidR="005A218D">
              <w:t xml:space="preserve"> </w:t>
            </w:r>
            <w:r w:rsidRPr="006457E5">
              <w:t xml:space="preserve">In diesem Zusammenhang wird auf die ESMA-Leitlinien zu Vergütungsgrundsätzen und </w:t>
            </w:r>
            <w:r w:rsidRPr="006457E5">
              <w:noBreakHyphen/>
              <w:t xml:space="preserve">verfahren (MiFID), welche die FMA für </w:t>
            </w:r>
            <w:r w:rsidR="000D08F1" w:rsidRPr="006457E5">
              <w:t>comply</w:t>
            </w:r>
            <w:r w:rsidRPr="006457E5">
              <w:t xml:space="preserve"> erklärt hat, verwiesen.</w:t>
            </w:r>
          </w:p>
          <w:p w14:paraId="44AAE0EE" w14:textId="30208308" w:rsidR="00E205C2" w:rsidRPr="00CC2854" w:rsidRDefault="00E205C2" w:rsidP="004E14AA">
            <w:pPr>
              <w:pStyle w:val="FormatvorlageLinks0cm"/>
              <w:spacing w:after="0"/>
            </w:pPr>
            <w:r w:rsidRPr="008E6A77">
              <w:t xml:space="preserve">Ferner prüft die Revisionsstelle die Verfahren zur Ermittlung der Arten von Interessenskonflikten, die sich aus der Einbeziehung von </w:t>
            </w:r>
            <w:r w:rsidRPr="004E14AA">
              <w:t>Nachhaltigkeitsrisiken</w:t>
            </w:r>
            <w:r w:rsidRPr="008E6A77">
              <w:t xml:space="preserve"> in ihre Prozesse, Systeme und internen Kontrollen ergeben können. </w:t>
            </w:r>
          </w:p>
        </w:tc>
      </w:tr>
    </w:tbl>
    <w:p w14:paraId="62E837FA" w14:textId="77777777" w:rsidR="006872B1" w:rsidRPr="006457E5" w:rsidRDefault="006872B1" w:rsidP="006910A0">
      <w:pPr>
        <w:pStyle w:val="berschrift2"/>
      </w:pPr>
      <w:bookmarkStart w:id="233" w:name="_Toc160111767"/>
      <w:bookmarkStart w:id="234" w:name="_Toc185240926"/>
      <w:bookmarkStart w:id="235" w:name="_Hlk170315720"/>
      <w:r w:rsidRPr="006457E5">
        <w:t>Organ- und Mitarbeitergeschäfte</w:t>
      </w:r>
      <w:bookmarkEnd w:id="233"/>
      <w:bookmarkEnd w:id="234"/>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6872B1" w:rsidRPr="006457E5" w14:paraId="18212E37" w14:textId="77777777" w:rsidTr="006872B1">
        <w:tc>
          <w:tcPr>
            <w:tcW w:w="12191" w:type="dxa"/>
            <w:tcBorders>
              <w:top w:val="nil"/>
              <w:left w:val="nil"/>
              <w:bottom w:val="nil"/>
              <w:right w:val="nil"/>
            </w:tcBorders>
            <w:shd w:val="clear" w:color="auto" w:fill="auto"/>
          </w:tcPr>
          <w:bookmarkEnd w:id="235"/>
          <w:p w14:paraId="1C712986" w14:textId="6159F6F6" w:rsidR="0053760B" w:rsidRPr="006457E5" w:rsidRDefault="006872B1" w:rsidP="004E14AA">
            <w:pPr>
              <w:pStyle w:val="FormatvorlageLinks0cm"/>
            </w:pPr>
            <w:r w:rsidRPr="006457E5">
              <w:t>Die Revisionsstelle nimmt Stellung zur Einhaltung der Vorschriften im Hinblick auf Organ- und Mitarbeitergeschäfte nach Art. 14</w:t>
            </w:r>
            <w:r w:rsidR="00373B94">
              <w:t xml:space="preserve"> und </w:t>
            </w:r>
            <w:r w:rsidRPr="006457E5">
              <w:t>20 VVG i.V.m. Art. 12g VVO</w:t>
            </w:r>
            <w:r w:rsidR="00712A0B" w:rsidRPr="00FF4F06">
              <w:t xml:space="preserve"> sowie gemäss Artikel 28</w:t>
            </w:r>
            <w:r w:rsidR="002C1ED0">
              <w:t xml:space="preserve"> und </w:t>
            </w:r>
            <w:r w:rsidR="00712A0B" w:rsidRPr="00FF4F06">
              <w:t xml:space="preserve">29 der Delegierte Verordnung </w:t>
            </w:r>
            <w:r w:rsidR="00712A0B" w:rsidRPr="00395058">
              <w:t xml:space="preserve">(EU) </w:t>
            </w:r>
            <w:r w:rsidR="00712A0B" w:rsidRPr="00FF4F06">
              <w:t>2017/565.</w:t>
            </w:r>
          </w:p>
          <w:p w14:paraId="01B85854" w14:textId="426BB9F8" w:rsidR="006872B1" w:rsidRPr="006457E5" w:rsidRDefault="006872B1" w:rsidP="00C729BA">
            <w:pPr>
              <w:spacing w:after="0" w:line="240" w:lineRule="auto"/>
              <w:rPr>
                <w:rFonts w:cs="Arial"/>
              </w:rPr>
            </w:pPr>
            <w:r w:rsidRPr="005A218D">
              <w:rPr>
                <w:rFonts w:cs="Arial"/>
              </w:rPr>
              <w:t xml:space="preserve">Hierbei kann auf die Ausführungen in </w:t>
            </w:r>
            <w:r w:rsidR="00D73130" w:rsidRPr="005A218D">
              <w:rPr>
                <w:rFonts w:cs="Arial"/>
              </w:rPr>
              <w:t xml:space="preserve">Tz </w:t>
            </w:r>
            <w:r w:rsidR="005553C7" w:rsidRPr="005A218D">
              <w:rPr>
                <w:rFonts w:cs="Arial"/>
              </w:rPr>
              <w:t>5.</w:t>
            </w:r>
            <w:r w:rsidR="00192D42" w:rsidRPr="00395058">
              <w:rPr>
                <w:rFonts w:cs="Arial"/>
              </w:rPr>
              <w:t>4</w:t>
            </w:r>
            <w:r w:rsidRPr="005A218D">
              <w:rPr>
                <w:rFonts w:cs="Arial"/>
              </w:rPr>
              <w:t xml:space="preserve"> verwiesen</w:t>
            </w:r>
            <w:r w:rsidRPr="006457E5">
              <w:rPr>
                <w:rFonts w:cs="Arial"/>
              </w:rPr>
              <w:t xml:space="preserve"> werden.</w:t>
            </w:r>
          </w:p>
        </w:tc>
      </w:tr>
    </w:tbl>
    <w:p w14:paraId="2DD34DA4" w14:textId="77777777" w:rsidR="003C3175" w:rsidRPr="006457E5" w:rsidRDefault="003C3175" w:rsidP="003C3175">
      <w:pPr>
        <w:pStyle w:val="berschrift2"/>
        <w:spacing w:line="240" w:lineRule="auto"/>
      </w:pPr>
      <w:bookmarkStart w:id="236" w:name="_Toc160111768"/>
      <w:bookmarkStart w:id="237" w:name="_Toc185240927"/>
      <w:r w:rsidRPr="006457E5">
        <w:lastRenderedPageBreak/>
        <w:t>Grenzüberschreitende Dienstleistungen</w:t>
      </w:r>
      <w:bookmarkEnd w:id="236"/>
      <w:bookmarkEnd w:id="237"/>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2"/>
      </w:tblGrid>
      <w:tr w:rsidR="003C3175" w:rsidRPr="006457E5" w14:paraId="6EE11F60" w14:textId="77777777" w:rsidTr="00C04D57">
        <w:tc>
          <w:tcPr>
            <w:tcW w:w="12224" w:type="dxa"/>
            <w:tcBorders>
              <w:top w:val="nil"/>
              <w:left w:val="nil"/>
              <w:bottom w:val="nil"/>
              <w:right w:val="nil"/>
            </w:tcBorders>
            <w:shd w:val="clear" w:color="auto" w:fill="auto"/>
          </w:tcPr>
          <w:p w14:paraId="51859380" w14:textId="365EA2DE" w:rsidR="00745A8F" w:rsidRDefault="003C3175" w:rsidP="004E14AA">
            <w:pPr>
              <w:pStyle w:val="FormatvorlageLinks0cm"/>
            </w:pPr>
            <w:r w:rsidRPr="006457E5">
              <w:t xml:space="preserve">Die Revisionsstelle nimmt dazu Stellung, ob die Organisationsstruktur sowie internen Vorkehrungen für die Erbringung von grenzüberschreitenden Tätigkeiten gemäss Art. 33 VVG </w:t>
            </w:r>
            <w:r w:rsidR="00B115C4" w:rsidRPr="001E1196">
              <w:t>sowie</w:t>
            </w:r>
            <w:r w:rsidR="00B115C4" w:rsidRPr="006457E5">
              <w:t xml:space="preserve"> </w:t>
            </w:r>
            <w:r w:rsidRPr="006457E5">
              <w:t xml:space="preserve">Art. 33a </w:t>
            </w:r>
            <w:r w:rsidR="0026581C" w:rsidRPr="001E1196">
              <w:t xml:space="preserve">und Art. 36 </w:t>
            </w:r>
            <w:r w:rsidRPr="006457E5">
              <w:t>VVG unter Berücksichtigung von Art und Ausmass der Dienstleistungen ausreichend sind</w:t>
            </w:r>
            <w:r w:rsidR="00745A8F" w:rsidRPr="006457E5">
              <w:t xml:space="preserve">, wobei insbesondere auch geprüft wird, ob die </w:t>
            </w:r>
            <w:r w:rsidR="001E1196">
              <w:t>VVGes</w:t>
            </w:r>
            <w:r w:rsidR="00745A8F" w:rsidRPr="006457E5">
              <w:t xml:space="preserve"> in den relevanten Staaten jeweils tatsächlich tätig ist bzw. Kunden tatsächlich akquiriert</w:t>
            </w:r>
            <w:r w:rsidR="00205318" w:rsidRPr="006457E5">
              <w:t>.</w:t>
            </w:r>
            <w:r w:rsidR="00745A8F" w:rsidRPr="006457E5">
              <w:t xml:space="preserve"> Ist die </w:t>
            </w:r>
            <w:r w:rsidR="001E1196">
              <w:t>VVGes</w:t>
            </w:r>
            <w:r w:rsidR="00745A8F" w:rsidRPr="006457E5">
              <w:t xml:space="preserve"> in Staaten ausschliesslich auf eigene Initiative der Kunden tätig, ist dies ebenso anzuführen.</w:t>
            </w:r>
            <w:r w:rsidR="000B5902">
              <w:t xml:space="preserve"> In Bezug auf Tätigkeiten in Drittstaaten ist eine allfällige Anzeigepflicht an die FMA zu prüfen.</w:t>
            </w:r>
            <w:r w:rsidR="00A82A0C">
              <w:t xml:space="preserve"> </w:t>
            </w:r>
          </w:p>
          <w:p w14:paraId="0C828619" w14:textId="703EF130" w:rsidR="005A218D" w:rsidRDefault="00205318" w:rsidP="004E14AA">
            <w:pPr>
              <w:pStyle w:val="FormatvorlageLinks0cm"/>
            </w:pPr>
            <w:r w:rsidRPr="006457E5">
              <w:t xml:space="preserve">Die Revisionsstelle </w:t>
            </w:r>
            <w:r w:rsidR="003C3175" w:rsidRPr="006457E5">
              <w:t>prüft insbesondere die Ausstattung der internen Kontrollfunktionen in Bezug auf die Erbringung von grenzüberschreitenden Dienstleistungen in anderen Mitgliedstaaten und berücksichtigt dabei die Notwendigkeit von entsprechenden Fremdsprachen</w:t>
            </w:r>
            <w:r w:rsidR="005A218D">
              <w:t>-</w:t>
            </w:r>
            <w:r w:rsidR="003C3175" w:rsidRPr="006457E5">
              <w:t>kenntnissen sowie Kenntnissen von rechtlichen Gegebenheiten in den Aufnahmemitgliedstaaten.</w:t>
            </w:r>
            <w:r w:rsidR="0026581C" w:rsidRPr="006457E5">
              <w:t xml:space="preserve"> </w:t>
            </w:r>
          </w:p>
          <w:p w14:paraId="1E5646A6" w14:textId="318379CB" w:rsidR="003C3175" w:rsidRPr="006457E5" w:rsidRDefault="0026581C" w:rsidP="004E14AA">
            <w:pPr>
              <w:pStyle w:val="FormatvorlageLinks0cm"/>
              <w:spacing w:after="0"/>
            </w:pPr>
            <w:r w:rsidRPr="006457E5">
              <w:t>Die Revisionsstelle berücksichtigt dabei ebenfalls die Heranziehung von vertraglich gebundenen Vermittlern bei der Erbringung von grenzüberschreitenden Dienstleistungen</w:t>
            </w:r>
            <w:r w:rsidR="00745A8F" w:rsidRPr="006457E5">
              <w:t>.</w:t>
            </w:r>
          </w:p>
        </w:tc>
      </w:tr>
    </w:tbl>
    <w:p w14:paraId="42A87B10" w14:textId="77777777" w:rsidR="00996123" w:rsidRPr="008E6A77" w:rsidRDefault="00996123" w:rsidP="00996123">
      <w:pPr>
        <w:pStyle w:val="berschrift2"/>
        <w:spacing w:line="240" w:lineRule="auto"/>
      </w:pPr>
      <w:bookmarkStart w:id="238" w:name="_Toc166662483"/>
      <w:bookmarkStart w:id="239" w:name="_Toc170111746"/>
      <w:bookmarkStart w:id="240" w:name="_Toc166662484"/>
      <w:bookmarkStart w:id="241" w:name="_Toc170111747"/>
      <w:bookmarkStart w:id="242" w:name="_Toc185240928"/>
      <w:bookmarkStart w:id="243" w:name="_Toc160111769"/>
      <w:bookmarkEnd w:id="238"/>
      <w:bookmarkEnd w:id="239"/>
      <w:bookmarkEnd w:id="240"/>
      <w:bookmarkEnd w:id="241"/>
      <w:r w:rsidRPr="008E6A77">
        <w:t>Offenlegungspflichten</w:t>
      </w:r>
      <w:bookmarkEnd w:id="242"/>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2"/>
      </w:tblGrid>
      <w:tr w:rsidR="00996123" w:rsidRPr="006457E5" w14:paraId="264224F5" w14:textId="77777777" w:rsidTr="00996123">
        <w:tc>
          <w:tcPr>
            <w:tcW w:w="12224" w:type="dxa"/>
            <w:tcBorders>
              <w:top w:val="nil"/>
              <w:left w:val="nil"/>
              <w:bottom w:val="nil"/>
              <w:right w:val="nil"/>
            </w:tcBorders>
            <w:shd w:val="clear" w:color="auto" w:fill="auto"/>
          </w:tcPr>
          <w:p w14:paraId="44BE240D" w14:textId="77777777" w:rsidR="00996123" w:rsidRDefault="00996123" w:rsidP="004E14AA">
            <w:pPr>
              <w:pStyle w:val="FormatvorlageLinks0cm"/>
              <w:rPr>
                <w:sz w:val="27"/>
                <w:szCs w:val="27"/>
              </w:rPr>
            </w:pPr>
            <w:r w:rsidRPr="006457E5">
              <w:t>Die</w:t>
            </w:r>
            <w:r w:rsidRPr="00CC2854">
              <w:t xml:space="preserve"> Revisionsstelle nimmt Stellung </w:t>
            </w:r>
            <w:r w:rsidRPr="006457E5">
              <w:t>zur Ausgestaltung und Einhaltung</w:t>
            </w:r>
            <w:r>
              <w:t xml:space="preserve"> der</w:t>
            </w:r>
            <w:r w:rsidRPr="00CC2854">
              <w:t xml:space="preserve"> </w:t>
            </w:r>
            <w:r w:rsidRPr="006457E5">
              <w:t>Offenlegungspflichten nach</w:t>
            </w:r>
            <w:r w:rsidRPr="00CC2854">
              <w:t xml:space="preserve"> Art 28a VVG i</w:t>
            </w:r>
            <w:r>
              <w:t>.</w:t>
            </w:r>
            <w:r w:rsidRPr="00CC2854">
              <w:t>V</w:t>
            </w:r>
            <w:r>
              <w:t>.</w:t>
            </w:r>
            <w:r w:rsidRPr="00CC2854">
              <w:t>m</w:t>
            </w:r>
            <w:r>
              <w:t>.</w:t>
            </w:r>
            <w:r w:rsidRPr="006457E5">
              <w:t xml:space="preserve"> </w:t>
            </w:r>
            <w:r w:rsidRPr="00CC2854">
              <w:t>Art. 46 bis 53 IFR unter Berücksichtigung der Delegierte Verordnung (EU) 2022/1159 sowie der Delegierte Verordnung (EU) 2021/2284.</w:t>
            </w:r>
            <w:r w:rsidRPr="006457E5">
              <w:rPr>
                <w:sz w:val="27"/>
                <w:szCs w:val="27"/>
              </w:rPr>
              <w:t xml:space="preserve"> </w:t>
            </w:r>
          </w:p>
          <w:p w14:paraId="190D1743" w14:textId="60F2FAE7" w:rsidR="00B921EF" w:rsidRPr="006457E5" w:rsidRDefault="006E2E89" w:rsidP="004E14AA">
            <w:pPr>
              <w:pStyle w:val="FormatvorlageLinks0cm"/>
              <w:spacing w:after="0"/>
            </w:pPr>
            <w:r w:rsidRPr="00901BBF">
              <w:t>B</w:t>
            </w:r>
            <w:r w:rsidR="00B921EF" w:rsidRPr="00901BBF">
              <w:t>ei Klasse</w:t>
            </w:r>
            <w:r w:rsidR="004E14AA">
              <w:t>-</w:t>
            </w:r>
            <w:r w:rsidR="00B921EF" w:rsidRPr="00901BBF">
              <w:t>2</w:t>
            </w:r>
            <w:r w:rsidR="004E14AA">
              <w:t xml:space="preserve"> </w:t>
            </w:r>
            <w:r w:rsidR="00B921EF" w:rsidRPr="00901BBF">
              <w:t>Vermögensverwaltungsgesellschaften</w:t>
            </w:r>
            <w:r w:rsidR="00B921EF" w:rsidRPr="001D41B2">
              <w:t xml:space="preserve"> </w:t>
            </w:r>
            <w:r w:rsidRPr="00901BBF">
              <w:t xml:space="preserve">nimmt die Revisionsstelle gegebenenfalls Stellung zu Einhaltung der Vorschriften im Hinblick auf die </w:t>
            </w:r>
            <w:r w:rsidR="00B921EF" w:rsidRPr="001D41B2">
              <w:t>länderspezifischer Berichterstattung gemäss Art. 29c VVG</w:t>
            </w:r>
            <w:r w:rsidRPr="00901BBF">
              <w:t>.</w:t>
            </w:r>
          </w:p>
        </w:tc>
      </w:tr>
    </w:tbl>
    <w:p w14:paraId="4BF6A117" w14:textId="533E5B45" w:rsidR="00AE7403" w:rsidRPr="006457E5" w:rsidRDefault="00AE7403" w:rsidP="00C926FE">
      <w:pPr>
        <w:pStyle w:val="berschrift2"/>
        <w:spacing w:line="240" w:lineRule="auto"/>
      </w:pPr>
      <w:bookmarkStart w:id="244" w:name="_Toc185240929"/>
      <w:r w:rsidRPr="006457E5">
        <w:t>Vorschriften zum Anlegerschutz</w:t>
      </w:r>
      <w:bookmarkEnd w:id="243"/>
      <w:bookmarkEnd w:id="244"/>
    </w:p>
    <w:p w14:paraId="4F8EC72C" w14:textId="77777777" w:rsidR="007F5A48" w:rsidRPr="006457E5" w:rsidRDefault="007F5A48" w:rsidP="00C926FE">
      <w:pPr>
        <w:pStyle w:val="berschrift3"/>
        <w:tabs>
          <w:tab w:val="clear" w:pos="993"/>
          <w:tab w:val="num" w:pos="709"/>
        </w:tabs>
        <w:spacing w:line="240" w:lineRule="auto"/>
        <w:ind w:left="992" w:hanging="992"/>
      </w:pPr>
      <w:bookmarkStart w:id="245" w:name="_Toc160111770"/>
      <w:bookmarkStart w:id="246" w:name="_Toc185240930"/>
      <w:r w:rsidRPr="006457E5">
        <w:t>Anlageberatung</w:t>
      </w:r>
      <w:bookmarkEnd w:id="245"/>
      <w:bookmarkEnd w:id="246"/>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7F5A48" w:rsidRPr="006457E5" w14:paraId="32C3B141" w14:textId="77777777" w:rsidTr="00F67AC8">
        <w:tc>
          <w:tcPr>
            <w:tcW w:w="12191" w:type="dxa"/>
            <w:tcBorders>
              <w:top w:val="nil"/>
              <w:left w:val="nil"/>
              <w:bottom w:val="nil"/>
              <w:right w:val="nil"/>
            </w:tcBorders>
            <w:shd w:val="clear" w:color="auto" w:fill="auto"/>
          </w:tcPr>
          <w:p w14:paraId="337BB854" w14:textId="77777777" w:rsidR="003D70AE" w:rsidRPr="006457E5" w:rsidRDefault="007F5A48" w:rsidP="00F67AC8">
            <w:pPr>
              <w:spacing w:after="0" w:line="240" w:lineRule="auto"/>
              <w:rPr>
                <w:rFonts w:cs="Arial"/>
              </w:rPr>
            </w:pPr>
            <w:r w:rsidRPr="006457E5">
              <w:rPr>
                <w:rFonts w:cs="Arial"/>
              </w:rPr>
              <w:t>Die Revisionsstelle nimmt im Falle einer entsprechenden Dienstleistung im Bereich der Anlageberatung Stellung zur Einhaltung der Vorschriften im Hinblick auf die Anlageberatung</w:t>
            </w:r>
            <w:r w:rsidR="00BA219F" w:rsidRPr="006457E5">
              <w:rPr>
                <w:rFonts w:cs="Arial"/>
              </w:rPr>
              <w:t>,</w:t>
            </w:r>
            <w:r w:rsidR="003D70AE" w:rsidRPr="006457E5">
              <w:rPr>
                <w:rFonts w:cs="Arial"/>
              </w:rPr>
              <w:t xml:space="preserve"> insbesondere in Bezug auf nachfolgende Punkte:</w:t>
            </w:r>
          </w:p>
          <w:p w14:paraId="2C5B4416" w14:textId="77777777" w:rsidR="003D70AE" w:rsidRPr="006457E5" w:rsidRDefault="003D70AE" w:rsidP="004A2311">
            <w:pPr>
              <w:pStyle w:val="Listenabsatz"/>
              <w:numPr>
                <w:ilvl w:val="0"/>
                <w:numId w:val="92"/>
              </w:numPr>
              <w:spacing w:after="0" w:line="240" w:lineRule="auto"/>
              <w:rPr>
                <w:rFonts w:cs="Arial"/>
              </w:rPr>
            </w:pPr>
            <w:r w:rsidRPr="006457E5">
              <w:rPr>
                <w:rFonts w:cs="Arial"/>
              </w:rPr>
              <w:t>Prüfung ob Anlageberatung angeboten wird</w:t>
            </w:r>
          </w:p>
          <w:p w14:paraId="444FC41A" w14:textId="77777777" w:rsidR="003D70AE" w:rsidRPr="006457E5" w:rsidRDefault="003D70AE" w:rsidP="004A2311">
            <w:pPr>
              <w:pStyle w:val="Listenabsatz"/>
              <w:numPr>
                <w:ilvl w:val="0"/>
                <w:numId w:val="92"/>
              </w:numPr>
              <w:spacing w:after="0" w:line="240" w:lineRule="auto"/>
              <w:rPr>
                <w:rFonts w:cs="Arial"/>
              </w:rPr>
            </w:pPr>
            <w:r w:rsidRPr="006457E5">
              <w:rPr>
                <w:rFonts w:cs="Arial"/>
              </w:rPr>
              <w:t>Unabhängige/nicht unabhängige Anlageberatung</w:t>
            </w:r>
          </w:p>
          <w:p w14:paraId="4322F78E" w14:textId="77777777" w:rsidR="003D70AE" w:rsidRPr="006457E5" w:rsidRDefault="003D70AE" w:rsidP="004A2311">
            <w:pPr>
              <w:pStyle w:val="Listenabsatz"/>
              <w:numPr>
                <w:ilvl w:val="1"/>
                <w:numId w:val="92"/>
              </w:numPr>
              <w:spacing w:after="0" w:line="240" w:lineRule="auto"/>
              <w:rPr>
                <w:rFonts w:cs="Arial"/>
              </w:rPr>
            </w:pPr>
            <w:r w:rsidRPr="006457E5">
              <w:rPr>
                <w:rFonts w:cs="Arial"/>
              </w:rPr>
              <w:t>Anlageberatungsvertrag</w:t>
            </w:r>
          </w:p>
          <w:p w14:paraId="2F7FE1D2" w14:textId="77777777" w:rsidR="003D70AE" w:rsidRPr="006457E5" w:rsidRDefault="003D70AE" w:rsidP="004A2311">
            <w:pPr>
              <w:pStyle w:val="Listenabsatz"/>
              <w:numPr>
                <w:ilvl w:val="1"/>
                <w:numId w:val="92"/>
              </w:numPr>
              <w:spacing w:after="0" w:line="240" w:lineRule="auto"/>
              <w:rPr>
                <w:rFonts w:cs="Arial"/>
              </w:rPr>
            </w:pPr>
            <w:r w:rsidRPr="006457E5">
              <w:rPr>
                <w:rFonts w:cs="Arial"/>
              </w:rPr>
              <w:t>Prozessbeschreibung</w:t>
            </w:r>
          </w:p>
          <w:p w14:paraId="580709F5" w14:textId="77777777" w:rsidR="003D70AE" w:rsidRPr="006457E5" w:rsidRDefault="003D70AE" w:rsidP="004A2311">
            <w:pPr>
              <w:pStyle w:val="Listenabsatz"/>
              <w:numPr>
                <w:ilvl w:val="1"/>
                <w:numId w:val="92"/>
              </w:numPr>
              <w:spacing w:after="0" w:line="240" w:lineRule="auto"/>
              <w:rPr>
                <w:rFonts w:cs="Arial"/>
              </w:rPr>
            </w:pPr>
            <w:r w:rsidRPr="006457E5">
              <w:rPr>
                <w:rFonts w:cs="Arial"/>
              </w:rPr>
              <w:t>angebotene Produktpalette</w:t>
            </w:r>
          </w:p>
          <w:p w14:paraId="2115DF96" w14:textId="77777777" w:rsidR="003D70AE" w:rsidRPr="006457E5" w:rsidRDefault="003D70AE" w:rsidP="004A2311">
            <w:pPr>
              <w:pStyle w:val="Listenabsatz"/>
              <w:numPr>
                <w:ilvl w:val="1"/>
                <w:numId w:val="92"/>
              </w:numPr>
              <w:spacing w:after="0" w:line="240" w:lineRule="auto"/>
              <w:rPr>
                <w:rFonts w:cs="Arial"/>
              </w:rPr>
            </w:pPr>
            <w:r w:rsidRPr="006457E5">
              <w:rPr>
                <w:rFonts w:cs="Arial"/>
              </w:rPr>
              <w:t>Einhaltung der Informationspflichten</w:t>
            </w:r>
          </w:p>
          <w:p w14:paraId="5F2F4054" w14:textId="69DC7F20" w:rsidR="003942AC" w:rsidRPr="003942AC" w:rsidRDefault="003D70AE" w:rsidP="00242D9A">
            <w:pPr>
              <w:pStyle w:val="Listenabsatz"/>
              <w:numPr>
                <w:ilvl w:val="0"/>
                <w:numId w:val="92"/>
              </w:numPr>
              <w:spacing w:after="0" w:line="240" w:lineRule="auto"/>
            </w:pPr>
            <w:r w:rsidRPr="006457E5">
              <w:rPr>
                <w:rFonts w:cs="Arial"/>
              </w:rPr>
              <w:t>Organisatorische Anforderungen an die VVGes bei der Erbringung von unabhängiger und nicht-unabhängiger Anlageberatung</w:t>
            </w:r>
          </w:p>
        </w:tc>
      </w:tr>
    </w:tbl>
    <w:p w14:paraId="1873E32E" w14:textId="77777777" w:rsidR="007F5A48" w:rsidRPr="006457E5" w:rsidRDefault="007F5A48" w:rsidP="007F5A48">
      <w:pPr>
        <w:pStyle w:val="berschrift3"/>
        <w:tabs>
          <w:tab w:val="clear" w:pos="993"/>
          <w:tab w:val="num" w:pos="709"/>
        </w:tabs>
        <w:spacing w:line="240" w:lineRule="auto"/>
        <w:ind w:left="992" w:hanging="992"/>
      </w:pPr>
      <w:bookmarkStart w:id="247" w:name="_Toc525108331"/>
      <w:bookmarkStart w:id="248" w:name="_Toc525108546"/>
      <w:bookmarkStart w:id="249" w:name="_Toc525108754"/>
      <w:bookmarkStart w:id="250" w:name="_Toc525108962"/>
      <w:bookmarkStart w:id="251" w:name="_Toc525109152"/>
      <w:bookmarkStart w:id="252" w:name="_Toc525109334"/>
      <w:bookmarkStart w:id="253" w:name="_Toc525114705"/>
      <w:bookmarkStart w:id="254" w:name="_Toc525114885"/>
      <w:bookmarkStart w:id="255" w:name="_Toc525116273"/>
      <w:bookmarkStart w:id="256" w:name="_Toc525133356"/>
      <w:bookmarkStart w:id="257" w:name="_Toc525143030"/>
      <w:bookmarkStart w:id="258" w:name="_Toc526779475"/>
      <w:bookmarkStart w:id="259" w:name="_Toc526779687"/>
      <w:bookmarkStart w:id="260" w:name="_Toc526780157"/>
      <w:bookmarkStart w:id="261" w:name="_Toc525108332"/>
      <w:bookmarkStart w:id="262" w:name="_Toc525108547"/>
      <w:bookmarkStart w:id="263" w:name="_Toc525108755"/>
      <w:bookmarkStart w:id="264" w:name="_Toc525108963"/>
      <w:bookmarkStart w:id="265" w:name="_Toc525109153"/>
      <w:bookmarkStart w:id="266" w:name="_Toc525109335"/>
      <w:bookmarkStart w:id="267" w:name="_Toc525114706"/>
      <w:bookmarkStart w:id="268" w:name="_Toc525114886"/>
      <w:bookmarkStart w:id="269" w:name="_Toc525116274"/>
      <w:bookmarkStart w:id="270" w:name="_Toc525133357"/>
      <w:bookmarkStart w:id="271" w:name="_Toc525143031"/>
      <w:bookmarkStart w:id="272" w:name="_Toc526779476"/>
      <w:bookmarkStart w:id="273" w:name="_Toc526779688"/>
      <w:bookmarkStart w:id="274" w:name="_Toc526780158"/>
      <w:bookmarkStart w:id="275" w:name="_Toc525108367"/>
      <w:bookmarkStart w:id="276" w:name="_Toc525108582"/>
      <w:bookmarkStart w:id="277" w:name="_Toc525108790"/>
      <w:bookmarkStart w:id="278" w:name="_Toc525108980"/>
      <w:bookmarkStart w:id="279" w:name="_Toc525109162"/>
      <w:bookmarkStart w:id="280" w:name="_Toc525109340"/>
      <w:bookmarkStart w:id="281" w:name="_Toc525114711"/>
      <w:bookmarkStart w:id="282" w:name="_Toc525114891"/>
      <w:bookmarkStart w:id="283" w:name="_Toc525116279"/>
      <w:bookmarkStart w:id="284" w:name="_Toc525133362"/>
      <w:bookmarkStart w:id="285" w:name="_Toc525143036"/>
      <w:bookmarkStart w:id="286" w:name="_Toc526779481"/>
      <w:bookmarkStart w:id="287" w:name="_Toc526779693"/>
      <w:bookmarkStart w:id="288" w:name="_Toc526780163"/>
      <w:bookmarkStart w:id="289" w:name="_Toc525108368"/>
      <w:bookmarkStart w:id="290" w:name="_Toc525108583"/>
      <w:bookmarkStart w:id="291" w:name="_Toc525108791"/>
      <w:bookmarkStart w:id="292" w:name="_Toc525108981"/>
      <w:bookmarkStart w:id="293" w:name="_Toc525109163"/>
      <w:bookmarkStart w:id="294" w:name="_Toc525109341"/>
      <w:bookmarkStart w:id="295" w:name="_Toc525114712"/>
      <w:bookmarkStart w:id="296" w:name="_Toc525114892"/>
      <w:bookmarkStart w:id="297" w:name="_Toc525116280"/>
      <w:bookmarkStart w:id="298" w:name="_Toc525133363"/>
      <w:bookmarkStart w:id="299" w:name="_Toc525143037"/>
      <w:bookmarkStart w:id="300" w:name="_Toc526779482"/>
      <w:bookmarkStart w:id="301" w:name="_Toc526779694"/>
      <w:bookmarkStart w:id="302" w:name="_Toc526780164"/>
      <w:bookmarkStart w:id="303" w:name="_Toc525108372"/>
      <w:bookmarkStart w:id="304" w:name="_Toc525108587"/>
      <w:bookmarkStart w:id="305" w:name="_Toc525108795"/>
      <w:bookmarkStart w:id="306" w:name="_Toc525108985"/>
      <w:bookmarkStart w:id="307" w:name="_Toc525109167"/>
      <w:bookmarkStart w:id="308" w:name="_Toc525109345"/>
      <w:bookmarkStart w:id="309" w:name="_Toc525114716"/>
      <w:bookmarkStart w:id="310" w:name="_Toc525114896"/>
      <w:bookmarkStart w:id="311" w:name="_Toc525116284"/>
      <w:bookmarkStart w:id="312" w:name="_Toc525133367"/>
      <w:bookmarkStart w:id="313" w:name="_Toc525143041"/>
      <w:bookmarkStart w:id="314" w:name="_Toc526779486"/>
      <w:bookmarkStart w:id="315" w:name="_Toc526779698"/>
      <w:bookmarkStart w:id="316" w:name="_Toc526780168"/>
      <w:bookmarkStart w:id="317" w:name="_Toc525108376"/>
      <w:bookmarkStart w:id="318" w:name="_Toc525108591"/>
      <w:bookmarkStart w:id="319" w:name="_Toc525108799"/>
      <w:bookmarkStart w:id="320" w:name="_Toc525108989"/>
      <w:bookmarkStart w:id="321" w:name="_Toc525109171"/>
      <w:bookmarkStart w:id="322" w:name="_Toc525109349"/>
      <w:bookmarkStart w:id="323" w:name="_Toc525114720"/>
      <w:bookmarkStart w:id="324" w:name="_Toc525114900"/>
      <w:bookmarkStart w:id="325" w:name="_Toc525116288"/>
      <w:bookmarkStart w:id="326" w:name="_Toc525133371"/>
      <w:bookmarkStart w:id="327" w:name="_Toc525143045"/>
      <w:bookmarkStart w:id="328" w:name="_Toc526779490"/>
      <w:bookmarkStart w:id="329" w:name="_Toc526779702"/>
      <w:bookmarkStart w:id="330" w:name="_Toc526780172"/>
      <w:bookmarkStart w:id="331" w:name="_Toc525108380"/>
      <w:bookmarkStart w:id="332" w:name="_Toc525108595"/>
      <w:bookmarkStart w:id="333" w:name="_Toc525108803"/>
      <w:bookmarkStart w:id="334" w:name="_Toc525108993"/>
      <w:bookmarkStart w:id="335" w:name="_Toc525109175"/>
      <w:bookmarkStart w:id="336" w:name="_Toc525109353"/>
      <w:bookmarkStart w:id="337" w:name="_Toc525114724"/>
      <w:bookmarkStart w:id="338" w:name="_Toc525114904"/>
      <w:bookmarkStart w:id="339" w:name="_Toc525116292"/>
      <w:bookmarkStart w:id="340" w:name="_Toc525133375"/>
      <w:bookmarkStart w:id="341" w:name="_Toc525143049"/>
      <w:bookmarkStart w:id="342" w:name="_Toc526779494"/>
      <w:bookmarkStart w:id="343" w:name="_Toc526779706"/>
      <w:bookmarkStart w:id="344" w:name="_Toc526780176"/>
      <w:bookmarkStart w:id="345" w:name="_Toc525108381"/>
      <w:bookmarkStart w:id="346" w:name="_Toc525108596"/>
      <w:bookmarkStart w:id="347" w:name="_Toc525108804"/>
      <w:bookmarkStart w:id="348" w:name="_Toc525108994"/>
      <w:bookmarkStart w:id="349" w:name="_Toc525109176"/>
      <w:bookmarkStart w:id="350" w:name="_Toc525109354"/>
      <w:bookmarkStart w:id="351" w:name="_Toc525114725"/>
      <w:bookmarkStart w:id="352" w:name="_Toc525114905"/>
      <w:bookmarkStart w:id="353" w:name="_Toc525116293"/>
      <w:bookmarkStart w:id="354" w:name="_Toc525133376"/>
      <w:bookmarkStart w:id="355" w:name="_Toc525143050"/>
      <w:bookmarkStart w:id="356" w:name="_Toc526779495"/>
      <w:bookmarkStart w:id="357" w:name="_Toc526779707"/>
      <w:bookmarkStart w:id="358" w:name="_Toc526780177"/>
      <w:bookmarkStart w:id="359" w:name="_Toc525108385"/>
      <w:bookmarkStart w:id="360" w:name="_Toc525108600"/>
      <w:bookmarkStart w:id="361" w:name="_Toc525108808"/>
      <w:bookmarkStart w:id="362" w:name="_Toc525108998"/>
      <w:bookmarkStart w:id="363" w:name="_Toc525109180"/>
      <w:bookmarkStart w:id="364" w:name="_Toc525109358"/>
      <w:bookmarkStart w:id="365" w:name="_Toc525114729"/>
      <w:bookmarkStart w:id="366" w:name="_Toc525114909"/>
      <w:bookmarkStart w:id="367" w:name="_Toc525116297"/>
      <w:bookmarkStart w:id="368" w:name="_Toc525133380"/>
      <w:bookmarkStart w:id="369" w:name="_Toc525143054"/>
      <w:bookmarkStart w:id="370" w:name="_Toc526779499"/>
      <w:bookmarkStart w:id="371" w:name="_Toc526779711"/>
      <w:bookmarkStart w:id="372" w:name="_Toc526780181"/>
      <w:bookmarkStart w:id="373" w:name="_Toc525108389"/>
      <w:bookmarkStart w:id="374" w:name="_Toc525108604"/>
      <w:bookmarkStart w:id="375" w:name="_Toc525108812"/>
      <w:bookmarkStart w:id="376" w:name="_Toc525109002"/>
      <w:bookmarkStart w:id="377" w:name="_Toc525109184"/>
      <w:bookmarkStart w:id="378" w:name="_Toc525109362"/>
      <w:bookmarkStart w:id="379" w:name="_Toc525114733"/>
      <w:bookmarkStart w:id="380" w:name="_Toc525114913"/>
      <w:bookmarkStart w:id="381" w:name="_Toc525116301"/>
      <w:bookmarkStart w:id="382" w:name="_Toc525143059"/>
      <w:bookmarkStart w:id="383" w:name="_Toc526779504"/>
      <w:bookmarkStart w:id="384" w:name="_Toc526779716"/>
      <w:bookmarkStart w:id="385" w:name="_Toc526780186"/>
      <w:bookmarkStart w:id="386" w:name="_Toc525133385"/>
      <w:bookmarkStart w:id="387" w:name="_Toc525143060"/>
      <w:bookmarkStart w:id="388" w:name="_Toc526779505"/>
      <w:bookmarkStart w:id="389" w:name="_Toc526779717"/>
      <w:bookmarkStart w:id="390" w:name="_Toc526780187"/>
      <w:bookmarkStart w:id="391" w:name="_Toc525133390"/>
      <w:bookmarkStart w:id="392" w:name="_Toc525143065"/>
      <w:bookmarkStart w:id="393" w:name="_Toc526779510"/>
      <w:bookmarkStart w:id="394" w:name="_Toc526779722"/>
      <w:bookmarkStart w:id="395" w:name="_Toc526780192"/>
      <w:bookmarkStart w:id="396" w:name="_Toc525108392"/>
      <w:bookmarkStart w:id="397" w:name="_Toc525108607"/>
      <w:bookmarkStart w:id="398" w:name="_Toc525108815"/>
      <w:bookmarkStart w:id="399" w:name="_Toc525109005"/>
      <w:bookmarkStart w:id="400" w:name="_Toc525109187"/>
      <w:bookmarkStart w:id="401" w:name="_Toc525109365"/>
      <w:bookmarkStart w:id="402" w:name="_Toc525114736"/>
      <w:bookmarkStart w:id="403" w:name="_Toc525114916"/>
      <w:bookmarkStart w:id="404" w:name="_Toc525116304"/>
      <w:bookmarkStart w:id="405" w:name="_Toc525133394"/>
      <w:bookmarkStart w:id="406" w:name="_Toc525143069"/>
      <w:bookmarkStart w:id="407" w:name="_Toc526779514"/>
      <w:bookmarkStart w:id="408" w:name="_Toc526779726"/>
      <w:bookmarkStart w:id="409" w:name="_Toc526780196"/>
      <w:bookmarkStart w:id="410" w:name="_Toc525108396"/>
      <w:bookmarkStart w:id="411" w:name="_Toc525108611"/>
      <w:bookmarkStart w:id="412" w:name="_Toc525108819"/>
      <w:bookmarkStart w:id="413" w:name="_Toc525109009"/>
      <w:bookmarkStart w:id="414" w:name="_Toc525109191"/>
      <w:bookmarkStart w:id="415" w:name="_Toc525109369"/>
      <w:bookmarkStart w:id="416" w:name="_Toc525114740"/>
      <w:bookmarkStart w:id="417" w:name="_Toc525114920"/>
      <w:bookmarkStart w:id="418" w:name="_Toc525116308"/>
      <w:bookmarkStart w:id="419" w:name="_Toc525133398"/>
      <w:bookmarkStart w:id="420" w:name="_Toc525143073"/>
      <w:bookmarkStart w:id="421" w:name="_Toc526779518"/>
      <w:bookmarkStart w:id="422" w:name="_Toc526779730"/>
      <w:bookmarkStart w:id="423" w:name="_Toc526780200"/>
      <w:bookmarkStart w:id="424" w:name="_Toc525108400"/>
      <w:bookmarkStart w:id="425" w:name="_Toc525108615"/>
      <w:bookmarkStart w:id="426" w:name="_Toc525108823"/>
      <w:bookmarkStart w:id="427" w:name="_Toc525109013"/>
      <w:bookmarkStart w:id="428" w:name="_Toc525109195"/>
      <w:bookmarkStart w:id="429" w:name="_Toc525109373"/>
      <w:bookmarkStart w:id="430" w:name="_Toc525114744"/>
      <w:bookmarkStart w:id="431" w:name="_Toc525114924"/>
      <w:bookmarkStart w:id="432" w:name="_Toc525116312"/>
      <w:bookmarkStart w:id="433" w:name="_Toc525133402"/>
      <w:bookmarkStart w:id="434" w:name="_Toc525143077"/>
      <w:bookmarkStart w:id="435" w:name="_Toc526779522"/>
      <w:bookmarkStart w:id="436" w:name="_Toc526779734"/>
      <w:bookmarkStart w:id="437" w:name="_Toc526780204"/>
      <w:bookmarkStart w:id="438" w:name="_Toc525108404"/>
      <w:bookmarkStart w:id="439" w:name="_Toc525108619"/>
      <w:bookmarkStart w:id="440" w:name="_Toc525108827"/>
      <w:bookmarkStart w:id="441" w:name="_Toc525109017"/>
      <w:bookmarkStart w:id="442" w:name="_Toc525109199"/>
      <w:bookmarkStart w:id="443" w:name="_Toc525109377"/>
      <w:bookmarkStart w:id="444" w:name="_Toc525114748"/>
      <w:bookmarkStart w:id="445" w:name="_Toc525114928"/>
      <w:bookmarkStart w:id="446" w:name="_Toc525116316"/>
      <w:bookmarkStart w:id="447" w:name="_Toc525133406"/>
      <w:bookmarkStart w:id="448" w:name="_Toc525143081"/>
      <w:bookmarkStart w:id="449" w:name="_Toc526779526"/>
      <w:bookmarkStart w:id="450" w:name="_Toc526779738"/>
      <w:bookmarkStart w:id="451" w:name="_Toc526780208"/>
      <w:bookmarkStart w:id="452" w:name="_Toc525108408"/>
      <w:bookmarkStart w:id="453" w:name="_Toc525108623"/>
      <w:bookmarkStart w:id="454" w:name="_Toc525108831"/>
      <w:bookmarkStart w:id="455" w:name="_Toc525109021"/>
      <w:bookmarkStart w:id="456" w:name="_Toc525109203"/>
      <w:bookmarkStart w:id="457" w:name="_Toc525109381"/>
      <w:bookmarkStart w:id="458" w:name="_Toc525114752"/>
      <w:bookmarkStart w:id="459" w:name="_Toc525114932"/>
      <w:bookmarkStart w:id="460" w:name="_Toc525116320"/>
      <w:bookmarkStart w:id="461" w:name="_Toc525133410"/>
      <w:bookmarkStart w:id="462" w:name="_Toc525143085"/>
      <w:bookmarkStart w:id="463" w:name="_Toc526779530"/>
      <w:bookmarkStart w:id="464" w:name="_Toc526779742"/>
      <w:bookmarkStart w:id="465" w:name="_Toc526780212"/>
      <w:bookmarkStart w:id="466" w:name="_Toc525133414"/>
      <w:bookmarkStart w:id="467" w:name="_Toc525143089"/>
      <w:bookmarkStart w:id="468" w:name="_Toc526779534"/>
      <w:bookmarkStart w:id="469" w:name="_Toc526779746"/>
      <w:bookmarkStart w:id="470" w:name="_Toc526780216"/>
      <w:bookmarkStart w:id="471" w:name="_Toc525108413"/>
      <w:bookmarkStart w:id="472" w:name="_Toc525108628"/>
      <w:bookmarkStart w:id="473" w:name="_Toc525108836"/>
      <w:bookmarkStart w:id="474" w:name="_Toc525109026"/>
      <w:bookmarkStart w:id="475" w:name="_Toc525109208"/>
      <w:bookmarkStart w:id="476" w:name="_Toc525109386"/>
      <w:bookmarkStart w:id="477" w:name="_Toc525114757"/>
      <w:bookmarkStart w:id="478" w:name="_Toc525114937"/>
      <w:bookmarkStart w:id="479" w:name="_Toc525116325"/>
      <w:bookmarkStart w:id="480" w:name="_Toc525133420"/>
      <w:bookmarkStart w:id="481" w:name="_Toc525143095"/>
      <w:bookmarkStart w:id="482" w:name="_Toc526779540"/>
      <w:bookmarkStart w:id="483" w:name="_Toc526779752"/>
      <w:bookmarkStart w:id="484" w:name="_Toc526780222"/>
      <w:bookmarkStart w:id="485" w:name="_Toc525133421"/>
      <w:bookmarkStart w:id="486" w:name="_Toc525143096"/>
      <w:bookmarkStart w:id="487" w:name="_Toc526779541"/>
      <w:bookmarkStart w:id="488" w:name="_Toc526779753"/>
      <w:bookmarkStart w:id="489" w:name="_Toc526780223"/>
      <w:bookmarkStart w:id="490" w:name="_Toc525108415"/>
      <w:bookmarkStart w:id="491" w:name="_Toc525108630"/>
      <w:bookmarkStart w:id="492" w:name="_Toc525108838"/>
      <w:bookmarkStart w:id="493" w:name="_Toc525109028"/>
      <w:bookmarkStart w:id="494" w:name="_Toc525109210"/>
      <w:bookmarkStart w:id="495" w:name="_Toc525109388"/>
      <w:bookmarkStart w:id="496" w:name="_Toc525114759"/>
      <w:bookmarkStart w:id="497" w:name="_Toc525114939"/>
      <w:bookmarkStart w:id="498" w:name="_Toc525116327"/>
      <w:bookmarkStart w:id="499" w:name="_Toc525133425"/>
      <w:bookmarkStart w:id="500" w:name="_Toc525143100"/>
      <w:bookmarkStart w:id="501" w:name="_Toc526779545"/>
      <w:bookmarkStart w:id="502" w:name="_Toc526779757"/>
      <w:bookmarkStart w:id="503" w:name="_Toc526780227"/>
      <w:bookmarkStart w:id="504" w:name="_Toc525108421"/>
      <w:bookmarkStart w:id="505" w:name="_Toc525108636"/>
      <w:bookmarkStart w:id="506" w:name="_Toc525108844"/>
      <w:bookmarkStart w:id="507" w:name="_Toc525109034"/>
      <w:bookmarkStart w:id="508" w:name="_Toc525109216"/>
      <w:bookmarkStart w:id="509" w:name="_Toc525109394"/>
      <w:bookmarkStart w:id="510" w:name="_Toc525114765"/>
      <w:bookmarkStart w:id="511" w:name="_Toc525114945"/>
      <w:bookmarkStart w:id="512" w:name="_Toc525116333"/>
      <w:bookmarkStart w:id="513" w:name="_Toc525133431"/>
      <w:bookmarkStart w:id="514" w:name="_Toc525143106"/>
      <w:bookmarkStart w:id="515" w:name="_Toc526779551"/>
      <w:bookmarkStart w:id="516" w:name="_Toc526779763"/>
      <w:bookmarkStart w:id="517" w:name="_Toc526780233"/>
      <w:bookmarkStart w:id="518" w:name="_Toc525108426"/>
      <w:bookmarkStart w:id="519" w:name="_Toc525108641"/>
      <w:bookmarkStart w:id="520" w:name="_Toc525108849"/>
      <w:bookmarkStart w:id="521" w:name="_Toc525109039"/>
      <w:bookmarkStart w:id="522" w:name="_Toc525109221"/>
      <w:bookmarkStart w:id="523" w:name="_Toc525109399"/>
      <w:bookmarkStart w:id="524" w:name="_Toc525114770"/>
      <w:bookmarkStart w:id="525" w:name="_Toc525114950"/>
      <w:bookmarkStart w:id="526" w:name="_Toc525116338"/>
      <w:bookmarkStart w:id="527" w:name="_Toc525133436"/>
      <w:bookmarkStart w:id="528" w:name="_Toc525143111"/>
      <w:bookmarkStart w:id="529" w:name="_Toc526779556"/>
      <w:bookmarkStart w:id="530" w:name="_Toc526779768"/>
      <w:bookmarkStart w:id="531" w:name="_Toc526780238"/>
      <w:bookmarkStart w:id="532" w:name="_Toc525108427"/>
      <w:bookmarkStart w:id="533" w:name="_Toc525108642"/>
      <w:bookmarkStart w:id="534" w:name="_Toc525108850"/>
      <w:bookmarkStart w:id="535" w:name="_Toc525109040"/>
      <w:bookmarkStart w:id="536" w:name="_Toc525109222"/>
      <w:bookmarkStart w:id="537" w:name="_Toc525109400"/>
      <w:bookmarkStart w:id="538" w:name="_Toc525114771"/>
      <w:bookmarkStart w:id="539" w:name="_Toc525114951"/>
      <w:bookmarkStart w:id="540" w:name="_Toc525116339"/>
      <w:bookmarkStart w:id="541" w:name="_Toc525133437"/>
      <w:bookmarkStart w:id="542" w:name="_Toc525143112"/>
      <w:bookmarkStart w:id="543" w:name="_Toc526779557"/>
      <w:bookmarkStart w:id="544" w:name="_Toc526779769"/>
      <w:bookmarkStart w:id="545" w:name="_Toc526780239"/>
      <w:bookmarkStart w:id="546" w:name="_Toc525108432"/>
      <w:bookmarkStart w:id="547" w:name="_Toc525108647"/>
      <w:bookmarkStart w:id="548" w:name="_Toc525108855"/>
      <w:bookmarkStart w:id="549" w:name="_Toc525109045"/>
      <w:bookmarkStart w:id="550" w:name="_Toc525109227"/>
      <w:bookmarkStart w:id="551" w:name="_Toc525109405"/>
      <w:bookmarkStart w:id="552" w:name="_Toc525114776"/>
      <w:bookmarkStart w:id="553" w:name="_Toc525114956"/>
      <w:bookmarkStart w:id="554" w:name="_Toc525116344"/>
      <w:bookmarkStart w:id="555" w:name="_Toc525133442"/>
      <w:bookmarkStart w:id="556" w:name="_Toc525143117"/>
      <w:bookmarkStart w:id="557" w:name="_Toc526779562"/>
      <w:bookmarkStart w:id="558" w:name="_Toc526779774"/>
      <w:bookmarkStart w:id="559" w:name="_Toc526780244"/>
      <w:bookmarkStart w:id="560" w:name="_Toc525108437"/>
      <w:bookmarkStart w:id="561" w:name="_Toc525108652"/>
      <w:bookmarkStart w:id="562" w:name="_Toc525108860"/>
      <w:bookmarkStart w:id="563" w:name="_Toc525109050"/>
      <w:bookmarkStart w:id="564" w:name="_Toc525109232"/>
      <w:bookmarkStart w:id="565" w:name="_Toc525109410"/>
      <w:bookmarkStart w:id="566" w:name="_Toc525114781"/>
      <w:bookmarkStart w:id="567" w:name="_Toc525114961"/>
      <w:bookmarkStart w:id="568" w:name="_Toc525116349"/>
      <w:bookmarkStart w:id="569" w:name="_Toc525133447"/>
      <w:bookmarkStart w:id="570" w:name="_Toc525143122"/>
      <w:bookmarkStart w:id="571" w:name="_Toc526779567"/>
      <w:bookmarkStart w:id="572" w:name="_Toc526779779"/>
      <w:bookmarkStart w:id="573" w:name="_Toc526780249"/>
      <w:bookmarkStart w:id="574" w:name="_Toc525108441"/>
      <w:bookmarkStart w:id="575" w:name="_Toc525108656"/>
      <w:bookmarkStart w:id="576" w:name="_Toc525108864"/>
      <w:bookmarkStart w:id="577" w:name="_Toc525109054"/>
      <w:bookmarkStart w:id="578" w:name="_Toc525109236"/>
      <w:bookmarkStart w:id="579" w:name="_Toc525109414"/>
      <w:bookmarkStart w:id="580" w:name="_Toc525114785"/>
      <w:bookmarkStart w:id="581" w:name="_Toc525114965"/>
      <w:bookmarkStart w:id="582" w:name="_Toc525116353"/>
      <w:bookmarkStart w:id="583" w:name="_Toc525133451"/>
      <w:bookmarkStart w:id="584" w:name="_Toc525143126"/>
      <w:bookmarkStart w:id="585" w:name="_Toc526779571"/>
      <w:bookmarkStart w:id="586" w:name="_Toc526779783"/>
      <w:bookmarkStart w:id="587" w:name="_Toc526780253"/>
      <w:bookmarkStart w:id="588" w:name="_Toc525108444"/>
      <w:bookmarkStart w:id="589" w:name="_Toc525108659"/>
      <w:bookmarkStart w:id="590" w:name="_Toc525108867"/>
      <w:bookmarkStart w:id="591" w:name="_Toc525109057"/>
      <w:bookmarkStart w:id="592" w:name="_Toc525109239"/>
      <w:bookmarkStart w:id="593" w:name="_Toc525109417"/>
      <w:bookmarkStart w:id="594" w:name="_Toc525114788"/>
      <w:bookmarkStart w:id="595" w:name="_Toc525114968"/>
      <w:bookmarkStart w:id="596" w:name="_Toc525116356"/>
      <w:bookmarkStart w:id="597" w:name="_Toc525133454"/>
      <w:bookmarkStart w:id="598" w:name="_Toc525143129"/>
      <w:bookmarkStart w:id="599" w:name="_Toc526779574"/>
      <w:bookmarkStart w:id="600" w:name="_Toc526779786"/>
      <w:bookmarkStart w:id="601" w:name="_Toc526780256"/>
      <w:bookmarkStart w:id="602" w:name="_Toc526780260"/>
      <w:bookmarkStart w:id="603" w:name="_Toc526779579"/>
      <w:bookmarkStart w:id="604" w:name="_Toc526779791"/>
      <w:bookmarkStart w:id="605" w:name="_Toc526780261"/>
      <w:bookmarkStart w:id="606" w:name="_Toc525133460"/>
      <w:bookmarkStart w:id="607" w:name="_Toc525143135"/>
      <w:bookmarkStart w:id="608" w:name="_Toc526779583"/>
      <w:bookmarkStart w:id="609" w:name="_Toc526779795"/>
      <w:bookmarkStart w:id="610" w:name="_Toc526780265"/>
      <w:bookmarkStart w:id="611" w:name="_Toc526779584"/>
      <w:bookmarkStart w:id="612" w:name="_Toc526779796"/>
      <w:bookmarkStart w:id="613" w:name="_Toc526780266"/>
      <w:bookmarkStart w:id="614" w:name="_Toc525108451"/>
      <w:bookmarkStart w:id="615" w:name="_Toc525108666"/>
      <w:bookmarkStart w:id="616" w:name="_Toc525108874"/>
      <w:bookmarkStart w:id="617" w:name="_Toc525109064"/>
      <w:bookmarkStart w:id="618" w:name="_Toc525109246"/>
      <w:bookmarkStart w:id="619" w:name="_Toc525109424"/>
      <w:bookmarkStart w:id="620" w:name="_Toc525114795"/>
      <w:bookmarkStart w:id="621" w:name="_Toc525114975"/>
      <w:bookmarkStart w:id="622" w:name="_Toc525116363"/>
      <w:bookmarkStart w:id="623" w:name="_Toc525133462"/>
      <w:bookmarkStart w:id="624" w:name="_Toc525143137"/>
      <w:bookmarkStart w:id="625" w:name="_Toc526779588"/>
      <w:bookmarkStart w:id="626" w:name="_Toc526779800"/>
      <w:bookmarkStart w:id="627" w:name="_Toc526780270"/>
      <w:bookmarkStart w:id="628" w:name="_Toc526779592"/>
      <w:bookmarkStart w:id="629" w:name="_Toc526779804"/>
      <w:bookmarkStart w:id="630" w:name="_Toc526780274"/>
      <w:bookmarkStart w:id="631" w:name="_Toc160111771"/>
      <w:bookmarkStart w:id="632" w:name="_Toc185240931"/>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r w:rsidRPr="006457E5">
        <w:lastRenderedPageBreak/>
        <w:t xml:space="preserve">Aufzeichnungs- </w:t>
      </w:r>
      <w:r w:rsidRPr="006457E5">
        <w:rPr>
          <w:rFonts w:cs="Arial"/>
        </w:rPr>
        <w:t>und Aufbewahrungspflichten</w:t>
      </w:r>
      <w:bookmarkEnd w:id="631"/>
      <w:bookmarkEnd w:id="632"/>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7F5A48" w:rsidRPr="006457E5" w14:paraId="74394B2C" w14:textId="77777777" w:rsidTr="00F67AC8">
        <w:tc>
          <w:tcPr>
            <w:tcW w:w="12191" w:type="dxa"/>
            <w:tcBorders>
              <w:top w:val="nil"/>
              <w:left w:val="nil"/>
              <w:bottom w:val="nil"/>
              <w:right w:val="nil"/>
            </w:tcBorders>
            <w:shd w:val="clear" w:color="auto" w:fill="auto"/>
          </w:tcPr>
          <w:p w14:paraId="30DF2A03" w14:textId="77777777" w:rsidR="006A7719" w:rsidRPr="006457E5" w:rsidRDefault="007F5A48" w:rsidP="006A7719">
            <w:pPr>
              <w:spacing w:after="0" w:line="240" w:lineRule="auto"/>
              <w:rPr>
                <w:rFonts w:cs="Arial"/>
              </w:rPr>
            </w:pPr>
            <w:r w:rsidRPr="006457E5">
              <w:rPr>
                <w:rFonts w:cs="Arial"/>
              </w:rPr>
              <w:t>Die Revisionsstelle nimmt Stellung zur Einhaltung der Vorschriften im Hinblick auf die Aufzeichnungs- und Aufbewahrungspflichten</w:t>
            </w:r>
            <w:r w:rsidR="00BA219F" w:rsidRPr="006457E5">
              <w:rPr>
                <w:rFonts w:cs="Arial"/>
              </w:rPr>
              <w:t>,</w:t>
            </w:r>
            <w:r w:rsidR="006A7719" w:rsidRPr="006457E5">
              <w:rPr>
                <w:rFonts w:cs="Arial"/>
              </w:rPr>
              <w:t xml:space="preserve"> insbesondere in Bezug auf nachfolgende Punkte:</w:t>
            </w:r>
          </w:p>
          <w:p w14:paraId="7C5B87CF" w14:textId="77777777" w:rsidR="006A7719" w:rsidRPr="006457E5" w:rsidRDefault="006A7719" w:rsidP="004A2311">
            <w:pPr>
              <w:pStyle w:val="Listenabsatz"/>
              <w:numPr>
                <w:ilvl w:val="0"/>
                <w:numId w:val="91"/>
              </w:numPr>
              <w:spacing w:after="0" w:line="240" w:lineRule="auto"/>
              <w:rPr>
                <w:rFonts w:cs="Arial"/>
              </w:rPr>
            </w:pPr>
            <w:r w:rsidRPr="006457E5">
              <w:rPr>
                <w:rFonts w:cs="Arial"/>
              </w:rPr>
              <w:t>Interne Weisungen</w:t>
            </w:r>
          </w:p>
          <w:p w14:paraId="5E75FE6B" w14:textId="77777777" w:rsidR="006A7719" w:rsidRPr="006457E5" w:rsidRDefault="006A7719" w:rsidP="004A2311">
            <w:pPr>
              <w:pStyle w:val="Listenabsatz"/>
              <w:numPr>
                <w:ilvl w:val="0"/>
                <w:numId w:val="91"/>
              </w:numPr>
              <w:spacing w:after="0" w:line="240" w:lineRule="auto"/>
              <w:rPr>
                <w:rFonts w:cs="Arial"/>
              </w:rPr>
            </w:pPr>
            <w:r w:rsidRPr="006457E5">
              <w:rPr>
                <w:rFonts w:cs="Arial"/>
              </w:rPr>
              <w:t>Aufzeichnungspflichten Kommunikation und Telefongespräche</w:t>
            </w:r>
          </w:p>
          <w:p w14:paraId="6FAE3033" w14:textId="77777777" w:rsidR="006A7719" w:rsidRPr="006457E5" w:rsidRDefault="006A7719" w:rsidP="004A2311">
            <w:pPr>
              <w:pStyle w:val="Listenabsatz"/>
              <w:numPr>
                <w:ilvl w:val="0"/>
                <w:numId w:val="91"/>
              </w:numPr>
              <w:spacing w:after="0" w:line="240" w:lineRule="auto"/>
              <w:rPr>
                <w:rFonts w:cs="Arial"/>
              </w:rPr>
            </w:pPr>
            <w:r w:rsidRPr="006457E5">
              <w:rPr>
                <w:rFonts w:cs="Arial"/>
              </w:rPr>
              <w:t>Aufbewahrungspflicht</w:t>
            </w:r>
          </w:p>
          <w:p w14:paraId="087C12DC" w14:textId="77777777" w:rsidR="006A7719" w:rsidRPr="006457E5" w:rsidRDefault="006A7719" w:rsidP="004A2311">
            <w:pPr>
              <w:pStyle w:val="Listenabsatz"/>
              <w:numPr>
                <w:ilvl w:val="0"/>
                <w:numId w:val="91"/>
              </w:numPr>
              <w:spacing w:after="0" w:line="240" w:lineRule="auto"/>
              <w:rPr>
                <w:rFonts w:cs="Arial"/>
              </w:rPr>
            </w:pPr>
            <w:r w:rsidRPr="006457E5">
              <w:rPr>
                <w:rFonts w:cs="Arial"/>
              </w:rPr>
              <w:t>Offenlegung</w:t>
            </w:r>
          </w:p>
          <w:p w14:paraId="5676861C" w14:textId="0E49E0EE" w:rsidR="00205318" w:rsidRPr="006457E5" w:rsidRDefault="006A7719" w:rsidP="00205318">
            <w:pPr>
              <w:pStyle w:val="Listenabsatz"/>
              <w:numPr>
                <w:ilvl w:val="0"/>
                <w:numId w:val="91"/>
              </w:numPr>
              <w:spacing w:after="0" w:line="240" w:lineRule="auto"/>
              <w:rPr>
                <w:rFonts w:cs="Arial"/>
              </w:rPr>
            </w:pPr>
            <w:r w:rsidRPr="006457E5">
              <w:rPr>
                <w:rFonts w:cs="Arial"/>
              </w:rPr>
              <w:t>Compliance</w:t>
            </w:r>
          </w:p>
          <w:p w14:paraId="1F64E8DD" w14:textId="7D46218D" w:rsidR="00205318" w:rsidRPr="006457E5" w:rsidRDefault="00205318" w:rsidP="00205318">
            <w:pPr>
              <w:spacing w:after="0" w:line="240" w:lineRule="auto"/>
              <w:rPr>
                <w:rFonts w:cs="Arial"/>
              </w:rPr>
            </w:pPr>
          </w:p>
          <w:p w14:paraId="1AEC3EFE" w14:textId="1FD0E543" w:rsidR="001457E5" w:rsidRPr="006457E5" w:rsidRDefault="00205318" w:rsidP="001E1196">
            <w:pPr>
              <w:spacing w:after="0" w:line="240" w:lineRule="auto"/>
              <w:rPr>
                <w:rFonts w:cs="Arial"/>
              </w:rPr>
            </w:pPr>
            <w:r w:rsidRPr="006457E5">
              <w:rPr>
                <w:rFonts w:cs="Arial"/>
              </w:rPr>
              <w:t>Bei Zweigniederlassungen in einem anderen Mitgliedstaat prüft die Revisionsstelle die Einhaltung des Art. 22 VVG.</w:t>
            </w:r>
          </w:p>
        </w:tc>
      </w:tr>
    </w:tbl>
    <w:p w14:paraId="5505B9F7" w14:textId="5680774E" w:rsidR="007F5A48" w:rsidRPr="006457E5" w:rsidRDefault="007F5A48" w:rsidP="000B1EF0">
      <w:pPr>
        <w:pStyle w:val="berschrift3"/>
        <w:tabs>
          <w:tab w:val="clear" w:pos="993"/>
          <w:tab w:val="num" w:pos="709"/>
        </w:tabs>
        <w:spacing w:line="240" w:lineRule="auto"/>
        <w:ind w:left="992" w:hanging="992"/>
      </w:pPr>
      <w:bookmarkStart w:id="633" w:name="_Toc160111772"/>
      <w:bookmarkStart w:id="634" w:name="_Toc185240932"/>
      <w:r w:rsidRPr="006457E5">
        <w:t>Zuwendungen</w:t>
      </w:r>
      <w:bookmarkEnd w:id="633"/>
      <w:bookmarkEnd w:id="634"/>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7F5A48" w:rsidRPr="006457E5" w14:paraId="476D519B" w14:textId="77777777" w:rsidTr="00F67AC8">
        <w:tc>
          <w:tcPr>
            <w:tcW w:w="12191" w:type="dxa"/>
            <w:tcBorders>
              <w:top w:val="nil"/>
              <w:left w:val="nil"/>
              <w:bottom w:val="nil"/>
              <w:right w:val="nil"/>
            </w:tcBorders>
            <w:shd w:val="clear" w:color="auto" w:fill="auto"/>
          </w:tcPr>
          <w:p w14:paraId="57BC109F" w14:textId="77777777" w:rsidR="00A95E2E" w:rsidRPr="006457E5" w:rsidRDefault="007F5A48" w:rsidP="00F67AC8">
            <w:pPr>
              <w:spacing w:after="0" w:line="240" w:lineRule="auto"/>
              <w:rPr>
                <w:rFonts w:cs="Arial"/>
              </w:rPr>
            </w:pPr>
            <w:r w:rsidRPr="006457E5">
              <w:rPr>
                <w:rFonts w:cs="Arial"/>
              </w:rPr>
              <w:t>Die Revisionsstelle nimmt Stellung zur Einhaltung der Vorschriften im Hinblick auf die Entgegennahme oder Zahlung von Zuwendungen (Inducements)</w:t>
            </w:r>
            <w:r w:rsidR="00BA219F" w:rsidRPr="006457E5">
              <w:rPr>
                <w:rFonts w:cs="Arial"/>
              </w:rPr>
              <w:t>,</w:t>
            </w:r>
            <w:r w:rsidR="00A95E2E" w:rsidRPr="006457E5">
              <w:rPr>
                <w:rFonts w:cs="Arial"/>
              </w:rPr>
              <w:t xml:space="preserve"> insbesondere in Bezug auf nachfolgende Punkte:</w:t>
            </w:r>
          </w:p>
          <w:p w14:paraId="64D68012" w14:textId="77777777" w:rsidR="006A7719" w:rsidRPr="006457E5" w:rsidRDefault="00A95E2E" w:rsidP="004A2311">
            <w:pPr>
              <w:pStyle w:val="Listenabsatz"/>
              <w:numPr>
                <w:ilvl w:val="0"/>
                <w:numId w:val="90"/>
              </w:numPr>
              <w:spacing w:after="0" w:line="240" w:lineRule="auto"/>
              <w:rPr>
                <w:rFonts w:cs="Arial"/>
              </w:rPr>
            </w:pPr>
            <w:r w:rsidRPr="006457E5">
              <w:rPr>
                <w:rFonts w:cs="Arial"/>
              </w:rPr>
              <w:t xml:space="preserve">Klassierung der </w:t>
            </w:r>
            <w:r w:rsidR="006A7719" w:rsidRPr="006457E5">
              <w:rPr>
                <w:rFonts w:cs="Arial"/>
              </w:rPr>
              <w:t>Gesellschaft</w:t>
            </w:r>
          </w:p>
          <w:p w14:paraId="13FC2A5A" w14:textId="77777777" w:rsidR="006A7719" w:rsidRPr="006457E5" w:rsidRDefault="006A7719" w:rsidP="004A2311">
            <w:pPr>
              <w:pStyle w:val="Listenabsatz"/>
              <w:numPr>
                <w:ilvl w:val="0"/>
                <w:numId w:val="90"/>
              </w:numPr>
              <w:spacing w:after="0" w:line="240" w:lineRule="auto"/>
              <w:rPr>
                <w:rFonts w:cs="Arial"/>
              </w:rPr>
            </w:pPr>
            <w:r w:rsidRPr="006457E5">
              <w:rPr>
                <w:rFonts w:cs="Arial"/>
              </w:rPr>
              <w:t>Interne Weisung</w:t>
            </w:r>
            <w:r w:rsidR="00BA219F" w:rsidRPr="006457E5">
              <w:rPr>
                <w:rFonts w:cs="Arial"/>
              </w:rPr>
              <w:t>en</w:t>
            </w:r>
          </w:p>
          <w:p w14:paraId="4BF1832E" w14:textId="77777777" w:rsidR="006A7719" w:rsidRPr="006457E5" w:rsidRDefault="006A7719" w:rsidP="004A2311">
            <w:pPr>
              <w:pStyle w:val="Listenabsatz"/>
              <w:numPr>
                <w:ilvl w:val="0"/>
                <w:numId w:val="90"/>
              </w:numPr>
              <w:spacing w:after="0" w:line="240" w:lineRule="auto"/>
              <w:rPr>
                <w:rFonts w:cs="Arial"/>
              </w:rPr>
            </w:pPr>
            <w:r w:rsidRPr="006457E5">
              <w:rPr>
                <w:rFonts w:cs="Arial"/>
              </w:rPr>
              <w:t>Aufzeichnung der Zuwendungen und Klassierung</w:t>
            </w:r>
          </w:p>
          <w:p w14:paraId="0B42564E" w14:textId="77777777" w:rsidR="006A7719" w:rsidRPr="006457E5" w:rsidRDefault="006A7719" w:rsidP="004A2311">
            <w:pPr>
              <w:pStyle w:val="Listenabsatz"/>
              <w:numPr>
                <w:ilvl w:val="0"/>
                <w:numId w:val="90"/>
              </w:numPr>
              <w:spacing w:after="0" w:line="240" w:lineRule="auto"/>
              <w:rPr>
                <w:rFonts w:cs="Arial"/>
              </w:rPr>
            </w:pPr>
            <w:r w:rsidRPr="006457E5">
              <w:rPr>
                <w:rFonts w:cs="Arial"/>
              </w:rPr>
              <w:t>Weitergabe/Einbehalt von monetären Zuwendungen</w:t>
            </w:r>
          </w:p>
          <w:p w14:paraId="0AF5929B" w14:textId="77777777" w:rsidR="006A7719" w:rsidRPr="006457E5" w:rsidRDefault="006A7719" w:rsidP="004A2311">
            <w:pPr>
              <w:pStyle w:val="Listenabsatz"/>
              <w:numPr>
                <w:ilvl w:val="0"/>
                <w:numId w:val="90"/>
              </w:numPr>
              <w:spacing w:after="0" w:line="240" w:lineRule="auto"/>
              <w:rPr>
                <w:rFonts w:cs="Arial"/>
              </w:rPr>
            </w:pPr>
            <w:r w:rsidRPr="006457E5">
              <w:rPr>
                <w:rFonts w:cs="Arial"/>
              </w:rPr>
              <w:t>Einbehalt von nicht monetären Zuwendungen</w:t>
            </w:r>
          </w:p>
          <w:p w14:paraId="0A05F47E" w14:textId="77777777" w:rsidR="006A7719" w:rsidRPr="006457E5" w:rsidRDefault="006A7719" w:rsidP="004A2311">
            <w:pPr>
              <w:pStyle w:val="Listenabsatz"/>
              <w:numPr>
                <w:ilvl w:val="0"/>
                <w:numId w:val="90"/>
              </w:numPr>
              <w:spacing w:after="0" w:line="240" w:lineRule="auto"/>
              <w:rPr>
                <w:rFonts w:cs="Arial"/>
              </w:rPr>
            </w:pPr>
            <w:r w:rsidRPr="006457E5">
              <w:rPr>
                <w:rFonts w:cs="Arial"/>
              </w:rPr>
              <w:t>Offenlegung</w:t>
            </w:r>
          </w:p>
          <w:p w14:paraId="21813162" w14:textId="77777777" w:rsidR="006A7719" w:rsidRPr="006457E5" w:rsidRDefault="006A7719" w:rsidP="004A2311">
            <w:pPr>
              <w:pStyle w:val="Listenabsatz"/>
              <w:numPr>
                <w:ilvl w:val="0"/>
                <w:numId w:val="90"/>
              </w:numPr>
              <w:spacing w:after="0" w:line="240" w:lineRule="auto"/>
              <w:rPr>
                <w:rFonts w:cs="Arial"/>
              </w:rPr>
            </w:pPr>
            <w:r w:rsidRPr="006457E5">
              <w:rPr>
                <w:rFonts w:cs="Arial"/>
              </w:rPr>
              <w:t>Interessenskonflikte</w:t>
            </w:r>
          </w:p>
          <w:p w14:paraId="74504B80" w14:textId="45A95222" w:rsidR="00BF1C50" w:rsidRPr="003942AC" w:rsidRDefault="006A7719" w:rsidP="003942AC">
            <w:pPr>
              <w:pStyle w:val="Listenabsatz"/>
              <w:numPr>
                <w:ilvl w:val="0"/>
                <w:numId w:val="90"/>
              </w:numPr>
              <w:spacing w:after="0" w:line="240" w:lineRule="auto"/>
              <w:rPr>
                <w:rFonts w:cs="Arial"/>
              </w:rPr>
            </w:pPr>
            <w:r w:rsidRPr="006457E5">
              <w:rPr>
                <w:rFonts w:cs="Arial"/>
              </w:rPr>
              <w:t>Analysen und Analysenkonto</w:t>
            </w:r>
          </w:p>
        </w:tc>
      </w:tr>
    </w:tbl>
    <w:p w14:paraId="47E0748F" w14:textId="588B29E6" w:rsidR="000B1990" w:rsidRPr="006457E5" w:rsidRDefault="000B1990" w:rsidP="003942AC">
      <w:pPr>
        <w:pStyle w:val="berschrift3"/>
        <w:tabs>
          <w:tab w:val="clear" w:pos="993"/>
          <w:tab w:val="num" w:pos="709"/>
        </w:tabs>
        <w:spacing w:line="240" w:lineRule="auto"/>
        <w:ind w:left="992" w:hanging="992"/>
      </w:pPr>
      <w:bookmarkStart w:id="635" w:name="_Toc160111773"/>
      <w:bookmarkStart w:id="636" w:name="_Toc185240933"/>
      <w:r w:rsidRPr="006457E5">
        <w:t>Geeignetheit und Angemessenheit</w:t>
      </w:r>
      <w:bookmarkEnd w:id="635"/>
      <w:bookmarkEnd w:id="636"/>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0B1990" w:rsidRPr="006457E5" w14:paraId="12733F4A" w14:textId="77777777" w:rsidTr="00F67AC8">
        <w:tc>
          <w:tcPr>
            <w:tcW w:w="12191" w:type="dxa"/>
            <w:tcBorders>
              <w:top w:val="nil"/>
              <w:left w:val="nil"/>
              <w:bottom w:val="nil"/>
              <w:right w:val="nil"/>
            </w:tcBorders>
            <w:shd w:val="clear" w:color="auto" w:fill="auto"/>
          </w:tcPr>
          <w:p w14:paraId="08E47635" w14:textId="77777777" w:rsidR="00B45E42" w:rsidRPr="006457E5" w:rsidRDefault="000B1990" w:rsidP="00F67AC8">
            <w:pPr>
              <w:spacing w:after="0" w:line="240" w:lineRule="auto"/>
              <w:rPr>
                <w:rFonts w:cs="Arial"/>
              </w:rPr>
            </w:pPr>
            <w:r w:rsidRPr="006457E5">
              <w:rPr>
                <w:rFonts w:cs="Arial"/>
              </w:rPr>
              <w:t>Die Revisionsstelle nimmt Stellung zur Einhaltung der Vorschriften betreffend die Geeignetheit und Angemessenheit</w:t>
            </w:r>
            <w:r w:rsidR="00BA219F" w:rsidRPr="006457E5">
              <w:rPr>
                <w:rFonts w:cs="Arial"/>
              </w:rPr>
              <w:t>,</w:t>
            </w:r>
            <w:r w:rsidR="00B45E42" w:rsidRPr="006457E5">
              <w:rPr>
                <w:rFonts w:cs="Arial"/>
              </w:rPr>
              <w:t xml:space="preserve"> insbesondere in Bezug auf nachfolgende Punkte:</w:t>
            </w:r>
          </w:p>
          <w:p w14:paraId="3F978414" w14:textId="77777777" w:rsidR="00B45E42" w:rsidRPr="006457E5" w:rsidRDefault="00B45E42" w:rsidP="004A2311">
            <w:pPr>
              <w:pStyle w:val="Listenabsatz"/>
              <w:numPr>
                <w:ilvl w:val="0"/>
                <w:numId w:val="85"/>
              </w:numPr>
              <w:spacing w:after="0" w:line="240" w:lineRule="auto"/>
              <w:rPr>
                <w:rFonts w:cs="Arial"/>
              </w:rPr>
            </w:pPr>
            <w:r w:rsidRPr="006457E5">
              <w:rPr>
                <w:rFonts w:cs="Arial"/>
              </w:rPr>
              <w:t>Interne Weisungen</w:t>
            </w:r>
          </w:p>
          <w:p w14:paraId="32B2CF47" w14:textId="102C6B73" w:rsidR="00B45E42" w:rsidRPr="006457E5" w:rsidRDefault="00B45E42" w:rsidP="004A2311">
            <w:pPr>
              <w:pStyle w:val="Listenabsatz"/>
              <w:numPr>
                <w:ilvl w:val="0"/>
                <w:numId w:val="85"/>
              </w:numPr>
              <w:spacing w:after="0" w:line="240" w:lineRule="auto"/>
              <w:rPr>
                <w:rFonts w:cs="Arial"/>
              </w:rPr>
            </w:pPr>
            <w:r w:rsidRPr="006457E5">
              <w:rPr>
                <w:rFonts w:cs="Arial"/>
              </w:rPr>
              <w:t>Organisation</w:t>
            </w:r>
            <w:r w:rsidR="00C04D57" w:rsidRPr="006457E5">
              <w:rPr>
                <w:rFonts w:cs="Arial"/>
              </w:rPr>
              <w:t xml:space="preserve"> </w:t>
            </w:r>
          </w:p>
          <w:p w14:paraId="10C6B2BC" w14:textId="09FD52B3" w:rsidR="00B45E42" w:rsidRPr="006457E5" w:rsidRDefault="00B45E42" w:rsidP="004A2311">
            <w:pPr>
              <w:pStyle w:val="Listenabsatz"/>
              <w:numPr>
                <w:ilvl w:val="0"/>
                <w:numId w:val="85"/>
              </w:numPr>
              <w:spacing w:after="0" w:line="240" w:lineRule="auto"/>
              <w:rPr>
                <w:rFonts w:cs="Arial"/>
              </w:rPr>
            </w:pPr>
            <w:r w:rsidRPr="006457E5">
              <w:rPr>
                <w:rFonts w:cs="Arial"/>
              </w:rPr>
              <w:t>Einholung der Informationen über den Kunden</w:t>
            </w:r>
            <w:r w:rsidR="00AE484E" w:rsidRPr="006457E5">
              <w:rPr>
                <w:rFonts w:cs="Arial"/>
              </w:rPr>
              <w:t>, einschliesslich der Nachhaltigkeitspräferenzen</w:t>
            </w:r>
          </w:p>
          <w:p w14:paraId="2B4ED873" w14:textId="77777777" w:rsidR="004B12F7" w:rsidRPr="006457E5" w:rsidRDefault="00B45E42" w:rsidP="004B12F7">
            <w:pPr>
              <w:pStyle w:val="Listenabsatz"/>
              <w:numPr>
                <w:ilvl w:val="0"/>
                <w:numId w:val="86"/>
              </w:numPr>
              <w:spacing w:after="0" w:line="240" w:lineRule="auto"/>
              <w:rPr>
                <w:rFonts w:cs="Arial"/>
              </w:rPr>
            </w:pPr>
            <w:r w:rsidRPr="006457E5">
              <w:rPr>
                <w:rFonts w:cs="Arial"/>
              </w:rPr>
              <w:t>Durchführung der S&amp;A Tests</w:t>
            </w:r>
            <w:r w:rsidR="004B12F7" w:rsidRPr="006457E5">
              <w:rPr>
                <w:rFonts w:cs="Arial"/>
              </w:rPr>
              <w:t xml:space="preserve"> </w:t>
            </w:r>
          </w:p>
          <w:p w14:paraId="45D6780A" w14:textId="2582F071" w:rsidR="004B12F7" w:rsidRPr="006457E5" w:rsidRDefault="004B12F7" w:rsidP="004B12F7">
            <w:pPr>
              <w:pStyle w:val="Listenabsatz"/>
              <w:numPr>
                <w:ilvl w:val="0"/>
                <w:numId w:val="86"/>
              </w:numPr>
              <w:spacing w:after="0" w:line="240" w:lineRule="auto"/>
              <w:rPr>
                <w:rFonts w:cs="Arial"/>
              </w:rPr>
            </w:pPr>
            <w:r w:rsidRPr="006457E5">
              <w:rPr>
                <w:rFonts w:cs="Arial"/>
              </w:rPr>
              <w:t>Umschichtung von Anlagen</w:t>
            </w:r>
          </w:p>
          <w:p w14:paraId="4FC7F37F" w14:textId="77777777" w:rsidR="004B12F7" w:rsidRPr="006457E5" w:rsidRDefault="004B12F7" w:rsidP="004B12F7">
            <w:pPr>
              <w:pStyle w:val="Listenabsatz"/>
              <w:numPr>
                <w:ilvl w:val="0"/>
                <w:numId w:val="86"/>
              </w:numPr>
              <w:spacing w:after="0" w:line="240" w:lineRule="auto"/>
              <w:rPr>
                <w:rFonts w:cs="Arial"/>
              </w:rPr>
            </w:pPr>
            <w:r w:rsidRPr="006457E5">
              <w:rPr>
                <w:rFonts w:cs="Arial"/>
              </w:rPr>
              <w:t>Vereinbarungen bei Portfolioverwaltungsdienstleistungen und allgemeine Überwachung der Anlagevorschriften</w:t>
            </w:r>
          </w:p>
          <w:p w14:paraId="7C64EF97" w14:textId="77777777" w:rsidR="004E14AA" w:rsidRDefault="004B12F7" w:rsidP="004E14AA">
            <w:pPr>
              <w:pStyle w:val="Listenabsatz"/>
              <w:numPr>
                <w:ilvl w:val="0"/>
                <w:numId w:val="85"/>
              </w:numPr>
              <w:spacing w:after="0" w:line="240" w:lineRule="auto"/>
              <w:rPr>
                <w:rFonts w:cs="Arial"/>
              </w:rPr>
            </w:pPr>
            <w:r w:rsidRPr="006457E5">
              <w:rPr>
                <w:rFonts w:cs="Arial"/>
              </w:rPr>
              <w:lastRenderedPageBreak/>
              <w:t>Produktauswahl und potenzielle Interessenkonflikte</w:t>
            </w:r>
          </w:p>
          <w:p w14:paraId="54D3D034" w14:textId="0D23EC5D" w:rsidR="004E14AA" w:rsidRDefault="00B45E42" w:rsidP="004E14AA">
            <w:pPr>
              <w:pStyle w:val="Listenabsatz"/>
              <w:numPr>
                <w:ilvl w:val="0"/>
                <w:numId w:val="85"/>
              </w:numPr>
              <w:spacing w:after="0"/>
              <w:contextualSpacing w:val="0"/>
              <w:rPr>
                <w:rFonts w:cs="Arial"/>
              </w:rPr>
            </w:pPr>
            <w:r w:rsidRPr="004E14AA">
              <w:rPr>
                <w:rFonts w:cs="Arial"/>
              </w:rPr>
              <w:t>Dokumentation</w:t>
            </w:r>
          </w:p>
          <w:p w14:paraId="6DEC0470" w14:textId="2BF80E96" w:rsidR="00996123" w:rsidRPr="000B1EF0" w:rsidRDefault="00DA7436" w:rsidP="00DA7436">
            <w:pPr>
              <w:pStyle w:val="Listenabsatz"/>
              <w:numPr>
                <w:ilvl w:val="0"/>
                <w:numId w:val="85"/>
              </w:numPr>
              <w:spacing w:after="0"/>
              <w:contextualSpacing w:val="0"/>
              <w:rPr>
                <w:rFonts w:cs="Arial"/>
              </w:rPr>
            </w:pPr>
            <w:r w:rsidRPr="004E14AA">
              <w:rPr>
                <w:rFonts w:cs="Arial"/>
              </w:rPr>
              <w:t>Reporting und Berichtspflichten gegenüber dem Kunden</w:t>
            </w:r>
          </w:p>
        </w:tc>
      </w:tr>
    </w:tbl>
    <w:p w14:paraId="6A4FC46F" w14:textId="77777777" w:rsidR="00C4303A" w:rsidRPr="006457E5" w:rsidRDefault="0001676D" w:rsidP="0001676D">
      <w:pPr>
        <w:pStyle w:val="berschrift3"/>
        <w:tabs>
          <w:tab w:val="clear" w:pos="993"/>
          <w:tab w:val="num" w:pos="709"/>
        </w:tabs>
        <w:spacing w:line="240" w:lineRule="auto"/>
        <w:ind w:left="992" w:hanging="992"/>
      </w:pPr>
      <w:bookmarkStart w:id="637" w:name="_Toc160111774"/>
      <w:bookmarkStart w:id="638" w:name="_Toc185240934"/>
      <w:r w:rsidRPr="006457E5">
        <w:lastRenderedPageBreak/>
        <w:t>Produktüberwachung</w:t>
      </w:r>
      <w:bookmarkEnd w:id="637"/>
      <w:bookmarkEnd w:id="638"/>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C4303A" w:rsidRPr="006457E5" w14:paraId="04F33D6F" w14:textId="77777777" w:rsidTr="001E1196">
        <w:trPr>
          <w:trHeight w:val="142"/>
        </w:trPr>
        <w:tc>
          <w:tcPr>
            <w:tcW w:w="12191" w:type="dxa"/>
            <w:tcBorders>
              <w:top w:val="nil"/>
              <w:left w:val="nil"/>
              <w:bottom w:val="nil"/>
              <w:right w:val="nil"/>
            </w:tcBorders>
            <w:shd w:val="clear" w:color="auto" w:fill="auto"/>
          </w:tcPr>
          <w:p w14:paraId="112FCC44" w14:textId="31EBF35C" w:rsidR="004F47A3" w:rsidRPr="006457E5" w:rsidRDefault="0001676D">
            <w:pPr>
              <w:spacing w:after="0" w:line="240" w:lineRule="auto"/>
              <w:rPr>
                <w:rFonts w:cs="Arial"/>
              </w:rPr>
            </w:pPr>
            <w:r w:rsidRPr="006457E5">
              <w:rPr>
                <w:rFonts w:cs="Arial"/>
              </w:rPr>
              <w:t xml:space="preserve">Die Revisionsstelle nimmt Stellung zur Einhaltung der Vorschriften </w:t>
            </w:r>
            <w:r w:rsidR="000B1990" w:rsidRPr="006457E5">
              <w:rPr>
                <w:rFonts w:cs="Arial"/>
              </w:rPr>
              <w:t>betreffend die Produktüberwachung</w:t>
            </w:r>
            <w:r w:rsidR="00BA219F" w:rsidRPr="006457E5">
              <w:rPr>
                <w:rFonts w:cs="Arial"/>
              </w:rPr>
              <w:t>,</w:t>
            </w:r>
            <w:r w:rsidR="004F47A3" w:rsidRPr="006457E5">
              <w:rPr>
                <w:rFonts w:cs="Arial"/>
              </w:rPr>
              <w:t xml:space="preserve"> insbesondere in Bezug auf die nachfolgenden Punkte (Produktvertreiber</w:t>
            </w:r>
            <w:r w:rsidR="00EB6BE4" w:rsidRPr="006457E5">
              <w:rPr>
                <w:rFonts w:cs="Arial"/>
              </w:rPr>
              <w:t>/Zielmarkt</w:t>
            </w:r>
            <w:r w:rsidR="004F47A3" w:rsidRPr="006457E5">
              <w:rPr>
                <w:rFonts w:cs="Arial"/>
              </w:rPr>
              <w:t>)</w:t>
            </w:r>
            <w:r w:rsidR="004E14AA">
              <w:rPr>
                <w:rFonts w:cs="Arial"/>
              </w:rPr>
              <w:t>:</w:t>
            </w:r>
          </w:p>
          <w:p w14:paraId="71BBFC6E" w14:textId="30EBC076" w:rsidR="004F47A3" w:rsidRPr="006457E5" w:rsidRDefault="004F47A3" w:rsidP="004A2311">
            <w:pPr>
              <w:pStyle w:val="Listenabsatz"/>
              <w:numPr>
                <w:ilvl w:val="0"/>
                <w:numId w:val="88"/>
              </w:numPr>
              <w:spacing w:after="0" w:line="240" w:lineRule="auto"/>
              <w:rPr>
                <w:rFonts w:cs="Arial"/>
              </w:rPr>
            </w:pPr>
            <w:r w:rsidRPr="006457E5">
              <w:rPr>
                <w:rFonts w:cs="Arial"/>
              </w:rPr>
              <w:t>Prozess zur regelmässigen Überprüfung der Kompatibilität der Finanzinstrumente mit dem Zielmarkt</w:t>
            </w:r>
            <w:r w:rsidR="00AE484E" w:rsidRPr="006457E5">
              <w:rPr>
                <w:rFonts w:cs="Arial"/>
              </w:rPr>
              <w:t xml:space="preserve"> (dabei werden ebenfalls </w:t>
            </w:r>
            <w:r w:rsidR="00AE484E" w:rsidRPr="006457E5">
              <w:rPr>
                <w:color w:val="000000"/>
                <w:shd w:val="clear" w:color="auto" w:fill="FFFFFF"/>
              </w:rPr>
              <w:t>etwaige Nachhaltigkeitsfaktoren berücksichtigt)</w:t>
            </w:r>
          </w:p>
          <w:p w14:paraId="53CFFCD9" w14:textId="77777777" w:rsidR="00EB6BE4" w:rsidRPr="006457E5" w:rsidRDefault="004F47A3" w:rsidP="004A2311">
            <w:pPr>
              <w:pStyle w:val="Listenabsatz"/>
              <w:numPr>
                <w:ilvl w:val="0"/>
                <w:numId w:val="88"/>
              </w:numPr>
              <w:spacing w:after="0" w:line="240" w:lineRule="auto"/>
              <w:rPr>
                <w:rFonts w:cs="Arial"/>
              </w:rPr>
            </w:pPr>
            <w:r w:rsidRPr="006457E5">
              <w:rPr>
                <w:rFonts w:cs="Arial"/>
              </w:rPr>
              <w:t>Prozess in Bezug auf den Vertrieb des Finanzinstruments ausserhalb des positiven Zielmarkts</w:t>
            </w:r>
          </w:p>
          <w:p w14:paraId="6D23F875" w14:textId="77777777" w:rsidR="00EB6BE4" w:rsidRPr="006457E5" w:rsidRDefault="00EB6BE4" w:rsidP="004A2311">
            <w:pPr>
              <w:pStyle w:val="Listenabsatz"/>
              <w:numPr>
                <w:ilvl w:val="0"/>
                <w:numId w:val="88"/>
              </w:numPr>
              <w:spacing w:after="0" w:line="240" w:lineRule="auto"/>
              <w:rPr>
                <w:rFonts w:cs="Arial"/>
              </w:rPr>
            </w:pPr>
            <w:r w:rsidRPr="006457E5">
              <w:rPr>
                <w:rFonts w:cs="Arial"/>
              </w:rPr>
              <w:t>Prozess zur Dokumentation beim Vertrieb im negativen Zielmarkt</w:t>
            </w:r>
          </w:p>
          <w:p w14:paraId="17FF825D" w14:textId="77777777" w:rsidR="00EB6BE4" w:rsidRPr="006457E5" w:rsidRDefault="00EB6BE4" w:rsidP="004A2311">
            <w:pPr>
              <w:pStyle w:val="Listenabsatz"/>
              <w:numPr>
                <w:ilvl w:val="0"/>
                <w:numId w:val="88"/>
              </w:numPr>
              <w:spacing w:after="0" w:line="240" w:lineRule="auto"/>
              <w:rPr>
                <w:rFonts w:cs="Arial"/>
              </w:rPr>
            </w:pPr>
            <w:r w:rsidRPr="006457E5">
              <w:rPr>
                <w:rFonts w:cs="Arial"/>
              </w:rPr>
              <w:t>Prozess zur Festlegung von Zielmarktkriterien</w:t>
            </w:r>
          </w:p>
          <w:p w14:paraId="4038E5F4" w14:textId="77777777" w:rsidR="00EB6BE4" w:rsidRPr="006457E5" w:rsidRDefault="00EB6BE4" w:rsidP="004A2311">
            <w:pPr>
              <w:pStyle w:val="Listenabsatz"/>
              <w:numPr>
                <w:ilvl w:val="0"/>
                <w:numId w:val="88"/>
              </w:numPr>
              <w:spacing w:after="0" w:line="240" w:lineRule="auto"/>
              <w:rPr>
                <w:rFonts w:cs="Arial"/>
              </w:rPr>
            </w:pPr>
            <w:r w:rsidRPr="006457E5">
              <w:rPr>
                <w:rFonts w:cs="Arial"/>
              </w:rPr>
              <w:t>Zielmarkt-Konzepte</w:t>
            </w:r>
          </w:p>
          <w:p w14:paraId="61DA9602" w14:textId="77777777" w:rsidR="00EB6BE4" w:rsidRPr="006457E5" w:rsidRDefault="00EB6BE4" w:rsidP="004A2311">
            <w:pPr>
              <w:pStyle w:val="Listenabsatz"/>
              <w:numPr>
                <w:ilvl w:val="0"/>
                <w:numId w:val="88"/>
              </w:numPr>
              <w:spacing w:after="0" w:line="240" w:lineRule="auto"/>
              <w:rPr>
                <w:rFonts w:cs="Arial"/>
              </w:rPr>
            </w:pPr>
            <w:r w:rsidRPr="006457E5">
              <w:rPr>
                <w:rFonts w:cs="Arial"/>
              </w:rPr>
              <w:t>Anwendbarkeit der Produktüberwachung auf Drittlandprodukte</w:t>
            </w:r>
          </w:p>
          <w:p w14:paraId="19B9B8CD" w14:textId="5852C427" w:rsidR="00BF1C50" w:rsidRPr="006457E5" w:rsidRDefault="00EB6BE4" w:rsidP="003942AC">
            <w:pPr>
              <w:pStyle w:val="Listenabsatz"/>
              <w:numPr>
                <w:ilvl w:val="0"/>
                <w:numId w:val="88"/>
              </w:numPr>
              <w:spacing w:after="0" w:line="240" w:lineRule="auto"/>
            </w:pPr>
            <w:r w:rsidRPr="006457E5">
              <w:rPr>
                <w:rFonts w:cs="Arial"/>
              </w:rPr>
              <w:t>Kontrollprozess und Compliance-Berichte zu konzipierten Finanzinstrumenten</w:t>
            </w:r>
          </w:p>
        </w:tc>
      </w:tr>
    </w:tbl>
    <w:p w14:paraId="02887E34" w14:textId="77777777" w:rsidR="00C4303A" w:rsidRPr="006457E5" w:rsidRDefault="0001676D" w:rsidP="0001676D">
      <w:pPr>
        <w:pStyle w:val="berschrift3"/>
        <w:tabs>
          <w:tab w:val="clear" w:pos="993"/>
          <w:tab w:val="num" w:pos="709"/>
        </w:tabs>
        <w:spacing w:line="240" w:lineRule="auto"/>
        <w:ind w:left="992" w:hanging="992"/>
      </w:pPr>
      <w:bookmarkStart w:id="639" w:name="_Toc160111775"/>
      <w:bookmarkStart w:id="640" w:name="_Toc185240935"/>
      <w:r w:rsidRPr="006457E5">
        <w:t>Information und Berichterstattung gegenüber Kunden</w:t>
      </w:r>
      <w:bookmarkEnd w:id="639"/>
      <w:bookmarkEnd w:id="640"/>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C4303A" w:rsidRPr="006457E5" w14:paraId="28DF893F" w14:textId="77777777" w:rsidTr="00F67AC8">
        <w:tc>
          <w:tcPr>
            <w:tcW w:w="12191" w:type="dxa"/>
            <w:tcBorders>
              <w:top w:val="nil"/>
              <w:left w:val="nil"/>
              <w:bottom w:val="nil"/>
              <w:right w:val="nil"/>
            </w:tcBorders>
            <w:shd w:val="clear" w:color="auto" w:fill="auto"/>
          </w:tcPr>
          <w:p w14:paraId="495E512E" w14:textId="77777777" w:rsidR="004F47A3" w:rsidRPr="006457E5" w:rsidRDefault="000B1990" w:rsidP="004F47A3">
            <w:pPr>
              <w:spacing w:after="0" w:line="240" w:lineRule="auto"/>
              <w:rPr>
                <w:rFonts w:cs="Arial"/>
              </w:rPr>
            </w:pPr>
            <w:r w:rsidRPr="006457E5">
              <w:rPr>
                <w:rFonts w:cs="Arial"/>
              </w:rPr>
              <w:t>Die Revisionsstelle nimmt Stellung zur Einhaltung der Vorschriften betreffend die Information und Berichterstattung gegenüber Kunden</w:t>
            </w:r>
            <w:r w:rsidR="004F47A3" w:rsidRPr="006457E5">
              <w:rPr>
                <w:rFonts w:cs="Arial"/>
              </w:rPr>
              <w:t xml:space="preserve"> insbesondere in Bezug auf nachfolgende Punkte:</w:t>
            </w:r>
          </w:p>
          <w:p w14:paraId="425D25B5" w14:textId="77777777" w:rsidR="004F47A3" w:rsidRPr="006457E5" w:rsidRDefault="004F47A3" w:rsidP="004A2311">
            <w:pPr>
              <w:pStyle w:val="Listenabsatz"/>
              <w:numPr>
                <w:ilvl w:val="0"/>
                <w:numId w:val="86"/>
              </w:numPr>
              <w:spacing w:after="0" w:line="240" w:lineRule="auto"/>
              <w:rPr>
                <w:rFonts w:cs="Arial"/>
              </w:rPr>
            </w:pPr>
            <w:r w:rsidRPr="006457E5">
              <w:rPr>
                <w:rFonts w:cs="Arial"/>
              </w:rPr>
              <w:t>Interne Weisungen</w:t>
            </w:r>
          </w:p>
          <w:p w14:paraId="0A7C72FD" w14:textId="77777777" w:rsidR="004F47A3" w:rsidRPr="006457E5" w:rsidRDefault="004F47A3" w:rsidP="004A2311">
            <w:pPr>
              <w:pStyle w:val="Listenabsatz"/>
              <w:numPr>
                <w:ilvl w:val="0"/>
                <w:numId w:val="86"/>
              </w:numPr>
              <w:spacing w:after="0" w:line="240" w:lineRule="auto"/>
              <w:rPr>
                <w:rFonts w:cs="Arial"/>
              </w:rPr>
            </w:pPr>
            <w:r w:rsidRPr="006457E5">
              <w:rPr>
                <w:rFonts w:cs="Arial"/>
              </w:rPr>
              <w:t>Kostenreporting</w:t>
            </w:r>
          </w:p>
          <w:p w14:paraId="63540C67" w14:textId="77777777" w:rsidR="004F47A3" w:rsidRPr="006457E5" w:rsidRDefault="004F47A3" w:rsidP="004A2311">
            <w:pPr>
              <w:pStyle w:val="Listenabsatz"/>
              <w:numPr>
                <w:ilvl w:val="0"/>
                <w:numId w:val="86"/>
              </w:numPr>
              <w:spacing w:after="0" w:line="240" w:lineRule="auto"/>
              <w:rPr>
                <w:rFonts w:cs="Arial"/>
              </w:rPr>
            </w:pPr>
            <w:r w:rsidRPr="006457E5">
              <w:rPr>
                <w:rFonts w:cs="Arial"/>
              </w:rPr>
              <w:t>Ausführungsreporting</w:t>
            </w:r>
          </w:p>
          <w:p w14:paraId="2A6CC9F9" w14:textId="77777777" w:rsidR="004F47A3" w:rsidRPr="006457E5" w:rsidRDefault="004F47A3" w:rsidP="004A2311">
            <w:pPr>
              <w:pStyle w:val="Listenabsatz"/>
              <w:numPr>
                <w:ilvl w:val="0"/>
                <w:numId w:val="86"/>
              </w:numPr>
              <w:spacing w:after="0" w:line="240" w:lineRule="auto"/>
              <w:rPr>
                <w:rFonts w:cs="Arial"/>
              </w:rPr>
            </w:pPr>
            <w:r w:rsidRPr="006457E5">
              <w:rPr>
                <w:rFonts w:cs="Arial"/>
              </w:rPr>
              <w:t>Verwaltungsreporting</w:t>
            </w:r>
          </w:p>
          <w:p w14:paraId="2A8D2748" w14:textId="77777777" w:rsidR="004F47A3" w:rsidRPr="006457E5" w:rsidRDefault="004F47A3" w:rsidP="004A2311">
            <w:pPr>
              <w:pStyle w:val="Listenabsatz"/>
              <w:numPr>
                <w:ilvl w:val="0"/>
                <w:numId w:val="86"/>
              </w:numPr>
              <w:spacing w:after="0" w:line="240" w:lineRule="auto"/>
              <w:rPr>
                <w:rFonts w:cs="Arial"/>
              </w:rPr>
            </w:pPr>
            <w:r w:rsidRPr="006457E5">
              <w:rPr>
                <w:rFonts w:cs="Arial"/>
              </w:rPr>
              <w:t>Verlustschwellenreporting</w:t>
            </w:r>
          </w:p>
          <w:p w14:paraId="0428B620" w14:textId="1E3085B2" w:rsidR="00BB0B9F" w:rsidRPr="00E21F02" w:rsidRDefault="004F47A3" w:rsidP="00E21F02">
            <w:pPr>
              <w:pStyle w:val="Listenabsatz"/>
              <w:numPr>
                <w:ilvl w:val="0"/>
                <w:numId w:val="86"/>
              </w:numPr>
              <w:spacing w:after="0" w:line="240" w:lineRule="auto"/>
              <w:rPr>
                <w:rFonts w:cs="Arial"/>
              </w:rPr>
            </w:pPr>
            <w:r w:rsidRPr="006457E5">
              <w:rPr>
                <w:rFonts w:cs="Arial"/>
              </w:rPr>
              <w:t>Kundeninformation/Marketingmitteilungen</w:t>
            </w:r>
          </w:p>
        </w:tc>
      </w:tr>
    </w:tbl>
    <w:p w14:paraId="448AB96E" w14:textId="77777777" w:rsidR="00372939" w:rsidRPr="006457E5" w:rsidRDefault="00372939" w:rsidP="00372939">
      <w:pPr>
        <w:pStyle w:val="berschrift3"/>
        <w:tabs>
          <w:tab w:val="clear" w:pos="993"/>
          <w:tab w:val="num" w:pos="709"/>
        </w:tabs>
        <w:spacing w:line="240" w:lineRule="auto"/>
        <w:ind w:left="992" w:hanging="992"/>
      </w:pPr>
      <w:bookmarkStart w:id="641" w:name="_Toc87954225"/>
      <w:bookmarkStart w:id="642" w:name="_Toc160111776"/>
      <w:bookmarkStart w:id="643" w:name="_Toc185240936"/>
      <w:bookmarkEnd w:id="641"/>
      <w:r w:rsidRPr="006457E5">
        <w:t>Verdachtsmitteilung nach Marktmissbrauchsgesetz</w:t>
      </w:r>
      <w:bookmarkEnd w:id="642"/>
      <w:bookmarkEnd w:id="643"/>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372939" w:rsidRPr="006457E5" w14:paraId="144A711E" w14:textId="77777777" w:rsidTr="00BF14FF">
        <w:tc>
          <w:tcPr>
            <w:tcW w:w="12191" w:type="dxa"/>
            <w:tcBorders>
              <w:top w:val="nil"/>
              <w:left w:val="nil"/>
              <w:bottom w:val="nil"/>
              <w:right w:val="nil"/>
            </w:tcBorders>
            <w:shd w:val="clear" w:color="auto" w:fill="auto"/>
          </w:tcPr>
          <w:p w14:paraId="18F89A76" w14:textId="7D4003A7" w:rsidR="00996123" w:rsidRPr="006457E5" w:rsidRDefault="00372939" w:rsidP="00BF14FF">
            <w:pPr>
              <w:pStyle w:val="Listenabsatz"/>
              <w:spacing w:after="0" w:line="240" w:lineRule="auto"/>
              <w:ind w:left="0"/>
              <w:rPr>
                <w:rFonts w:cs="Arial"/>
              </w:rPr>
            </w:pPr>
            <w:bookmarkStart w:id="644" w:name="_Hlk160105855"/>
            <w:r w:rsidRPr="006457E5">
              <w:rPr>
                <w:rFonts w:cs="Arial"/>
              </w:rPr>
              <w:t>Die Revisionsstelle nimmt Stellung zur Einhaltung der Vorschriften betreffend Verdachtsmitteilung nach Marktmissbrauchsgesetz. Sie prüft insbesondere die Angemessenheit der Prozesse und Weisungen. Die Revisionsstelle nimmt Einsicht in die überreichten Verdachtsmitteilungen, unabhängig der Prüftiefe.</w:t>
            </w:r>
          </w:p>
        </w:tc>
      </w:tr>
    </w:tbl>
    <w:p w14:paraId="46F783AC" w14:textId="4DACE534" w:rsidR="00EA7BC9" w:rsidRPr="006457E5" w:rsidRDefault="00987E14" w:rsidP="006B45B5">
      <w:pPr>
        <w:pStyle w:val="berschrift1"/>
        <w:spacing w:line="240" w:lineRule="auto"/>
      </w:pPr>
      <w:bookmarkStart w:id="645" w:name="_Toc87954233"/>
      <w:bookmarkStart w:id="646" w:name="_Toc170123250"/>
      <w:bookmarkStart w:id="647" w:name="_Toc170475507"/>
      <w:bookmarkStart w:id="648" w:name="_Toc173423654"/>
      <w:bookmarkStart w:id="649" w:name="_Toc173427394"/>
      <w:bookmarkStart w:id="650" w:name="_Toc178594417"/>
      <w:bookmarkStart w:id="651" w:name="_Toc179462643"/>
      <w:bookmarkStart w:id="652" w:name="_Toc179462644"/>
      <w:bookmarkStart w:id="653" w:name="_Toc160111780"/>
      <w:bookmarkStart w:id="654" w:name="_Toc185240937"/>
      <w:bookmarkEnd w:id="644"/>
      <w:bookmarkEnd w:id="645"/>
      <w:bookmarkEnd w:id="646"/>
      <w:bookmarkEnd w:id="647"/>
      <w:bookmarkEnd w:id="648"/>
      <w:bookmarkEnd w:id="649"/>
      <w:bookmarkEnd w:id="650"/>
      <w:bookmarkEnd w:id="651"/>
      <w:bookmarkEnd w:id="652"/>
      <w:r w:rsidRPr="006457E5">
        <w:lastRenderedPageBreak/>
        <w:t>Ausserordentliche Prüfung</w:t>
      </w:r>
      <w:bookmarkEnd w:id="653"/>
      <w:bookmarkEnd w:id="654"/>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E943E0" w:rsidRPr="006457E5" w14:paraId="65B1B407" w14:textId="77777777" w:rsidTr="00F32947">
        <w:tc>
          <w:tcPr>
            <w:tcW w:w="12191" w:type="dxa"/>
            <w:tcBorders>
              <w:top w:val="nil"/>
              <w:left w:val="nil"/>
              <w:bottom w:val="nil"/>
              <w:right w:val="nil"/>
            </w:tcBorders>
            <w:shd w:val="clear" w:color="auto" w:fill="auto"/>
          </w:tcPr>
          <w:p w14:paraId="20833C6C" w14:textId="4FA93702" w:rsidR="00F24AA2" w:rsidRPr="006457E5" w:rsidRDefault="00E943E0" w:rsidP="00DA7436">
            <w:pPr>
              <w:pStyle w:val="FormatvorlageLinks0cm"/>
              <w:spacing w:after="0"/>
            </w:pPr>
            <w:r w:rsidRPr="006457E5">
              <w:t>Die Revisionsstelle nimmt zum Prüfergebnis der von der FMA definierten zusätzlichen Prüfungen gemäss Art. 41 Abs. 3 Bst. b VVG</w:t>
            </w:r>
            <w:r w:rsidR="005A218D">
              <w:t xml:space="preserve"> </w:t>
            </w:r>
            <w:r w:rsidRPr="006457E5">
              <w:t xml:space="preserve">Stellung. </w:t>
            </w:r>
            <w:r w:rsidRPr="00DA7436">
              <w:t>Sofern</w:t>
            </w:r>
            <w:r w:rsidRPr="006457E5">
              <w:t xml:space="preserve"> hierzu keine Vorgaben der FMA publiziert werden, erfolgt die Berichterstattung im Sinne dieser Richtlinie.</w:t>
            </w:r>
          </w:p>
        </w:tc>
      </w:tr>
    </w:tbl>
    <w:p w14:paraId="3C0AE67C" w14:textId="77777777" w:rsidR="00987E14" w:rsidRPr="006457E5" w:rsidRDefault="00987E14" w:rsidP="00F32947">
      <w:pPr>
        <w:pStyle w:val="berschrift1"/>
        <w:spacing w:line="240" w:lineRule="auto"/>
      </w:pPr>
      <w:bookmarkStart w:id="655" w:name="_Toc170475510"/>
      <w:bookmarkStart w:id="656" w:name="_Toc173423657"/>
      <w:bookmarkStart w:id="657" w:name="_Toc173427397"/>
      <w:bookmarkStart w:id="658" w:name="_Toc178594420"/>
      <w:bookmarkStart w:id="659" w:name="_Toc179462650"/>
      <w:bookmarkStart w:id="660" w:name="_Toc160111782"/>
      <w:bookmarkStart w:id="661" w:name="_Toc185240938"/>
      <w:bookmarkEnd w:id="655"/>
      <w:bookmarkEnd w:id="656"/>
      <w:bookmarkEnd w:id="657"/>
      <w:bookmarkEnd w:id="658"/>
      <w:bookmarkEnd w:id="659"/>
      <w:r w:rsidRPr="006457E5">
        <w:t xml:space="preserve">Anhang zum </w:t>
      </w:r>
      <w:r w:rsidR="00830146" w:rsidRPr="006457E5">
        <w:t>Bericht über die Aufsichtsprüfung</w:t>
      </w:r>
      <w:bookmarkEnd w:id="660"/>
      <w:bookmarkEnd w:id="661"/>
    </w:p>
    <w:tbl>
      <w:tblPr>
        <w:tblW w:w="12191" w:type="dxa"/>
        <w:tblInd w:w="817" w:type="dxa"/>
        <w:tblBorders>
          <w:insideH w:val="single" w:sz="4" w:space="0" w:color="auto"/>
        </w:tblBorders>
        <w:tblLook w:val="01E0" w:firstRow="1" w:lastRow="1" w:firstColumn="1" w:lastColumn="1" w:noHBand="0" w:noVBand="0"/>
      </w:tblPr>
      <w:tblGrid>
        <w:gridCol w:w="12191"/>
      </w:tblGrid>
      <w:tr w:rsidR="00E943E0" w:rsidRPr="006457E5" w14:paraId="573CF088" w14:textId="77777777" w:rsidTr="00F32947">
        <w:tc>
          <w:tcPr>
            <w:tcW w:w="12191" w:type="dxa"/>
            <w:shd w:val="clear" w:color="auto" w:fill="auto"/>
          </w:tcPr>
          <w:p w14:paraId="0938E9DC" w14:textId="77777777" w:rsidR="00E943E0" w:rsidRPr="006457E5" w:rsidRDefault="00E943E0" w:rsidP="00DA7436">
            <w:pPr>
              <w:pStyle w:val="FormatvorlageLinks0cm"/>
              <w:spacing w:after="0"/>
            </w:pPr>
            <w:r w:rsidRPr="006457E5">
              <w:t xml:space="preserve">Der Anhang zum </w:t>
            </w:r>
            <w:r w:rsidR="00830146" w:rsidRPr="006457E5">
              <w:t>Bericht über die Aufsichtsprüfung</w:t>
            </w:r>
            <w:r w:rsidR="000C2009" w:rsidRPr="006457E5">
              <w:t xml:space="preserve"> </w:t>
            </w:r>
            <w:r w:rsidRPr="006457E5">
              <w:t>besteht aus:</w:t>
            </w:r>
          </w:p>
          <w:p w14:paraId="677042FC" w14:textId="41CB35D6" w:rsidR="006872B1" w:rsidRDefault="002456B3">
            <w:pPr>
              <w:numPr>
                <w:ilvl w:val="0"/>
                <w:numId w:val="75"/>
              </w:numPr>
              <w:tabs>
                <w:tab w:val="num" w:pos="317"/>
              </w:tabs>
              <w:spacing w:after="0" w:line="240" w:lineRule="auto"/>
              <w:ind w:left="317" w:hanging="283"/>
              <w:rPr>
                <w:rFonts w:cs="Arial"/>
              </w:rPr>
            </w:pPr>
            <w:r w:rsidRPr="006457E5">
              <w:rPr>
                <w:rFonts w:cs="Arial"/>
              </w:rPr>
              <w:t>A</w:t>
            </w:r>
            <w:r w:rsidRPr="006457E5">
              <w:t xml:space="preserve">nhang 1: </w:t>
            </w:r>
            <w:r w:rsidR="00E943E0" w:rsidRPr="006457E5">
              <w:rPr>
                <w:rFonts w:cs="Arial"/>
              </w:rPr>
              <w:t>de</w:t>
            </w:r>
            <w:r w:rsidR="0094403D">
              <w:rPr>
                <w:rFonts w:cs="Arial"/>
              </w:rPr>
              <w:t>m</w:t>
            </w:r>
            <w:r w:rsidR="00E943E0" w:rsidRPr="006457E5">
              <w:rPr>
                <w:rFonts w:cs="Arial"/>
              </w:rPr>
              <w:t xml:space="preserve"> testierten </w:t>
            </w:r>
            <w:r w:rsidR="0094403D">
              <w:rPr>
                <w:rFonts w:cs="Arial"/>
              </w:rPr>
              <w:t xml:space="preserve">Geschäftsbericht </w:t>
            </w:r>
            <w:r w:rsidR="00E943E0" w:rsidRPr="006457E5">
              <w:rPr>
                <w:rFonts w:cs="Arial"/>
              </w:rPr>
              <w:t>der VVGes</w:t>
            </w:r>
            <w:r w:rsidR="00B25FD6">
              <w:rPr>
                <w:rFonts w:cs="Arial"/>
              </w:rPr>
              <w:t xml:space="preserve"> </w:t>
            </w:r>
            <w:r w:rsidR="00695E9B">
              <w:rPr>
                <w:rFonts w:cs="Arial"/>
              </w:rPr>
              <w:t>und bei Klasse</w:t>
            </w:r>
            <w:r w:rsidR="004E14AA">
              <w:rPr>
                <w:rFonts w:cs="Arial"/>
              </w:rPr>
              <w:t>-</w:t>
            </w:r>
            <w:r w:rsidR="00695E9B">
              <w:rPr>
                <w:rFonts w:cs="Arial"/>
              </w:rPr>
              <w:t>2 Vermögensverwaltungsgesellschaften ggf. inklusive länderspezifische Berichterstattung gemäss Art. 29c VVG</w:t>
            </w:r>
          </w:p>
          <w:p w14:paraId="47854EB4" w14:textId="6CC59273" w:rsidR="00F24AA2" w:rsidRPr="00E13166" w:rsidRDefault="00F24AA2">
            <w:pPr>
              <w:numPr>
                <w:ilvl w:val="0"/>
                <w:numId w:val="75"/>
              </w:numPr>
              <w:tabs>
                <w:tab w:val="num" w:pos="317"/>
              </w:tabs>
              <w:spacing w:after="0" w:line="240" w:lineRule="auto"/>
              <w:ind w:left="317" w:hanging="283"/>
              <w:rPr>
                <w:rFonts w:cs="Arial"/>
              </w:rPr>
            </w:pPr>
            <w:r w:rsidRPr="00F24AA2">
              <w:rPr>
                <w:rFonts w:cs="Arial"/>
              </w:rPr>
              <w:t xml:space="preserve">Anhang 2: dem Organigramm der Gesellschaft und der Gruppenstruktur </w:t>
            </w:r>
          </w:p>
          <w:p w14:paraId="58C6A1E0" w14:textId="2BDD2085" w:rsidR="006042CD" w:rsidRPr="006457E5" w:rsidRDefault="002456B3">
            <w:pPr>
              <w:numPr>
                <w:ilvl w:val="0"/>
                <w:numId w:val="75"/>
              </w:numPr>
              <w:tabs>
                <w:tab w:val="num" w:pos="317"/>
              </w:tabs>
              <w:spacing w:after="0" w:line="240" w:lineRule="auto"/>
              <w:ind w:left="317" w:hanging="283"/>
            </w:pPr>
            <w:r w:rsidRPr="006457E5">
              <w:rPr>
                <w:rFonts w:cs="Arial"/>
              </w:rPr>
              <w:t>A</w:t>
            </w:r>
            <w:r w:rsidRPr="006457E5">
              <w:t xml:space="preserve">nhang </w:t>
            </w:r>
            <w:r w:rsidR="00F24AA2">
              <w:t>3</w:t>
            </w:r>
            <w:r w:rsidRPr="006457E5">
              <w:t xml:space="preserve">: </w:t>
            </w:r>
            <w:r w:rsidR="00E943E0" w:rsidRPr="006457E5">
              <w:rPr>
                <w:rFonts w:cs="Arial"/>
              </w:rPr>
              <w:t>der Risikoanalyse</w:t>
            </w:r>
            <w:r w:rsidR="00E943E0" w:rsidRPr="006457E5">
              <w:t>/Prüfstrategie</w:t>
            </w:r>
            <w:r w:rsidR="006042CD" w:rsidRPr="001E1196">
              <w:t xml:space="preserve"> </w:t>
            </w:r>
          </w:p>
        </w:tc>
      </w:tr>
    </w:tbl>
    <w:p w14:paraId="5052495E" w14:textId="77777777" w:rsidR="00F24AA2" w:rsidRPr="006457E5" w:rsidRDefault="00F24AA2" w:rsidP="00987E14"/>
    <w:p w14:paraId="14671564" w14:textId="77777777" w:rsidR="00323016" w:rsidRPr="006457E5" w:rsidRDefault="00323016" w:rsidP="001E1196"/>
    <w:p w14:paraId="4160B771" w14:textId="77777777" w:rsidR="00BA08F9" w:rsidRPr="006457E5" w:rsidRDefault="00BA08F9">
      <w:r w:rsidRPr="006457E5">
        <w:t>Die Ausführungen zu den einzelnen Prüffeldern sind nicht abschliessend. Vielmehr sind diese als Mindestinhalt des Bericht</w:t>
      </w:r>
      <w:r w:rsidR="00D5176F" w:rsidRPr="006457E5">
        <w:t>s</w:t>
      </w:r>
      <w:r w:rsidRPr="006457E5">
        <w:t xml:space="preserve"> über die Aufsichtsprüfung zu verstehen.</w:t>
      </w:r>
    </w:p>
    <w:p w14:paraId="366A3402" w14:textId="77777777" w:rsidR="00830146" w:rsidRPr="006457E5" w:rsidRDefault="00830146">
      <w:r w:rsidRPr="006457E5">
        <w:t xml:space="preserve">Definiert </w:t>
      </w:r>
      <w:r w:rsidRPr="006457E5">
        <w:rPr>
          <w:rFonts w:cs="Arial"/>
        </w:rPr>
        <w:t>die Revisionsstelle</w:t>
      </w:r>
      <w:r w:rsidRPr="006457E5">
        <w:t xml:space="preserve"> weitere Prüffelder</w:t>
      </w:r>
      <w:r w:rsidR="00D5176F" w:rsidRPr="006457E5">
        <w:t>,</w:t>
      </w:r>
      <w:r w:rsidRPr="006457E5">
        <w:t xml:space="preserve"> sind diese in der Risik</w:t>
      </w:r>
      <w:r w:rsidR="006872B1" w:rsidRPr="006457E5">
        <w:t>oanalyse/Prüfstrategie (Anhang I</w:t>
      </w:r>
      <w:r w:rsidRPr="006457E5">
        <w:t xml:space="preserve">1) zu ergänzen und die Ergebnisse der Prüfung im Bericht über die Aufsichtsprüfung zu beschreiben. Ferner beschreibt </w:t>
      </w:r>
      <w:r w:rsidRPr="006457E5">
        <w:rPr>
          <w:rFonts w:cs="Arial"/>
        </w:rPr>
        <w:t>die Revisionsstelle</w:t>
      </w:r>
      <w:r w:rsidRPr="006457E5">
        <w:t xml:space="preserve"> die Gründe, welche zur Aufnahme von zusätzlichen Prüffeldern führten.</w:t>
      </w:r>
    </w:p>
    <w:p w14:paraId="2359EEEB" w14:textId="11FDA5A9" w:rsidR="0071324A" w:rsidRPr="00987E14" w:rsidRDefault="00830146">
      <w:r w:rsidRPr="006457E5">
        <w:t>Die FMA weist darauf hin, dass für die jeweiligen Prüffelder die liechtensteinischen Rechtsvorschriften (</w:t>
      </w:r>
      <w:r w:rsidR="006872B1" w:rsidRPr="006457E5">
        <w:t>VVG, VVO</w:t>
      </w:r>
      <w:r w:rsidRPr="006457E5">
        <w:t>)</w:t>
      </w:r>
      <w:r w:rsidR="00003944" w:rsidRPr="006457E5">
        <w:t>, die Delegierte Verordnung (EU)</w:t>
      </w:r>
      <w:r w:rsidR="005A218D">
        <w:t> </w:t>
      </w:r>
      <w:r w:rsidR="00003944" w:rsidRPr="006457E5">
        <w:t xml:space="preserve">2017/565 </w:t>
      </w:r>
      <w:r w:rsidR="003049E2" w:rsidRPr="006457E5">
        <w:t xml:space="preserve">und die Verordnung (EU) 2019/2033 (IFR) </w:t>
      </w:r>
      <w:r w:rsidRPr="006457E5">
        <w:t xml:space="preserve">zitiert wurden. </w:t>
      </w:r>
      <w:r w:rsidR="001350F6" w:rsidRPr="006457E5">
        <w:t xml:space="preserve">Diese referenzierten Artikel stellen keine abschliessende Auflistung der anwendbaren Rechtsvorschriften im jeweiligen Prüffeld dar. Darüberhinausgehende sind FMA-Richtlinien und FMA-Mitteilungen sowie alle relevanten europäischen Rechtsakte </w:t>
      </w:r>
      <w:r w:rsidR="001F474D" w:rsidRPr="006457E5">
        <w:t xml:space="preserve">unter Berücksichtigung </w:t>
      </w:r>
      <w:bookmarkStart w:id="662" w:name="_Hlk148701884"/>
      <w:r w:rsidR="001F474D" w:rsidRPr="006457E5">
        <w:t>von Leitlinien und Empfehlungen, welche die FMA für comply erklärt hat, als auch Fragen</w:t>
      </w:r>
      <w:r w:rsidR="00F24AA2">
        <w:t> </w:t>
      </w:r>
      <w:r w:rsidR="001F474D" w:rsidRPr="006457E5">
        <w:t>&amp;</w:t>
      </w:r>
      <w:r w:rsidR="00F24AA2">
        <w:t> </w:t>
      </w:r>
      <w:r w:rsidR="001F474D" w:rsidRPr="006457E5">
        <w:t>Antworten der ESMA</w:t>
      </w:r>
      <w:r w:rsidR="003049E2" w:rsidRPr="006457E5">
        <w:t xml:space="preserve"> und der EBA</w:t>
      </w:r>
      <w:r w:rsidR="001F474D" w:rsidRPr="006457E5">
        <w:t xml:space="preserve">, </w:t>
      </w:r>
      <w:bookmarkEnd w:id="662"/>
      <w:r w:rsidR="00524CDF" w:rsidRPr="006457E5">
        <w:t>anzuwenden.</w:t>
      </w:r>
    </w:p>
    <w:sectPr w:rsidR="0071324A" w:rsidRPr="00987E14" w:rsidSect="00242D9A">
      <w:pgSz w:w="16838" w:h="11906" w:orient="landscape"/>
      <w:pgMar w:top="2693" w:right="2381"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FD31B" w14:textId="77777777" w:rsidR="00480C1C" w:rsidRDefault="00480C1C" w:rsidP="00546F18">
      <w:pPr>
        <w:spacing w:after="0" w:line="240" w:lineRule="auto"/>
      </w:pPr>
      <w:r>
        <w:separator/>
      </w:r>
    </w:p>
  </w:endnote>
  <w:endnote w:type="continuationSeparator" w:id="0">
    <w:p w14:paraId="677ED26E" w14:textId="77777777" w:rsidR="00480C1C" w:rsidRDefault="00480C1C" w:rsidP="00546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BBDC2" w14:textId="77777777" w:rsidR="00480C1C" w:rsidRPr="000864B2" w:rsidRDefault="00480C1C" w:rsidP="0079364F">
    <w:pPr>
      <w:pStyle w:val="Fuzeile"/>
    </w:pPr>
    <w:bookmarkStart w:id="1" w:name="bmFMAFussSeite2"/>
  </w:p>
  <w:p w14:paraId="041B855C" w14:textId="77777777" w:rsidR="00480C1C" w:rsidRDefault="00480C1C" w:rsidP="0079364F">
    <w:pPr>
      <w:pStyle w:val="Fuzeile"/>
    </w:pPr>
    <w:r>
      <w:ptab w:relativeTo="margin" w:alignment="right" w:leader="none"/>
    </w:r>
    <w:r>
      <w:fldChar w:fldCharType="begin"/>
    </w:r>
    <w:r>
      <w:instrText xml:space="preserve"> PAGE </w:instrText>
    </w:r>
    <w:r>
      <w:fldChar w:fldCharType="separate"/>
    </w:r>
    <w:r>
      <w:rPr>
        <w:noProof/>
      </w:rPr>
      <w:t>8</w:t>
    </w:r>
    <w:r>
      <w:fldChar w:fldCharType="end"/>
    </w:r>
    <w:r>
      <w:t xml:space="preserve"> / </w:t>
    </w:r>
    <w:fldSimple w:instr=" NUMPAGES ">
      <w:r>
        <w:rPr>
          <w:noProof/>
        </w:rPr>
        <w:t>9</w:t>
      </w:r>
    </w:fldSimple>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99B3A" w14:textId="77777777" w:rsidR="00480C1C" w:rsidRPr="008B5D41" w:rsidRDefault="00480C1C" w:rsidP="0079364F">
    <w:pPr>
      <w:pStyle w:val="Fuzeile"/>
      <w:jc w:val="center"/>
    </w:pPr>
    <w:bookmarkStart w:id="2" w:name="bmFMAFussSeite1"/>
    <w:r w:rsidRPr="008B5D41">
      <w:t>Landstrasse 109 • Postfach 279 • 9490 Vaduz • Liechtenstein</w:t>
    </w:r>
  </w:p>
  <w:p w14:paraId="3D8501EC" w14:textId="77777777" w:rsidR="00480C1C" w:rsidRPr="008B5D41" w:rsidRDefault="00480C1C" w:rsidP="0079364F">
    <w:pPr>
      <w:pStyle w:val="Fuzeile"/>
      <w:jc w:val="center"/>
    </w:pPr>
    <w:r w:rsidRPr="008B5D41">
      <w:t>Telefon +423 236 73 73 • Telefax +423 236 73 74 • www.fma-li.li • info@fma-li.li</w:t>
    </w:r>
  </w:p>
  <w:bookmarkEnd w:i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6F226" w14:textId="77777777" w:rsidR="00480C1C" w:rsidRDefault="00480C1C" w:rsidP="00546F18">
      <w:pPr>
        <w:spacing w:after="0" w:line="240" w:lineRule="auto"/>
      </w:pPr>
      <w:r>
        <w:separator/>
      </w:r>
    </w:p>
  </w:footnote>
  <w:footnote w:type="continuationSeparator" w:id="0">
    <w:p w14:paraId="117BEFDB" w14:textId="77777777" w:rsidR="00480C1C" w:rsidRDefault="00480C1C" w:rsidP="00546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C6608" w14:textId="4AC8FF23" w:rsidR="00480C1C" w:rsidRDefault="00480C1C">
    <w:pPr>
      <w:pStyle w:val="Kopfzeile"/>
    </w:pPr>
    <w:r>
      <w:rPr>
        <w:rFonts w:asciiTheme="minorHAnsi" w:hAnsiTheme="minorHAnsi"/>
        <w:noProof/>
      </w:rPr>
      <w:drawing>
        <wp:anchor distT="0" distB="0" distL="114300" distR="114300" simplePos="0" relativeHeight="251665408" behindDoc="0" locked="1" layoutInCell="1" allowOverlap="1" wp14:anchorId="5AC74C09" wp14:editId="74247397">
          <wp:simplePos x="0" y="0"/>
          <wp:positionH relativeFrom="margin">
            <wp:align>center</wp:align>
          </wp:positionH>
          <wp:positionV relativeFrom="page">
            <wp:posOffset>483235</wp:posOffset>
          </wp:positionV>
          <wp:extent cx="1259840" cy="125984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125984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27BC3" w14:textId="6072FF9F" w:rsidR="00480C1C" w:rsidRDefault="00480C1C">
    <w:pPr>
      <w:pStyle w:val="Kopfzeile"/>
    </w:pPr>
    <w:r>
      <w:rPr>
        <w:rFonts w:asciiTheme="minorHAnsi" w:hAnsiTheme="minorHAnsi"/>
        <w:noProof/>
      </w:rPr>
      <w:drawing>
        <wp:anchor distT="0" distB="0" distL="114300" distR="114300" simplePos="0" relativeHeight="251663360" behindDoc="0" locked="1" layoutInCell="1" allowOverlap="1" wp14:anchorId="31B5AB0A" wp14:editId="54787873">
          <wp:simplePos x="0" y="0"/>
          <wp:positionH relativeFrom="page">
            <wp:align>center</wp:align>
          </wp:positionH>
          <wp:positionV relativeFrom="page">
            <wp:posOffset>261620</wp:posOffset>
          </wp:positionV>
          <wp:extent cx="1259840" cy="125984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125984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76483"/>
    <w:multiLevelType w:val="multilevel"/>
    <w:tmpl w:val="D0C46A0E"/>
    <w:styleLink w:val="FMAListeEinzge"/>
    <w:lvl w:ilvl="0">
      <w:start w:val="1"/>
      <w:numFmt w:val="none"/>
      <w:pStyle w:val="FMANumAufz1FortsetzungAltF"/>
      <w:suff w:val="nothing"/>
      <w:lvlText w:val=""/>
      <w:lvlJc w:val="left"/>
      <w:pPr>
        <w:ind w:left="357" w:firstLine="0"/>
      </w:pPr>
      <w:rPr>
        <w:rFonts w:hint="default"/>
      </w:rPr>
    </w:lvl>
    <w:lvl w:ilvl="1">
      <w:start w:val="1"/>
      <w:numFmt w:val="none"/>
      <w:lvlRestart w:val="0"/>
      <w:pStyle w:val="FMANumAufz2Fortsetzung"/>
      <w:suff w:val="nothing"/>
      <w:lvlText w:val=""/>
      <w:lvlJc w:val="left"/>
      <w:pPr>
        <w:ind w:left="868" w:firstLine="0"/>
      </w:pPr>
      <w:rPr>
        <w:rFonts w:hint="default"/>
      </w:rPr>
    </w:lvl>
    <w:lvl w:ilvl="2">
      <w:start w:val="1"/>
      <w:numFmt w:val="none"/>
      <w:lvlRestart w:val="0"/>
      <w:pStyle w:val="FMANumAufz3Fortsetzung"/>
      <w:suff w:val="nothing"/>
      <w:lvlText w:val=""/>
      <w:lvlJc w:val="left"/>
      <w:pPr>
        <w:ind w:left="1548" w:firstLine="0"/>
      </w:pPr>
      <w:rPr>
        <w:rFonts w:hint="default"/>
      </w:rPr>
    </w:lvl>
    <w:lvl w:ilvl="3">
      <w:start w:val="1"/>
      <w:numFmt w:val="none"/>
      <w:lvlRestart w:val="0"/>
      <w:pStyle w:val="FMANumAufz4Fortsetzung"/>
      <w:suff w:val="nothing"/>
      <w:lvlText w:val=""/>
      <w:lvlJc w:val="left"/>
      <w:pPr>
        <w:ind w:left="2398" w:firstLine="0"/>
      </w:pPr>
      <w:rPr>
        <w:rFonts w:hint="default"/>
      </w:rPr>
    </w:lvl>
    <w:lvl w:ilvl="4">
      <w:start w:val="1"/>
      <w:numFmt w:val="none"/>
      <w:lvlRestart w:val="0"/>
      <w:suff w:val="nothing"/>
      <w:lvlText w:val=""/>
      <w:lvlJc w:val="left"/>
      <w:pPr>
        <w:ind w:left="2398" w:firstLine="0"/>
      </w:pPr>
      <w:rPr>
        <w:rFonts w:hint="default"/>
      </w:rPr>
    </w:lvl>
    <w:lvl w:ilvl="5">
      <w:start w:val="1"/>
      <w:numFmt w:val="none"/>
      <w:suff w:val="nothing"/>
      <w:lvlText w:val=""/>
      <w:lvlJc w:val="left"/>
      <w:pPr>
        <w:ind w:left="2398" w:firstLine="0"/>
      </w:pPr>
      <w:rPr>
        <w:rFonts w:hint="default"/>
      </w:rPr>
    </w:lvl>
    <w:lvl w:ilvl="6">
      <w:start w:val="1"/>
      <w:numFmt w:val="none"/>
      <w:suff w:val="nothing"/>
      <w:lvlText w:val=""/>
      <w:lvlJc w:val="left"/>
      <w:pPr>
        <w:ind w:left="2398" w:firstLine="0"/>
      </w:pPr>
      <w:rPr>
        <w:rFonts w:hint="default"/>
      </w:rPr>
    </w:lvl>
    <w:lvl w:ilvl="7">
      <w:start w:val="1"/>
      <w:numFmt w:val="none"/>
      <w:suff w:val="nothing"/>
      <w:lvlText w:val=""/>
      <w:lvlJc w:val="left"/>
      <w:pPr>
        <w:ind w:left="2398" w:firstLine="0"/>
      </w:pPr>
      <w:rPr>
        <w:rFonts w:hint="default"/>
      </w:rPr>
    </w:lvl>
    <w:lvl w:ilvl="8">
      <w:start w:val="1"/>
      <w:numFmt w:val="none"/>
      <w:suff w:val="nothing"/>
      <w:lvlText w:val=""/>
      <w:lvlJc w:val="left"/>
      <w:pPr>
        <w:ind w:left="2398" w:firstLine="0"/>
      </w:pPr>
      <w:rPr>
        <w:rFonts w:hint="default"/>
      </w:rPr>
    </w:lvl>
  </w:abstractNum>
  <w:abstractNum w:abstractNumId="1" w15:restartNumberingAfterBreak="0">
    <w:nsid w:val="087C2CA7"/>
    <w:multiLevelType w:val="hybridMultilevel"/>
    <w:tmpl w:val="60AE5FFC"/>
    <w:lvl w:ilvl="0" w:tplc="08070001">
      <w:start w:val="1"/>
      <w:numFmt w:val="bullet"/>
      <w:lvlText w:val=""/>
      <w:lvlJc w:val="left"/>
      <w:pPr>
        <w:ind w:left="1919" w:hanging="360"/>
      </w:pPr>
      <w:rPr>
        <w:rFonts w:ascii="Symbol" w:hAnsi="Symbol" w:hint="default"/>
      </w:rPr>
    </w:lvl>
    <w:lvl w:ilvl="1" w:tplc="08070003" w:tentative="1">
      <w:start w:val="1"/>
      <w:numFmt w:val="bullet"/>
      <w:lvlText w:val="o"/>
      <w:lvlJc w:val="left"/>
      <w:pPr>
        <w:ind w:left="2639" w:hanging="360"/>
      </w:pPr>
      <w:rPr>
        <w:rFonts w:ascii="Courier New" w:hAnsi="Courier New" w:cs="Courier New" w:hint="default"/>
      </w:rPr>
    </w:lvl>
    <w:lvl w:ilvl="2" w:tplc="08070005" w:tentative="1">
      <w:start w:val="1"/>
      <w:numFmt w:val="bullet"/>
      <w:lvlText w:val=""/>
      <w:lvlJc w:val="left"/>
      <w:pPr>
        <w:ind w:left="3359" w:hanging="360"/>
      </w:pPr>
      <w:rPr>
        <w:rFonts w:ascii="Wingdings" w:hAnsi="Wingdings" w:hint="default"/>
      </w:rPr>
    </w:lvl>
    <w:lvl w:ilvl="3" w:tplc="08070001" w:tentative="1">
      <w:start w:val="1"/>
      <w:numFmt w:val="bullet"/>
      <w:lvlText w:val=""/>
      <w:lvlJc w:val="left"/>
      <w:pPr>
        <w:ind w:left="4079" w:hanging="360"/>
      </w:pPr>
      <w:rPr>
        <w:rFonts w:ascii="Symbol" w:hAnsi="Symbol" w:hint="default"/>
      </w:rPr>
    </w:lvl>
    <w:lvl w:ilvl="4" w:tplc="08070003" w:tentative="1">
      <w:start w:val="1"/>
      <w:numFmt w:val="bullet"/>
      <w:lvlText w:val="o"/>
      <w:lvlJc w:val="left"/>
      <w:pPr>
        <w:ind w:left="4799" w:hanging="360"/>
      </w:pPr>
      <w:rPr>
        <w:rFonts w:ascii="Courier New" w:hAnsi="Courier New" w:cs="Courier New" w:hint="default"/>
      </w:rPr>
    </w:lvl>
    <w:lvl w:ilvl="5" w:tplc="08070005" w:tentative="1">
      <w:start w:val="1"/>
      <w:numFmt w:val="bullet"/>
      <w:lvlText w:val=""/>
      <w:lvlJc w:val="left"/>
      <w:pPr>
        <w:ind w:left="5519" w:hanging="360"/>
      </w:pPr>
      <w:rPr>
        <w:rFonts w:ascii="Wingdings" w:hAnsi="Wingdings" w:hint="default"/>
      </w:rPr>
    </w:lvl>
    <w:lvl w:ilvl="6" w:tplc="08070001" w:tentative="1">
      <w:start w:val="1"/>
      <w:numFmt w:val="bullet"/>
      <w:lvlText w:val=""/>
      <w:lvlJc w:val="left"/>
      <w:pPr>
        <w:ind w:left="6239" w:hanging="360"/>
      </w:pPr>
      <w:rPr>
        <w:rFonts w:ascii="Symbol" w:hAnsi="Symbol" w:hint="default"/>
      </w:rPr>
    </w:lvl>
    <w:lvl w:ilvl="7" w:tplc="08070003" w:tentative="1">
      <w:start w:val="1"/>
      <w:numFmt w:val="bullet"/>
      <w:lvlText w:val="o"/>
      <w:lvlJc w:val="left"/>
      <w:pPr>
        <w:ind w:left="6959" w:hanging="360"/>
      </w:pPr>
      <w:rPr>
        <w:rFonts w:ascii="Courier New" w:hAnsi="Courier New" w:cs="Courier New" w:hint="default"/>
      </w:rPr>
    </w:lvl>
    <w:lvl w:ilvl="8" w:tplc="08070005" w:tentative="1">
      <w:start w:val="1"/>
      <w:numFmt w:val="bullet"/>
      <w:lvlText w:val=""/>
      <w:lvlJc w:val="left"/>
      <w:pPr>
        <w:ind w:left="7679" w:hanging="360"/>
      </w:pPr>
      <w:rPr>
        <w:rFonts w:ascii="Wingdings" w:hAnsi="Wingdings" w:hint="default"/>
      </w:rPr>
    </w:lvl>
  </w:abstractNum>
  <w:abstractNum w:abstractNumId="2" w15:restartNumberingAfterBreak="0">
    <w:nsid w:val="13F55774"/>
    <w:multiLevelType w:val="hybridMultilevel"/>
    <w:tmpl w:val="8F06721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E5140DE"/>
    <w:multiLevelType w:val="multilevel"/>
    <w:tmpl w:val="F49A7276"/>
    <w:lvl w:ilvl="0">
      <w:start w:val="1"/>
      <w:numFmt w:val="upperLetter"/>
      <w:lvlText w:val="%1)"/>
      <w:lvlJc w:val="left"/>
      <w:pPr>
        <w:tabs>
          <w:tab w:val="num" w:pos="612"/>
        </w:tabs>
        <w:ind w:left="612" w:hanging="432"/>
      </w:pPr>
      <w:rPr>
        <w:rFonts w:ascii="Arial" w:hAnsi="Arial" w:cs="Times New Roman" w:hint="default"/>
        <w:b/>
      </w:rPr>
    </w:lvl>
    <w:lvl w:ilvl="1">
      <w:start w:val="1"/>
      <w:numFmt w:val="decimal"/>
      <w:lvlText w:val="%1.%2)"/>
      <w:lvlJc w:val="left"/>
      <w:pPr>
        <w:tabs>
          <w:tab w:val="num" w:pos="576"/>
        </w:tabs>
        <w:ind w:left="576" w:hanging="576"/>
      </w:pPr>
      <w:rPr>
        <w:rFonts w:ascii="Arial" w:hAnsi="Arial" w:cs="Arial" w:hint="default"/>
        <w:b/>
        <w:sz w:val="20"/>
        <w:szCs w:val="20"/>
      </w:rPr>
    </w:lvl>
    <w:lvl w:ilvl="2">
      <w:start w:val="1"/>
      <w:numFmt w:val="decimal"/>
      <w:lvlText w:val="5.6.%3"/>
      <w:lvlJc w:val="left"/>
      <w:pPr>
        <w:tabs>
          <w:tab w:val="num" w:pos="540"/>
        </w:tabs>
        <w:ind w:left="540" w:hanging="720"/>
      </w:pPr>
      <w:rPr>
        <w:rFonts w:hint="default"/>
        <w:b/>
      </w:rPr>
    </w:lvl>
    <w:lvl w:ilvl="3">
      <w:start w:val="1"/>
      <w:numFmt w:val="decimal"/>
      <w:lvlText w:val="%1.%2.%3.%4)"/>
      <w:lvlJc w:val="left"/>
      <w:pPr>
        <w:tabs>
          <w:tab w:val="num" w:pos="954"/>
        </w:tabs>
        <w:ind w:left="954" w:hanging="1134"/>
      </w:pPr>
      <w:rPr>
        <w:rFonts w:hint="default"/>
      </w:rPr>
    </w:lvl>
    <w:lvl w:ilvl="4">
      <w:start w:val="1"/>
      <w:numFmt w:val="decimal"/>
      <w:lvlText w:val="%5."/>
      <w:lvlJc w:val="left"/>
      <w:pPr>
        <w:tabs>
          <w:tab w:val="num" w:pos="1494"/>
        </w:tabs>
        <w:ind w:left="360" w:firstLine="0"/>
      </w:pPr>
      <w:rPr>
        <w:rFonts w:hint="default"/>
        <w:i w:val="0"/>
      </w:rPr>
    </w:lvl>
    <w:lvl w:ilvl="5">
      <w:start w:val="1"/>
      <w:numFmt w:val="decimal"/>
      <w:lvlText w:val="%5.%6"/>
      <w:lvlJc w:val="left"/>
      <w:pPr>
        <w:tabs>
          <w:tab w:val="num" w:pos="1134"/>
        </w:tabs>
        <w:ind w:left="0" w:firstLine="0"/>
      </w:pPr>
      <w:rPr>
        <w:rFonts w:hint="default"/>
        <w:b/>
        <w:i w:val="0"/>
        <w:sz w:val="20"/>
      </w:rPr>
    </w:lvl>
    <w:lvl w:ilvl="6">
      <w:start w:val="1"/>
      <w:numFmt w:val="decimal"/>
      <w:lvlText w:val="%5.%6.%7"/>
      <w:lvlJc w:val="left"/>
      <w:pPr>
        <w:tabs>
          <w:tab w:val="num" w:pos="1296"/>
        </w:tabs>
        <w:ind w:left="1296" w:hanging="1296"/>
      </w:pPr>
      <w:rPr>
        <w:rFonts w:ascii="Arial" w:hAnsi="Arial" w:cs="Times New Roman" w:hint="default"/>
        <w:b/>
        <w:bCs w:val="0"/>
        <w:i w:val="0"/>
        <w:iCs w:val="0"/>
        <w:caps w:val="0"/>
        <w:smallCaps w:val="0"/>
        <w:strike w:val="0"/>
        <w:dstrike w:val="0"/>
        <w:vanish w:val="0"/>
        <w:color w:val="auto"/>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5.%6.%7.%8"/>
      <w:lvlJc w:val="left"/>
      <w:pPr>
        <w:tabs>
          <w:tab w:val="num" w:pos="954"/>
        </w:tabs>
        <w:ind w:left="954" w:hanging="1134"/>
      </w:pPr>
      <w:rPr>
        <w:rFonts w:hint="default"/>
      </w:rPr>
    </w:lvl>
    <w:lvl w:ilvl="8">
      <w:start w:val="1"/>
      <w:numFmt w:val="none"/>
      <w:lvlText w:val=""/>
      <w:lvlJc w:val="left"/>
      <w:pPr>
        <w:tabs>
          <w:tab w:val="num" w:pos="1404"/>
        </w:tabs>
        <w:ind w:left="1404" w:hanging="1584"/>
      </w:pPr>
      <w:rPr>
        <w:rFonts w:hint="default"/>
      </w:rPr>
    </w:lvl>
  </w:abstractNum>
  <w:abstractNum w:abstractNumId="4" w15:restartNumberingAfterBreak="0">
    <w:nsid w:val="230B16BB"/>
    <w:multiLevelType w:val="multilevel"/>
    <w:tmpl w:val="DA3CDAE8"/>
    <w:lvl w:ilvl="0">
      <w:start w:val="2"/>
      <w:numFmt w:val="upperLetter"/>
      <w:lvlText w:val="%1)"/>
      <w:lvlJc w:val="left"/>
      <w:pPr>
        <w:tabs>
          <w:tab w:val="num" w:pos="612"/>
        </w:tabs>
        <w:ind w:left="612" w:hanging="432"/>
      </w:pPr>
      <w:rPr>
        <w:rFonts w:ascii="Arial" w:hAnsi="Arial" w:cs="Times New Roman" w:hint="default"/>
        <w:b/>
        <w:i w:val="0"/>
        <w:sz w:val="26"/>
        <w:szCs w:val="26"/>
      </w:rPr>
    </w:lvl>
    <w:lvl w:ilvl="1">
      <w:start w:val="1"/>
      <w:numFmt w:val="decimal"/>
      <w:lvlText w:val="%2."/>
      <w:lvlJc w:val="left"/>
      <w:pPr>
        <w:tabs>
          <w:tab w:val="num" w:pos="576"/>
        </w:tabs>
        <w:ind w:left="576" w:hanging="576"/>
      </w:pPr>
      <w:rPr>
        <w:rFonts w:hint="default"/>
        <w:b/>
        <w:sz w:val="20"/>
        <w:szCs w:val="20"/>
      </w:rPr>
    </w:lvl>
    <w:lvl w:ilvl="2">
      <w:start w:val="1"/>
      <w:numFmt w:val="decimal"/>
      <w:lvlText w:val="%1.%2.%3)"/>
      <w:lvlJc w:val="left"/>
      <w:pPr>
        <w:tabs>
          <w:tab w:val="num" w:pos="720"/>
        </w:tabs>
        <w:ind w:left="720" w:hanging="720"/>
      </w:pPr>
      <w:rPr>
        <w:rFonts w:hint="default"/>
        <w:b/>
      </w:rPr>
    </w:lvl>
    <w:lvl w:ilvl="3">
      <w:start w:val="1"/>
      <w:numFmt w:val="decimal"/>
      <w:lvlText w:val="%4."/>
      <w:lvlJc w:val="left"/>
      <w:pPr>
        <w:tabs>
          <w:tab w:val="num" w:pos="954"/>
        </w:tabs>
        <w:ind w:left="954" w:hanging="1134"/>
      </w:pPr>
      <w:rPr>
        <w:rFonts w:hint="default"/>
      </w:rPr>
    </w:lvl>
    <w:lvl w:ilvl="4">
      <w:start w:val="1"/>
      <w:numFmt w:val="decimal"/>
      <w:lvlText w:val="%5."/>
      <w:lvlJc w:val="left"/>
      <w:pPr>
        <w:tabs>
          <w:tab w:val="num" w:pos="1494"/>
        </w:tabs>
        <w:ind w:left="360" w:firstLine="0"/>
      </w:pPr>
      <w:rPr>
        <w:rFonts w:ascii="Arial" w:eastAsia="Times New Roman" w:hAnsi="Arial" w:cs="Arial" w:hint="default"/>
        <w:i/>
      </w:rPr>
    </w:lvl>
    <w:lvl w:ilvl="5">
      <w:start w:val="1"/>
      <w:numFmt w:val="decimal"/>
      <w:lvlText w:val="%5.%6"/>
      <w:lvlJc w:val="left"/>
      <w:pPr>
        <w:tabs>
          <w:tab w:val="num" w:pos="1134"/>
        </w:tabs>
        <w:ind w:left="0" w:firstLine="0"/>
      </w:pPr>
      <w:rPr>
        <w:rFonts w:hint="default"/>
      </w:rPr>
    </w:lvl>
    <w:lvl w:ilvl="6">
      <w:start w:val="1"/>
      <w:numFmt w:val="decimal"/>
      <w:lvlText w:val="%5.%6.%7"/>
      <w:lvlJc w:val="left"/>
      <w:pPr>
        <w:tabs>
          <w:tab w:val="num" w:pos="1296"/>
        </w:tabs>
        <w:ind w:left="1296" w:hanging="1296"/>
      </w:pPr>
      <w:rPr>
        <w:rFonts w:ascii="Arial" w:hAnsi="Arial" w:cs="Times New Roman" w:hint="default"/>
        <w:b w:val="0"/>
        <w:bCs w:val="0"/>
        <w:i w:val="0"/>
        <w:iCs w:val="0"/>
        <w:caps w:val="0"/>
        <w:small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5.%6.%7.%8"/>
      <w:lvlJc w:val="left"/>
      <w:pPr>
        <w:tabs>
          <w:tab w:val="num" w:pos="954"/>
        </w:tabs>
        <w:ind w:left="954" w:hanging="1134"/>
      </w:pPr>
      <w:rPr>
        <w:rFonts w:hint="default"/>
      </w:rPr>
    </w:lvl>
    <w:lvl w:ilvl="8">
      <w:start w:val="1"/>
      <w:numFmt w:val="none"/>
      <w:lvlText w:val=""/>
      <w:lvlJc w:val="left"/>
      <w:pPr>
        <w:tabs>
          <w:tab w:val="num" w:pos="1404"/>
        </w:tabs>
        <w:ind w:left="1404" w:hanging="1584"/>
      </w:pPr>
      <w:rPr>
        <w:rFonts w:hint="default"/>
      </w:rPr>
    </w:lvl>
  </w:abstractNum>
  <w:abstractNum w:abstractNumId="5" w15:restartNumberingAfterBreak="0">
    <w:nsid w:val="24DA7DA0"/>
    <w:multiLevelType w:val="hybridMultilevel"/>
    <w:tmpl w:val="684222F8"/>
    <w:lvl w:ilvl="0" w:tplc="08070001">
      <w:start w:val="1"/>
      <w:numFmt w:val="bullet"/>
      <w:lvlText w:val=""/>
      <w:lvlJc w:val="left"/>
      <w:pPr>
        <w:ind w:left="1069" w:hanging="360"/>
      </w:pPr>
      <w:rPr>
        <w:rFonts w:ascii="Symbol" w:hAnsi="Symbol" w:hint="default"/>
      </w:rPr>
    </w:lvl>
    <w:lvl w:ilvl="1" w:tplc="08070003" w:tentative="1">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6" w15:restartNumberingAfterBreak="0">
    <w:nsid w:val="26BB14ED"/>
    <w:multiLevelType w:val="hybridMultilevel"/>
    <w:tmpl w:val="DA0A3A4C"/>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CCF3DF6"/>
    <w:multiLevelType w:val="hybridMultilevel"/>
    <w:tmpl w:val="8744E3A2"/>
    <w:lvl w:ilvl="0" w:tplc="0F14EED2">
      <w:start w:val="1"/>
      <w:numFmt w:val="bullet"/>
      <w:lvlText w:val="-"/>
      <w:lvlJc w:val="left"/>
      <w:pPr>
        <w:tabs>
          <w:tab w:val="num" w:pos="-6581"/>
        </w:tabs>
        <w:ind w:left="-6581" w:hanging="360"/>
      </w:pPr>
      <w:rPr>
        <w:rFonts w:ascii="Times New Roman" w:eastAsia="Times New Roman" w:hAnsi="Times New Roman" w:cs="Times New Roman" w:hint="default"/>
      </w:rPr>
    </w:lvl>
    <w:lvl w:ilvl="1" w:tplc="08070003" w:tentative="1">
      <w:start w:val="1"/>
      <w:numFmt w:val="bullet"/>
      <w:lvlText w:val="o"/>
      <w:lvlJc w:val="left"/>
      <w:pPr>
        <w:tabs>
          <w:tab w:val="num" w:pos="-5861"/>
        </w:tabs>
        <w:ind w:left="-5861" w:hanging="360"/>
      </w:pPr>
      <w:rPr>
        <w:rFonts w:ascii="Courier New" w:hAnsi="Courier New" w:cs="Courier New" w:hint="default"/>
      </w:rPr>
    </w:lvl>
    <w:lvl w:ilvl="2" w:tplc="08070005" w:tentative="1">
      <w:start w:val="1"/>
      <w:numFmt w:val="bullet"/>
      <w:lvlText w:val=""/>
      <w:lvlJc w:val="left"/>
      <w:pPr>
        <w:tabs>
          <w:tab w:val="num" w:pos="-5141"/>
        </w:tabs>
        <w:ind w:left="-5141" w:hanging="360"/>
      </w:pPr>
      <w:rPr>
        <w:rFonts w:ascii="Wingdings" w:hAnsi="Wingdings" w:hint="default"/>
      </w:rPr>
    </w:lvl>
    <w:lvl w:ilvl="3" w:tplc="08070001" w:tentative="1">
      <w:start w:val="1"/>
      <w:numFmt w:val="bullet"/>
      <w:lvlText w:val=""/>
      <w:lvlJc w:val="left"/>
      <w:pPr>
        <w:tabs>
          <w:tab w:val="num" w:pos="-4421"/>
        </w:tabs>
        <w:ind w:left="-4421" w:hanging="360"/>
      </w:pPr>
      <w:rPr>
        <w:rFonts w:ascii="Symbol" w:hAnsi="Symbol" w:hint="default"/>
      </w:rPr>
    </w:lvl>
    <w:lvl w:ilvl="4" w:tplc="08070003" w:tentative="1">
      <w:start w:val="1"/>
      <w:numFmt w:val="bullet"/>
      <w:lvlText w:val="o"/>
      <w:lvlJc w:val="left"/>
      <w:pPr>
        <w:tabs>
          <w:tab w:val="num" w:pos="-3701"/>
        </w:tabs>
        <w:ind w:left="-3701" w:hanging="360"/>
      </w:pPr>
      <w:rPr>
        <w:rFonts w:ascii="Courier New" w:hAnsi="Courier New" w:cs="Courier New" w:hint="default"/>
      </w:rPr>
    </w:lvl>
    <w:lvl w:ilvl="5" w:tplc="08070005" w:tentative="1">
      <w:start w:val="1"/>
      <w:numFmt w:val="bullet"/>
      <w:lvlText w:val=""/>
      <w:lvlJc w:val="left"/>
      <w:pPr>
        <w:tabs>
          <w:tab w:val="num" w:pos="-2981"/>
        </w:tabs>
        <w:ind w:left="-2981" w:hanging="360"/>
      </w:pPr>
      <w:rPr>
        <w:rFonts w:ascii="Wingdings" w:hAnsi="Wingdings" w:hint="default"/>
      </w:rPr>
    </w:lvl>
    <w:lvl w:ilvl="6" w:tplc="08070001" w:tentative="1">
      <w:start w:val="1"/>
      <w:numFmt w:val="bullet"/>
      <w:lvlText w:val=""/>
      <w:lvlJc w:val="left"/>
      <w:pPr>
        <w:tabs>
          <w:tab w:val="num" w:pos="-2261"/>
        </w:tabs>
        <w:ind w:left="-2261" w:hanging="360"/>
      </w:pPr>
      <w:rPr>
        <w:rFonts w:ascii="Symbol" w:hAnsi="Symbol" w:hint="default"/>
      </w:rPr>
    </w:lvl>
    <w:lvl w:ilvl="7" w:tplc="08070003" w:tentative="1">
      <w:start w:val="1"/>
      <w:numFmt w:val="bullet"/>
      <w:lvlText w:val="o"/>
      <w:lvlJc w:val="left"/>
      <w:pPr>
        <w:tabs>
          <w:tab w:val="num" w:pos="-1541"/>
        </w:tabs>
        <w:ind w:left="-1541" w:hanging="360"/>
      </w:pPr>
      <w:rPr>
        <w:rFonts w:ascii="Courier New" w:hAnsi="Courier New" w:cs="Courier New" w:hint="default"/>
      </w:rPr>
    </w:lvl>
    <w:lvl w:ilvl="8" w:tplc="08070005" w:tentative="1">
      <w:start w:val="1"/>
      <w:numFmt w:val="bullet"/>
      <w:lvlText w:val=""/>
      <w:lvlJc w:val="left"/>
      <w:pPr>
        <w:tabs>
          <w:tab w:val="num" w:pos="-821"/>
        </w:tabs>
        <w:ind w:left="-821" w:hanging="360"/>
      </w:pPr>
      <w:rPr>
        <w:rFonts w:ascii="Wingdings" w:hAnsi="Wingdings" w:hint="default"/>
      </w:rPr>
    </w:lvl>
  </w:abstractNum>
  <w:abstractNum w:abstractNumId="8" w15:restartNumberingAfterBreak="0">
    <w:nsid w:val="315955A4"/>
    <w:multiLevelType w:val="hybridMultilevel"/>
    <w:tmpl w:val="83BAFB6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1832DE0"/>
    <w:multiLevelType w:val="hybridMultilevel"/>
    <w:tmpl w:val="B9CC5F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6D971BA"/>
    <w:multiLevelType w:val="hybridMultilevel"/>
    <w:tmpl w:val="8806F6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7EA53C1"/>
    <w:multiLevelType w:val="multilevel"/>
    <w:tmpl w:val="A8963324"/>
    <w:styleLink w:val="FMAListeNummerierung"/>
    <w:lvl w:ilvl="0">
      <w:start w:val="1"/>
      <w:numFmt w:val="none"/>
      <w:suff w:val="nothing"/>
      <w:lvlText w:val=""/>
      <w:lvlJc w:val="left"/>
      <w:pPr>
        <w:ind w:left="0" w:firstLine="0"/>
      </w:pPr>
      <w:rPr>
        <w:rFonts w:hint="default"/>
        <w:color w:val="auto"/>
      </w:rPr>
    </w:lvl>
    <w:lvl w:ilvl="1">
      <w:start w:val="1"/>
      <w:numFmt w:val="decimal"/>
      <w:pStyle w:val="FMANummerierung1AltN"/>
      <w:lvlText w:val="%2."/>
      <w:lvlJc w:val="left"/>
      <w:pPr>
        <w:ind w:left="357" w:hanging="357"/>
      </w:pPr>
      <w:rPr>
        <w:rFonts w:hint="default"/>
        <w:color w:val="auto"/>
      </w:rPr>
    </w:lvl>
    <w:lvl w:ilvl="2">
      <w:start w:val="1"/>
      <w:numFmt w:val="decimal"/>
      <w:pStyle w:val="FMANummerierung2"/>
      <w:lvlText w:val="%2.%3"/>
      <w:lvlJc w:val="left"/>
      <w:pPr>
        <w:ind w:left="868" w:hanging="511"/>
      </w:pPr>
      <w:rPr>
        <w:rFonts w:hint="default"/>
      </w:rPr>
    </w:lvl>
    <w:lvl w:ilvl="3">
      <w:start w:val="1"/>
      <w:numFmt w:val="decimal"/>
      <w:pStyle w:val="FMANummerierung3"/>
      <w:lvlText w:val="%2.%3.%4"/>
      <w:lvlJc w:val="left"/>
      <w:pPr>
        <w:ind w:left="1548" w:hanging="680"/>
      </w:pPr>
      <w:rPr>
        <w:rFonts w:hint="default"/>
      </w:rPr>
    </w:lvl>
    <w:lvl w:ilvl="4">
      <w:start w:val="1"/>
      <w:numFmt w:val="decimal"/>
      <w:pStyle w:val="FMANummerierung4"/>
      <w:lvlText w:val="%2.%3.%4.%5"/>
      <w:lvlJc w:val="left"/>
      <w:pPr>
        <w:ind w:left="2398" w:hanging="850"/>
      </w:pPr>
      <w:rPr>
        <w:rFonts w:hint="default"/>
      </w:rPr>
    </w:lvl>
    <w:lvl w:ilvl="5">
      <w:start w:val="1"/>
      <w:numFmt w:val="none"/>
      <w:lvlRestart w:val="0"/>
      <w:lvlText w:val=""/>
      <w:lvlJc w:val="left"/>
      <w:pPr>
        <w:tabs>
          <w:tab w:val="num" w:pos="2398"/>
        </w:tabs>
        <w:ind w:left="2398" w:firstLine="0"/>
      </w:pPr>
      <w:rPr>
        <w:rFonts w:hint="default"/>
      </w:rPr>
    </w:lvl>
    <w:lvl w:ilvl="6">
      <w:start w:val="1"/>
      <w:numFmt w:val="none"/>
      <w:lvlRestart w:val="0"/>
      <w:lvlText w:val=""/>
      <w:lvlJc w:val="left"/>
      <w:pPr>
        <w:tabs>
          <w:tab w:val="num" w:pos="2398"/>
        </w:tabs>
        <w:ind w:left="2398" w:firstLine="0"/>
      </w:pPr>
      <w:rPr>
        <w:rFonts w:hint="default"/>
      </w:rPr>
    </w:lvl>
    <w:lvl w:ilvl="7">
      <w:start w:val="1"/>
      <w:numFmt w:val="none"/>
      <w:lvlRestart w:val="0"/>
      <w:lvlText w:val=""/>
      <w:lvlJc w:val="left"/>
      <w:pPr>
        <w:tabs>
          <w:tab w:val="num" w:pos="2398"/>
        </w:tabs>
        <w:ind w:left="2398" w:firstLine="0"/>
      </w:pPr>
      <w:rPr>
        <w:rFonts w:hint="default"/>
      </w:rPr>
    </w:lvl>
    <w:lvl w:ilvl="8">
      <w:start w:val="1"/>
      <w:numFmt w:val="none"/>
      <w:lvlRestart w:val="0"/>
      <w:lvlText w:val=""/>
      <w:lvlJc w:val="left"/>
      <w:pPr>
        <w:tabs>
          <w:tab w:val="num" w:pos="2398"/>
        </w:tabs>
        <w:ind w:left="2398" w:firstLine="0"/>
      </w:pPr>
      <w:rPr>
        <w:rFonts w:hint="default"/>
      </w:rPr>
    </w:lvl>
  </w:abstractNum>
  <w:abstractNum w:abstractNumId="12" w15:restartNumberingAfterBreak="0">
    <w:nsid w:val="39216C2F"/>
    <w:multiLevelType w:val="hybridMultilevel"/>
    <w:tmpl w:val="1F1E2C30"/>
    <w:lvl w:ilvl="0" w:tplc="14070013">
      <w:start w:val="1"/>
      <w:numFmt w:val="upperRoman"/>
      <w:lvlText w:val="%1."/>
      <w:lvlJc w:val="right"/>
      <w:pPr>
        <w:ind w:left="360" w:hanging="360"/>
      </w:pPr>
    </w:lvl>
    <w:lvl w:ilvl="1" w:tplc="14070019" w:tentative="1">
      <w:start w:val="1"/>
      <w:numFmt w:val="lowerLetter"/>
      <w:lvlText w:val="%2."/>
      <w:lvlJc w:val="left"/>
      <w:pPr>
        <w:ind w:left="1080" w:hanging="360"/>
      </w:pPr>
    </w:lvl>
    <w:lvl w:ilvl="2" w:tplc="1407001B" w:tentative="1">
      <w:start w:val="1"/>
      <w:numFmt w:val="lowerRoman"/>
      <w:lvlText w:val="%3."/>
      <w:lvlJc w:val="right"/>
      <w:pPr>
        <w:ind w:left="1800" w:hanging="180"/>
      </w:pPr>
    </w:lvl>
    <w:lvl w:ilvl="3" w:tplc="1407000F" w:tentative="1">
      <w:start w:val="1"/>
      <w:numFmt w:val="decimal"/>
      <w:lvlText w:val="%4."/>
      <w:lvlJc w:val="left"/>
      <w:pPr>
        <w:ind w:left="2520" w:hanging="360"/>
      </w:pPr>
    </w:lvl>
    <w:lvl w:ilvl="4" w:tplc="14070019" w:tentative="1">
      <w:start w:val="1"/>
      <w:numFmt w:val="lowerLetter"/>
      <w:lvlText w:val="%5."/>
      <w:lvlJc w:val="left"/>
      <w:pPr>
        <w:ind w:left="3240" w:hanging="360"/>
      </w:pPr>
    </w:lvl>
    <w:lvl w:ilvl="5" w:tplc="1407001B" w:tentative="1">
      <w:start w:val="1"/>
      <w:numFmt w:val="lowerRoman"/>
      <w:lvlText w:val="%6."/>
      <w:lvlJc w:val="right"/>
      <w:pPr>
        <w:ind w:left="3960" w:hanging="180"/>
      </w:pPr>
    </w:lvl>
    <w:lvl w:ilvl="6" w:tplc="1407000F" w:tentative="1">
      <w:start w:val="1"/>
      <w:numFmt w:val="decimal"/>
      <w:lvlText w:val="%7."/>
      <w:lvlJc w:val="left"/>
      <w:pPr>
        <w:ind w:left="4680" w:hanging="360"/>
      </w:pPr>
    </w:lvl>
    <w:lvl w:ilvl="7" w:tplc="14070019" w:tentative="1">
      <w:start w:val="1"/>
      <w:numFmt w:val="lowerLetter"/>
      <w:lvlText w:val="%8."/>
      <w:lvlJc w:val="left"/>
      <w:pPr>
        <w:ind w:left="5400" w:hanging="360"/>
      </w:pPr>
    </w:lvl>
    <w:lvl w:ilvl="8" w:tplc="1407001B" w:tentative="1">
      <w:start w:val="1"/>
      <w:numFmt w:val="lowerRoman"/>
      <w:lvlText w:val="%9."/>
      <w:lvlJc w:val="right"/>
      <w:pPr>
        <w:ind w:left="6120" w:hanging="180"/>
      </w:pPr>
    </w:lvl>
  </w:abstractNum>
  <w:abstractNum w:abstractNumId="13" w15:restartNumberingAfterBreak="0">
    <w:nsid w:val="3D397A26"/>
    <w:multiLevelType w:val="multilevel"/>
    <w:tmpl w:val="3A80B4E6"/>
    <w:styleLink w:val="LLVAufzhlung"/>
    <w:lvl w:ilvl="0">
      <w:start w:val="1"/>
      <w:numFmt w:val="bullet"/>
      <w:pStyle w:val="LLVAufzhlung1AltA"/>
      <w:lvlText w:val=""/>
      <w:lvlJc w:val="left"/>
      <w:pPr>
        <w:ind w:left="340" w:hanging="340"/>
      </w:pPr>
      <w:rPr>
        <w:rFonts w:ascii="Symbol" w:hAnsi="Symbol" w:hint="default"/>
        <w:color w:val="auto"/>
      </w:rPr>
    </w:lvl>
    <w:lvl w:ilvl="1">
      <w:start w:val="1"/>
      <w:numFmt w:val="bullet"/>
      <w:lvlRestart w:val="0"/>
      <w:pStyle w:val="LLVAufzhlung2"/>
      <w:lvlText w:val=""/>
      <w:lvlJc w:val="left"/>
      <w:pPr>
        <w:ind w:left="851" w:hanging="511"/>
      </w:pPr>
      <w:rPr>
        <w:rFonts w:ascii="Wingdings" w:hAnsi="Wingdings" w:hint="default"/>
        <w:color w:val="auto"/>
        <w:sz w:val="12"/>
      </w:rPr>
    </w:lvl>
    <w:lvl w:ilvl="2">
      <w:start w:val="1"/>
      <w:numFmt w:val="bullet"/>
      <w:lvlRestart w:val="0"/>
      <w:pStyle w:val="LLVAufzhlung3"/>
      <w:lvlText w:val=""/>
      <w:lvlJc w:val="left"/>
      <w:pPr>
        <w:ind w:left="1531" w:hanging="680"/>
      </w:pPr>
      <w:rPr>
        <w:rFonts w:ascii="Wingdings" w:hAnsi="Wingdings" w:hint="default"/>
        <w:color w:val="auto"/>
      </w:rPr>
    </w:lvl>
    <w:lvl w:ilvl="3">
      <w:start w:val="1"/>
      <w:numFmt w:val="bullet"/>
      <w:lvlRestart w:val="0"/>
      <w:pStyle w:val="LLVAufzhlung4"/>
      <w:lvlText w:val="-"/>
      <w:lvlJc w:val="left"/>
      <w:pPr>
        <w:ind w:left="2381" w:hanging="850"/>
      </w:pPr>
      <w:rPr>
        <w:rFonts w:ascii="Calibri" w:hAnsi="Calibri" w:hint="default"/>
        <w:color w:val="auto"/>
      </w:rPr>
    </w:lvl>
    <w:lvl w:ilvl="4">
      <w:start w:val="1"/>
      <w:numFmt w:val="bullet"/>
      <w:lvlRestart w:val="0"/>
      <w:lvlText w:val="-"/>
      <w:lvlJc w:val="left"/>
      <w:pPr>
        <w:ind w:left="2381" w:hanging="850"/>
      </w:pPr>
      <w:rPr>
        <w:rFonts w:ascii="Calibri" w:hAnsi="Calibri" w:hint="default"/>
        <w:color w:val="auto"/>
      </w:rPr>
    </w:lvl>
    <w:lvl w:ilvl="5">
      <w:start w:val="1"/>
      <w:numFmt w:val="bullet"/>
      <w:lvlRestart w:val="0"/>
      <w:lvlText w:val="-"/>
      <w:lvlJc w:val="left"/>
      <w:pPr>
        <w:ind w:left="2381" w:hanging="850"/>
      </w:pPr>
      <w:rPr>
        <w:rFonts w:ascii="Calibri" w:hAnsi="Calibri" w:hint="default"/>
        <w:color w:val="auto"/>
      </w:rPr>
    </w:lvl>
    <w:lvl w:ilvl="6">
      <w:start w:val="1"/>
      <w:numFmt w:val="bullet"/>
      <w:lvlRestart w:val="0"/>
      <w:lvlText w:val="-"/>
      <w:lvlJc w:val="left"/>
      <w:pPr>
        <w:ind w:left="2381" w:hanging="850"/>
      </w:pPr>
      <w:rPr>
        <w:rFonts w:ascii="Calibri" w:hAnsi="Calibri" w:hint="default"/>
        <w:color w:val="auto"/>
      </w:rPr>
    </w:lvl>
    <w:lvl w:ilvl="7">
      <w:start w:val="1"/>
      <w:numFmt w:val="bullet"/>
      <w:lvlRestart w:val="0"/>
      <w:lvlText w:val="-"/>
      <w:lvlJc w:val="left"/>
      <w:pPr>
        <w:ind w:left="2381" w:hanging="850"/>
      </w:pPr>
      <w:rPr>
        <w:rFonts w:ascii="Calibri" w:hAnsi="Calibri" w:hint="default"/>
        <w:color w:val="auto"/>
      </w:rPr>
    </w:lvl>
    <w:lvl w:ilvl="8">
      <w:start w:val="1"/>
      <w:numFmt w:val="bullet"/>
      <w:lvlRestart w:val="0"/>
      <w:lvlText w:val="-"/>
      <w:lvlJc w:val="left"/>
      <w:pPr>
        <w:ind w:left="2381" w:hanging="850"/>
      </w:pPr>
      <w:rPr>
        <w:rFonts w:ascii="Calibri" w:hAnsi="Calibri" w:hint="default"/>
        <w:color w:val="auto"/>
      </w:rPr>
    </w:lvl>
  </w:abstractNum>
  <w:abstractNum w:abstractNumId="14" w15:restartNumberingAfterBreak="0">
    <w:nsid w:val="410A5B15"/>
    <w:multiLevelType w:val="hybridMultilevel"/>
    <w:tmpl w:val="C1B26D52"/>
    <w:lvl w:ilvl="0" w:tplc="039A73E6">
      <w:start w:val="1"/>
      <w:numFmt w:val="upperRoman"/>
      <w:lvlText w:val="%1."/>
      <w:lvlJc w:val="left"/>
      <w:pPr>
        <w:ind w:left="1080" w:hanging="72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3705034"/>
    <w:multiLevelType w:val="hybridMultilevel"/>
    <w:tmpl w:val="F9640E4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3F55BE2"/>
    <w:multiLevelType w:val="hybridMultilevel"/>
    <w:tmpl w:val="8DF686D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7D454F4"/>
    <w:multiLevelType w:val="hybridMultilevel"/>
    <w:tmpl w:val="DB562336"/>
    <w:lvl w:ilvl="0" w:tplc="0F14EED2">
      <w:start w:val="1"/>
      <w:numFmt w:val="bullet"/>
      <w:lvlText w:val="-"/>
      <w:lvlJc w:val="left"/>
      <w:pPr>
        <w:tabs>
          <w:tab w:val="num" w:pos="720"/>
        </w:tabs>
        <w:ind w:left="720" w:hanging="360"/>
      </w:pPr>
      <w:rPr>
        <w:rFonts w:ascii="Times New Roman" w:eastAsia="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6D47D5"/>
    <w:multiLevelType w:val="hybridMultilevel"/>
    <w:tmpl w:val="0C009A96"/>
    <w:lvl w:ilvl="0" w:tplc="0F14EED2">
      <w:start w:val="1"/>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D046884"/>
    <w:multiLevelType w:val="multilevel"/>
    <w:tmpl w:val="730C2BB4"/>
    <w:lvl w:ilvl="0">
      <w:start w:val="1"/>
      <w:numFmt w:val="decimal"/>
      <w:lvlText w:val="%1."/>
      <w:lvlJc w:val="left"/>
      <w:pPr>
        <w:ind w:left="680" w:hanging="68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680" w:hanging="680"/>
      </w:pPr>
      <w:rPr>
        <w:rFonts w:hint="default"/>
      </w:rPr>
    </w:lvl>
    <w:lvl w:ilvl="2">
      <w:start w:val="1"/>
      <w:numFmt w:val="decimal"/>
      <w:lvlText w:val="%1.%2.%3"/>
      <w:lvlJc w:val="left"/>
      <w:pPr>
        <w:ind w:left="2240" w:hanging="68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5F823F54"/>
    <w:multiLevelType w:val="hybridMultilevel"/>
    <w:tmpl w:val="4DB46DF4"/>
    <w:lvl w:ilvl="0" w:tplc="08070017">
      <w:start w:val="1"/>
      <w:numFmt w:val="lowerLetter"/>
      <w:lvlText w:val="%1)"/>
      <w:lvlJc w:val="left"/>
      <w:pPr>
        <w:ind w:left="720" w:hanging="360"/>
      </w:pPr>
    </w:lvl>
    <w:lvl w:ilvl="1" w:tplc="0807001B">
      <w:start w:val="1"/>
      <w:numFmt w:val="lowerRoman"/>
      <w:lvlText w:val="%2."/>
      <w:lvlJc w:val="righ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5FAE5A1F"/>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1484777"/>
    <w:multiLevelType w:val="hybridMultilevel"/>
    <w:tmpl w:val="8A86B85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1C33676"/>
    <w:multiLevelType w:val="hybridMultilevel"/>
    <w:tmpl w:val="F83015A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702D46E3"/>
    <w:multiLevelType w:val="hybridMultilevel"/>
    <w:tmpl w:val="605C42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92A18E1"/>
    <w:multiLevelType w:val="hybridMultilevel"/>
    <w:tmpl w:val="67B29AA8"/>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6" w15:restartNumberingAfterBreak="0">
    <w:nsid w:val="7B1F2D4B"/>
    <w:multiLevelType w:val="multilevel"/>
    <w:tmpl w:val="9252EF04"/>
    <w:styleLink w:val="FMAListeberschriften"/>
    <w:lvl w:ilvl="0">
      <w:start w:val="1"/>
      <w:numFmt w:val="decimal"/>
      <w:pStyle w:val="berschrift1"/>
      <w:lvlText w:val="%1."/>
      <w:lvlJc w:val="left"/>
      <w:pPr>
        <w:tabs>
          <w:tab w:val="num" w:pos="709"/>
        </w:tabs>
        <w:ind w:left="709" w:hanging="709"/>
      </w:pPr>
      <w:rPr>
        <w:rFonts w:hint="default"/>
      </w:rPr>
    </w:lvl>
    <w:lvl w:ilvl="1">
      <w:start w:val="1"/>
      <w:numFmt w:val="decimal"/>
      <w:pStyle w:val="berschrift2"/>
      <w:lvlText w:val="%1.%2"/>
      <w:lvlJc w:val="left"/>
      <w:pPr>
        <w:tabs>
          <w:tab w:val="num" w:pos="709"/>
        </w:tabs>
        <w:ind w:left="709" w:hanging="709"/>
      </w:pPr>
      <w:rPr>
        <w:rFonts w:hint="default"/>
      </w:rPr>
    </w:lvl>
    <w:lvl w:ilvl="2">
      <w:start w:val="1"/>
      <w:numFmt w:val="decimal"/>
      <w:pStyle w:val="berschrift3"/>
      <w:lvlText w:val="%1.%2.%3"/>
      <w:lvlJc w:val="left"/>
      <w:pPr>
        <w:tabs>
          <w:tab w:val="num" w:pos="993"/>
        </w:tabs>
        <w:ind w:left="993" w:hanging="709"/>
      </w:pPr>
      <w:rPr>
        <w:rFonts w:hint="default"/>
      </w:rPr>
    </w:lvl>
    <w:lvl w:ilvl="3">
      <w:start w:val="1"/>
      <w:numFmt w:val="decimal"/>
      <w:pStyle w:val="berschrift4"/>
      <w:lvlText w:val="%1.%2.%3.%4"/>
      <w:lvlJc w:val="left"/>
      <w:pPr>
        <w:tabs>
          <w:tab w:val="num" w:pos="709"/>
        </w:tabs>
        <w:ind w:left="709" w:hanging="709"/>
      </w:pPr>
      <w:rPr>
        <w:rFonts w:hint="default"/>
      </w:rPr>
    </w:lvl>
    <w:lvl w:ilvl="4">
      <w:start w:val="1"/>
      <w:numFmt w:val="decimal"/>
      <w:pStyle w:val="berschrift5"/>
      <w:lvlText w:val="%1.%2.%3.%4.%5"/>
      <w:lvlJc w:val="left"/>
      <w:pPr>
        <w:tabs>
          <w:tab w:val="num" w:pos="709"/>
        </w:tabs>
        <w:ind w:left="709" w:hanging="709"/>
      </w:pPr>
      <w:rPr>
        <w:rFonts w:hint="default"/>
      </w:rPr>
    </w:lvl>
    <w:lvl w:ilvl="5">
      <w:start w:val="1"/>
      <w:numFmt w:val="decimal"/>
      <w:pStyle w:val="berschrift6"/>
      <w:lvlText w:val="%1.%2.%3.%4.%5.%6"/>
      <w:lvlJc w:val="left"/>
      <w:pPr>
        <w:tabs>
          <w:tab w:val="num" w:pos="709"/>
        </w:tabs>
        <w:ind w:left="709" w:hanging="709"/>
      </w:pPr>
      <w:rPr>
        <w:rFonts w:hint="default"/>
      </w:rPr>
    </w:lvl>
    <w:lvl w:ilvl="6">
      <w:start w:val="1"/>
      <w:numFmt w:val="decimal"/>
      <w:pStyle w:val="berschrift7"/>
      <w:lvlText w:val="%1.%2.%3.%4.%5.%6.%7"/>
      <w:lvlJc w:val="left"/>
      <w:pPr>
        <w:tabs>
          <w:tab w:val="num" w:pos="709"/>
        </w:tabs>
        <w:ind w:left="709" w:hanging="709"/>
      </w:pPr>
      <w:rPr>
        <w:rFonts w:hint="default"/>
      </w:rPr>
    </w:lvl>
    <w:lvl w:ilvl="7">
      <w:start w:val="1"/>
      <w:numFmt w:val="decimal"/>
      <w:pStyle w:val="berschrift8"/>
      <w:lvlText w:val="%1.%2.%3.%4.%5.%6.%7.%8"/>
      <w:lvlJc w:val="left"/>
      <w:pPr>
        <w:tabs>
          <w:tab w:val="num" w:pos="709"/>
        </w:tabs>
        <w:ind w:left="709" w:hanging="709"/>
      </w:pPr>
      <w:rPr>
        <w:rFonts w:hint="default"/>
      </w:rPr>
    </w:lvl>
    <w:lvl w:ilvl="8">
      <w:start w:val="1"/>
      <w:numFmt w:val="decimal"/>
      <w:pStyle w:val="berschrift9"/>
      <w:lvlText w:val="%1.%2.%3.%4.%5.%6.%7.%8.%9"/>
      <w:lvlJc w:val="left"/>
      <w:pPr>
        <w:tabs>
          <w:tab w:val="num" w:pos="709"/>
        </w:tabs>
        <w:ind w:left="709" w:hanging="709"/>
      </w:pPr>
      <w:rPr>
        <w:rFonts w:hint="default"/>
      </w:rPr>
    </w:lvl>
  </w:abstractNum>
  <w:abstractNum w:abstractNumId="27" w15:restartNumberingAfterBreak="0">
    <w:nsid w:val="7C286DDD"/>
    <w:multiLevelType w:val="multilevel"/>
    <w:tmpl w:val="F5F662B0"/>
    <w:styleLink w:val="FMAListeAufzhlung"/>
    <w:lvl w:ilvl="0">
      <w:start w:val="1"/>
      <w:numFmt w:val="bullet"/>
      <w:pStyle w:val="FMAAufzhlung1AltA"/>
      <w:lvlText w:val="•"/>
      <w:lvlJc w:val="left"/>
      <w:pPr>
        <w:ind w:left="357" w:hanging="357"/>
      </w:pPr>
      <w:rPr>
        <w:rFonts w:ascii="Arial" w:hAnsi="Arial" w:hint="default"/>
        <w:color w:val="auto"/>
      </w:rPr>
    </w:lvl>
    <w:lvl w:ilvl="1">
      <w:start w:val="1"/>
      <w:numFmt w:val="bullet"/>
      <w:lvlRestart w:val="0"/>
      <w:pStyle w:val="FMAAufzhlung2"/>
      <w:lvlText w:val="-"/>
      <w:lvlJc w:val="left"/>
      <w:pPr>
        <w:ind w:left="868" w:hanging="511"/>
      </w:pPr>
      <w:rPr>
        <w:rFonts w:ascii="Arial" w:hAnsi="Arial" w:hint="default"/>
        <w:color w:val="auto"/>
      </w:rPr>
    </w:lvl>
    <w:lvl w:ilvl="2">
      <w:start w:val="1"/>
      <w:numFmt w:val="none"/>
      <w:lvlRestart w:val="0"/>
      <w:lvlText w:val=""/>
      <w:lvlJc w:val="left"/>
      <w:pPr>
        <w:ind w:left="868" w:firstLine="0"/>
      </w:pPr>
      <w:rPr>
        <w:rFonts w:hint="default"/>
      </w:rPr>
    </w:lvl>
    <w:lvl w:ilvl="3">
      <w:start w:val="1"/>
      <w:numFmt w:val="none"/>
      <w:lvlRestart w:val="0"/>
      <w:lvlText w:val=""/>
      <w:lvlJc w:val="left"/>
      <w:pPr>
        <w:ind w:left="868" w:firstLine="0"/>
      </w:pPr>
      <w:rPr>
        <w:rFonts w:hint="default"/>
      </w:rPr>
    </w:lvl>
    <w:lvl w:ilvl="4">
      <w:start w:val="1"/>
      <w:numFmt w:val="none"/>
      <w:lvlRestart w:val="0"/>
      <w:lvlText w:val=""/>
      <w:lvlJc w:val="left"/>
      <w:pPr>
        <w:ind w:left="868" w:firstLine="0"/>
      </w:pPr>
      <w:rPr>
        <w:rFonts w:hint="default"/>
      </w:rPr>
    </w:lvl>
    <w:lvl w:ilvl="5">
      <w:start w:val="1"/>
      <w:numFmt w:val="none"/>
      <w:lvlRestart w:val="0"/>
      <w:lvlText w:val=""/>
      <w:lvlJc w:val="left"/>
      <w:pPr>
        <w:ind w:left="868" w:firstLine="0"/>
      </w:pPr>
      <w:rPr>
        <w:rFonts w:hint="default"/>
      </w:rPr>
    </w:lvl>
    <w:lvl w:ilvl="6">
      <w:start w:val="1"/>
      <w:numFmt w:val="none"/>
      <w:lvlRestart w:val="0"/>
      <w:lvlText w:val=""/>
      <w:lvlJc w:val="left"/>
      <w:pPr>
        <w:ind w:left="868" w:firstLine="0"/>
      </w:pPr>
      <w:rPr>
        <w:rFonts w:hint="default"/>
      </w:rPr>
    </w:lvl>
    <w:lvl w:ilvl="7">
      <w:start w:val="1"/>
      <w:numFmt w:val="none"/>
      <w:lvlRestart w:val="0"/>
      <w:lvlText w:val=""/>
      <w:lvlJc w:val="left"/>
      <w:pPr>
        <w:ind w:left="868" w:firstLine="0"/>
      </w:pPr>
      <w:rPr>
        <w:rFonts w:hint="default"/>
      </w:rPr>
    </w:lvl>
    <w:lvl w:ilvl="8">
      <w:start w:val="1"/>
      <w:numFmt w:val="none"/>
      <w:lvlRestart w:val="0"/>
      <w:lvlText w:val=""/>
      <w:lvlJc w:val="left"/>
      <w:pPr>
        <w:ind w:left="868" w:firstLine="0"/>
      </w:pPr>
      <w:rPr>
        <w:rFonts w:hint="default"/>
      </w:rPr>
    </w:lvl>
  </w:abstractNum>
  <w:abstractNum w:abstractNumId="28" w15:restartNumberingAfterBreak="0">
    <w:nsid w:val="7DB85706"/>
    <w:multiLevelType w:val="hybridMultilevel"/>
    <w:tmpl w:val="163096D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7F6C2E9A"/>
    <w:multiLevelType w:val="hybridMultilevel"/>
    <w:tmpl w:val="30CC92F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11"/>
  </w:num>
  <w:num w:numId="4">
    <w:abstractNumId w:val="26"/>
  </w:num>
  <w:num w:numId="5">
    <w:abstractNumId w:val="27"/>
  </w:num>
  <w:num w:numId="6">
    <w:abstractNumId w:val="27"/>
  </w:num>
  <w:num w:numId="7">
    <w:abstractNumId w:val="0"/>
  </w:num>
  <w:num w:numId="8">
    <w:abstractNumId w:val="0"/>
  </w:num>
  <w:num w:numId="9">
    <w:abstractNumId w:val="0"/>
  </w:num>
  <w:num w:numId="10">
    <w:abstractNumId w:val="0"/>
  </w:num>
  <w:num w:numId="11">
    <w:abstractNumId w:val="11"/>
  </w:num>
  <w:num w:numId="12">
    <w:abstractNumId w:val="11"/>
  </w:num>
  <w:num w:numId="13">
    <w:abstractNumId w:val="11"/>
  </w:num>
  <w:num w:numId="14">
    <w:abstractNumId w:val="11"/>
  </w:num>
  <w:num w:numId="15">
    <w:abstractNumId w:val="26"/>
  </w:num>
  <w:num w:numId="16">
    <w:abstractNumId w:val="26"/>
  </w:num>
  <w:num w:numId="17">
    <w:abstractNumId w:val="26"/>
  </w:num>
  <w:num w:numId="18">
    <w:abstractNumId w:val="26"/>
  </w:num>
  <w:num w:numId="19">
    <w:abstractNumId w:val="26"/>
  </w:num>
  <w:num w:numId="20">
    <w:abstractNumId w:val="26"/>
  </w:num>
  <w:num w:numId="21">
    <w:abstractNumId w:val="26"/>
  </w:num>
  <w:num w:numId="22">
    <w:abstractNumId w:val="26"/>
  </w:num>
  <w:num w:numId="23">
    <w:abstractNumId w:val="26"/>
    <w:lvlOverride w:ilvl="0">
      <w:lvl w:ilvl="0">
        <w:start w:val="1"/>
        <w:numFmt w:val="decimal"/>
        <w:pStyle w:val="berschrift1"/>
        <w:lvlText w:val="%1."/>
        <w:lvlJc w:val="left"/>
        <w:pPr>
          <w:tabs>
            <w:tab w:val="num" w:pos="709"/>
          </w:tabs>
          <w:ind w:left="709" w:hanging="709"/>
        </w:pPr>
        <w:rPr>
          <w:rFonts w:hint="default"/>
        </w:rPr>
      </w:lvl>
    </w:lvlOverride>
    <w:lvlOverride w:ilvl="1">
      <w:lvl w:ilvl="1">
        <w:start w:val="1"/>
        <w:numFmt w:val="decimal"/>
        <w:pStyle w:val="berschrift2"/>
        <w:lvlText w:val="%1.%2"/>
        <w:lvlJc w:val="left"/>
        <w:pPr>
          <w:tabs>
            <w:tab w:val="num" w:pos="709"/>
          </w:tabs>
          <w:ind w:left="709" w:hanging="709"/>
        </w:pPr>
        <w:rPr>
          <w:rFonts w:hint="default"/>
        </w:rPr>
      </w:lvl>
    </w:lvlOverride>
    <w:lvlOverride w:ilvl="2">
      <w:lvl w:ilvl="2">
        <w:start w:val="1"/>
        <w:numFmt w:val="decimal"/>
        <w:pStyle w:val="berschrift3"/>
        <w:lvlText w:val="%1.%2.%3"/>
        <w:lvlJc w:val="left"/>
        <w:pPr>
          <w:tabs>
            <w:tab w:val="num" w:pos="993"/>
          </w:tabs>
          <w:ind w:left="993" w:hanging="709"/>
        </w:pPr>
        <w:rPr>
          <w:rFonts w:hint="default"/>
        </w:rPr>
      </w:lvl>
    </w:lvlOverride>
    <w:lvlOverride w:ilvl="3">
      <w:lvl w:ilvl="3">
        <w:start w:val="1"/>
        <w:numFmt w:val="decimal"/>
        <w:pStyle w:val="berschrift4"/>
        <w:lvlText w:val="%1.%2.%3.%4"/>
        <w:lvlJc w:val="left"/>
        <w:pPr>
          <w:tabs>
            <w:tab w:val="num" w:pos="709"/>
          </w:tabs>
          <w:ind w:left="709" w:hanging="709"/>
        </w:pPr>
        <w:rPr>
          <w:rFonts w:hint="default"/>
        </w:rPr>
      </w:lvl>
    </w:lvlOverride>
    <w:lvlOverride w:ilvl="4">
      <w:lvl w:ilvl="4">
        <w:start w:val="1"/>
        <w:numFmt w:val="decimal"/>
        <w:pStyle w:val="berschrift5"/>
        <w:lvlText w:val="%1.%2.%3.%4.%5"/>
        <w:lvlJc w:val="left"/>
        <w:pPr>
          <w:tabs>
            <w:tab w:val="num" w:pos="709"/>
          </w:tabs>
          <w:ind w:left="709" w:hanging="709"/>
        </w:pPr>
        <w:rPr>
          <w:rFonts w:hint="default"/>
        </w:rPr>
      </w:lvl>
    </w:lvlOverride>
    <w:lvlOverride w:ilvl="5">
      <w:lvl w:ilvl="5">
        <w:start w:val="1"/>
        <w:numFmt w:val="decimal"/>
        <w:pStyle w:val="berschrift6"/>
        <w:lvlText w:val="%1.%2.%3.%4.%5.%6"/>
        <w:lvlJc w:val="left"/>
        <w:pPr>
          <w:tabs>
            <w:tab w:val="num" w:pos="709"/>
          </w:tabs>
          <w:ind w:left="709" w:hanging="709"/>
        </w:pPr>
        <w:rPr>
          <w:rFonts w:hint="default"/>
        </w:rPr>
      </w:lvl>
    </w:lvlOverride>
    <w:lvlOverride w:ilvl="6">
      <w:lvl w:ilvl="6">
        <w:start w:val="1"/>
        <w:numFmt w:val="decimal"/>
        <w:pStyle w:val="berschrift7"/>
        <w:lvlText w:val="%1.%2.%3.%4.%5.%6.%7"/>
        <w:lvlJc w:val="left"/>
        <w:pPr>
          <w:tabs>
            <w:tab w:val="num" w:pos="709"/>
          </w:tabs>
          <w:ind w:left="709" w:hanging="709"/>
        </w:pPr>
        <w:rPr>
          <w:rFonts w:hint="default"/>
        </w:rPr>
      </w:lvl>
    </w:lvlOverride>
    <w:lvlOverride w:ilvl="7">
      <w:lvl w:ilvl="7">
        <w:start w:val="1"/>
        <w:numFmt w:val="decimal"/>
        <w:pStyle w:val="berschrift8"/>
        <w:lvlText w:val="%1.%2.%3.%4.%5.%6.%7.%8"/>
        <w:lvlJc w:val="left"/>
        <w:pPr>
          <w:tabs>
            <w:tab w:val="num" w:pos="709"/>
          </w:tabs>
          <w:ind w:left="709" w:hanging="709"/>
        </w:pPr>
        <w:rPr>
          <w:rFonts w:hint="default"/>
        </w:rPr>
      </w:lvl>
    </w:lvlOverride>
    <w:lvlOverride w:ilvl="8">
      <w:lvl w:ilvl="8">
        <w:start w:val="1"/>
        <w:numFmt w:val="decimal"/>
        <w:pStyle w:val="berschrift9"/>
        <w:lvlText w:val="%1.%2.%3.%4.%5.%6.%7.%8.%9"/>
        <w:lvlJc w:val="left"/>
        <w:pPr>
          <w:tabs>
            <w:tab w:val="num" w:pos="709"/>
          </w:tabs>
          <w:ind w:left="709" w:hanging="709"/>
        </w:pPr>
        <w:rPr>
          <w:rFonts w:hint="default"/>
        </w:rPr>
      </w:lvl>
    </w:lvlOverride>
  </w:num>
  <w:num w:numId="24">
    <w:abstractNumId w:val="17"/>
  </w:num>
  <w:num w:numId="25">
    <w:abstractNumId w:val="4"/>
  </w:num>
  <w:num w:numId="26">
    <w:abstractNumId w:val="7"/>
  </w:num>
  <w:num w:numId="27">
    <w:abstractNumId w:val="21"/>
  </w:num>
  <w:num w:numId="28">
    <w:abstractNumId w:val="25"/>
  </w:num>
  <w:num w:numId="29">
    <w:abstractNumId w:val="28"/>
  </w:num>
  <w:num w:numId="30">
    <w:abstractNumId w:val="15"/>
  </w:num>
  <w:num w:numId="31">
    <w:abstractNumId w:val="29"/>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9"/>
  </w:num>
  <w:num w:numId="35">
    <w:abstractNumId w:val="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6"/>
  </w:num>
  <w:num w:numId="39">
    <w:abstractNumId w:val="18"/>
  </w:num>
  <w:num w:numId="40">
    <w:abstractNumId w:val="26"/>
    <w:lvlOverride w:ilvl="2">
      <w:lvl w:ilvl="2">
        <w:start w:val="1"/>
        <w:numFmt w:val="decimal"/>
        <w:pStyle w:val="berschrift3"/>
        <w:lvlText w:val="%1.%2.%3"/>
        <w:lvlJc w:val="left"/>
        <w:pPr>
          <w:tabs>
            <w:tab w:val="num" w:pos="993"/>
          </w:tabs>
          <w:ind w:left="993" w:hanging="709"/>
        </w:pPr>
        <w:rPr>
          <w:rFonts w:hint="default"/>
        </w:rPr>
      </w:lvl>
    </w:lvlOverride>
  </w:num>
  <w:num w:numId="41">
    <w:abstractNumId w:val="26"/>
    <w:lvlOverride w:ilvl="2">
      <w:lvl w:ilvl="2">
        <w:start w:val="1"/>
        <w:numFmt w:val="decimal"/>
        <w:pStyle w:val="berschrift3"/>
        <w:lvlText w:val="%1.%2.%3"/>
        <w:lvlJc w:val="left"/>
        <w:pPr>
          <w:tabs>
            <w:tab w:val="num" w:pos="993"/>
          </w:tabs>
          <w:ind w:left="993" w:hanging="709"/>
        </w:pPr>
        <w:rPr>
          <w:rFonts w:hint="default"/>
        </w:rPr>
      </w:lvl>
    </w:lvlOverride>
  </w:num>
  <w:num w:numId="42">
    <w:abstractNumId w:val="5"/>
  </w:num>
  <w:num w:numId="43">
    <w:abstractNumId w:val="26"/>
    <w:lvlOverride w:ilvl="2">
      <w:lvl w:ilvl="2">
        <w:start w:val="1"/>
        <w:numFmt w:val="decimal"/>
        <w:pStyle w:val="berschrift3"/>
        <w:lvlText w:val="%1.%2.%3"/>
        <w:lvlJc w:val="left"/>
        <w:pPr>
          <w:tabs>
            <w:tab w:val="num" w:pos="993"/>
          </w:tabs>
          <w:ind w:left="993" w:hanging="709"/>
        </w:pPr>
        <w:rPr>
          <w:rFonts w:hint="default"/>
        </w:rPr>
      </w:lvl>
    </w:lvlOverride>
  </w:num>
  <w:num w:numId="44">
    <w:abstractNumId w:val="26"/>
    <w:lvlOverride w:ilvl="2">
      <w:lvl w:ilvl="2">
        <w:start w:val="1"/>
        <w:numFmt w:val="decimal"/>
        <w:pStyle w:val="berschrift3"/>
        <w:lvlText w:val="%1.%2.%3"/>
        <w:lvlJc w:val="left"/>
        <w:pPr>
          <w:tabs>
            <w:tab w:val="num" w:pos="993"/>
          </w:tabs>
          <w:ind w:left="993" w:hanging="709"/>
        </w:pPr>
        <w:rPr>
          <w:rFonts w:hint="default"/>
        </w:rPr>
      </w:lvl>
    </w:lvlOverride>
  </w:num>
  <w:num w:numId="45">
    <w:abstractNumId w:val="26"/>
    <w:lvlOverride w:ilvl="2">
      <w:lvl w:ilvl="2">
        <w:start w:val="1"/>
        <w:numFmt w:val="decimal"/>
        <w:pStyle w:val="berschrift3"/>
        <w:lvlText w:val="%1.%2.%3"/>
        <w:lvlJc w:val="left"/>
        <w:pPr>
          <w:tabs>
            <w:tab w:val="num" w:pos="993"/>
          </w:tabs>
          <w:ind w:left="993" w:hanging="709"/>
        </w:pPr>
        <w:rPr>
          <w:rFonts w:hint="default"/>
        </w:rPr>
      </w:lvl>
    </w:lvlOverride>
  </w:num>
  <w:num w:numId="46">
    <w:abstractNumId w:val="26"/>
    <w:lvlOverride w:ilvl="2">
      <w:lvl w:ilvl="2">
        <w:start w:val="1"/>
        <w:numFmt w:val="decimal"/>
        <w:pStyle w:val="berschrift3"/>
        <w:lvlText w:val="%1.%2.%3"/>
        <w:lvlJc w:val="left"/>
        <w:pPr>
          <w:tabs>
            <w:tab w:val="num" w:pos="993"/>
          </w:tabs>
          <w:ind w:left="993" w:hanging="709"/>
        </w:pPr>
        <w:rPr>
          <w:rFonts w:hint="default"/>
        </w:rPr>
      </w:lvl>
    </w:lvlOverride>
  </w:num>
  <w:num w:numId="47">
    <w:abstractNumId w:val="26"/>
    <w:lvlOverride w:ilvl="2">
      <w:lvl w:ilvl="2">
        <w:start w:val="1"/>
        <w:numFmt w:val="decimal"/>
        <w:pStyle w:val="berschrift3"/>
        <w:lvlText w:val="%1.%2.%3"/>
        <w:lvlJc w:val="left"/>
        <w:pPr>
          <w:tabs>
            <w:tab w:val="num" w:pos="993"/>
          </w:tabs>
          <w:ind w:left="993" w:hanging="709"/>
        </w:pPr>
        <w:rPr>
          <w:rFonts w:hint="default"/>
        </w:rPr>
      </w:lvl>
    </w:lvlOverride>
  </w:num>
  <w:num w:numId="48">
    <w:abstractNumId w:val="26"/>
    <w:lvlOverride w:ilvl="2">
      <w:lvl w:ilvl="2">
        <w:start w:val="1"/>
        <w:numFmt w:val="decimal"/>
        <w:pStyle w:val="berschrift3"/>
        <w:lvlText w:val="%1.%2.%3"/>
        <w:lvlJc w:val="left"/>
        <w:pPr>
          <w:tabs>
            <w:tab w:val="num" w:pos="993"/>
          </w:tabs>
          <w:ind w:left="993" w:hanging="709"/>
        </w:pPr>
        <w:rPr>
          <w:rFonts w:hint="default"/>
        </w:rPr>
      </w:lvl>
    </w:lvlOverride>
  </w:num>
  <w:num w:numId="49">
    <w:abstractNumId w:val="26"/>
    <w:lvlOverride w:ilvl="2">
      <w:lvl w:ilvl="2">
        <w:start w:val="1"/>
        <w:numFmt w:val="decimal"/>
        <w:pStyle w:val="berschrift3"/>
        <w:lvlText w:val="%1.%2.%3"/>
        <w:lvlJc w:val="left"/>
        <w:pPr>
          <w:tabs>
            <w:tab w:val="num" w:pos="993"/>
          </w:tabs>
          <w:ind w:left="993" w:hanging="709"/>
        </w:pPr>
        <w:rPr>
          <w:rFonts w:hint="default"/>
        </w:rPr>
      </w:lvl>
    </w:lvlOverride>
  </w:num>
  <w:num w:numId="50">
    <w:abstractNumId w:val="26"/>
    <w:lvlOverride w:ilvl="2">
      <w:lvl w:ilvl="2">
        <w:start w:val="1"/>
        <w:numFmt w:val="decimal"/>
        <w:pStyle w:val="berschrift3"/>
        <w:lvlText w:val="%1.%2.%3"/>
        <w:lvlJc w:val="left"/>
        <w:pPr>
          <w:tabs>
            <w:tab w:val="num" w:pos="993"/>
          </w:tabs>
          <w:ind w:left="993" w:hanging="709"/>
        </w:pPr>
        <w:rPr>
          <w:rFonts w:hint="default"/>
        </w:rPr>
      </w:lvl>
    </w:lvlOverride>
  </w:num>
  <w:num w:numId="51">
    <w:abstractNumId w:val="26"/>
    <w:lvlOverride w:ilvl="2">
      <w:lvl w:ilvl="2">
        <w:start w:val="1"/>
        <w:numFmt w:val="decimal"/>
        <w:pStyle w:val="berschrift3"/>
        <w:lvlText w:val="%1.%2.%3"/>
        <w:lvlJc w:val="left"/>
        <w:pPr>
          <w:tabs>
            <w:tab w:val="num" w:pos="993"/>
          </w:tabs>
          <w:ind w:left="993" w:hanging="709"/>
        </w:pPr>
        <w:rPr>
          <w:rFonts w:hint="default"/>
        </w:rPr>
      </w:lvl>
    </w:lvlOverride>
  </w:num>
  <w:num w:numId="52">
    <w:abstractNumId w:val="26"/>
    <w:lvlOverride w:ilvl="2">
      <w:lvl w:ilvl="2">
        <w:start w:val="1"/>
        <w:numFmt w:val="decimal"/>
        <w:pStyle w:val="berschrift3"/>
        <w:lvlText w:val="%1.%2.%3"/>
        <w:lvlJc w:val="left"/>
        <w:pPr>
          <w:tabs>
            <w:tab w:val="num" w:pos="993"/>
          </w:tabs>
          <w:ind w:left="993" w:hanging="709"/>
        </w:pPr>
        <w:rPr>
          <w:rFonts w:hint="default"/>
        </w:rPr>
      </w:lvl>
    </w:lvlOverride>
  </w:num>
  <w:num w:numId="53">
    <w:abstractNumId w:val="26"/>
    <w:lvlOverride w:ilvl="2">
      <w:lvl w:ilvl="2">
        <w:start w:val="1"/>
        <w:numFmt w:val="decimal"/>
        <w:pStyle w:val="berschrift3"/>
        <w:lvlText w:val="%1.%2.%3"/>
        <w:lvlJc w:val="left"/>
        <w:pPr>
          <w:tabs>
            <w:tab w:val="num" w:pos="993"/>
          </w:tabs>
          <w:ind w:left="993" w:hanging="709"/>
        </w:pPr>
        <w:rPr>
          <w:rFonts w:hint="default"/>
        </w:rPr>
      </w:lvl>
    </w:lvlOverride>
  </w:num>
  <w:num w:numId="54">
    <w:abstractNumId w:val="26"/>
    <w:lvlOverride w:ilvl="2">
      <w:lvl w:ilvl="2">
        <w:start w:val="1"/>
        <w:numFmt w:val="decimal"/>
        <w:pStyle w:val="berschrift3"/>
        <w:lvlText w:val="%1.%2.%3"/>
        <w:lvlJc w:val="left"/>
        <w:pPr>
          <w:tabs>
            <w:tab w:val="num" w:pos="993"/>
          </w:tabs>
          <w:ind w:left="993" w:hanging="709"/>
        </w:pPr>
        <w:rPr>
          <w:rFonts w:hint="default"/>
        </w:rPr>
      </w:lvl>
    </w:lvlOverride>
  </w:num>
  <w:num w:numId="55">
    <w:abstractNumId w:val="26"/>
    <w:lvlOverride w:ilvl="2">
      <w:lvl w:ilvl="2">
        <w:start w:val="1"/>
        <w:numFmt w:val="decimal"/>
        <w:pStyle w:val="berschrift3"/>
        <w:lvlText w:val="%1.%2.%3"/>
        <w:lvlJc w:val="left"/>
        <w:pPr>
          <w:tabs>
            <w:tab w:val="num" w:pos="993"/>
          </w:tabs>
          <w:ind w:left="993" w:hanging="709"/>
        </w:pPr>
        <w:rPr>
          <w:rFonts w:hint="default"/>
        </w:rPr>
      </w:lvl>
    </w:lvlOverride>
  </w:num>
  <w:num w:numId="56">
    <w:abstractNumId w:val="26"/>
    <w:lvlOverride w:ilvl="2">
      <w:lvl w:ilvl="2">
        <w:start w:val="1"/>
        <w:numFmt w:val="decimal"/>
        <w:pStyle w:val="berschrift3"/>
        <w:lvlText w:val="%1.%2.%3"/>
        <w:lvlJc w:val="left"/>
        <w:pPr>
          <w:tabs>
            <w:tab w:val="num" w:pos="993"/>
          </w:tabs>
          <w:ind w:left="993" w:hanging="709"/>
        </w:pPr>
        <w:rPr>
          <w:rFonts w:hint="default"/>
        </w:rPr>
      </w:lvl>
    </w:lvlOverride>
  </w:num>
  <w:num w:numId="57">
    <w:abstractNumId w:val="26"/>
    <w:lvlOverride w:ilvl="2">
      <w:lvl w:ilvl="2">
        <w:start w:val="1"/>
        <w:numFmt w:val="decimal"/>
        <w:pStyle w:val="berschrift3"/>
        <w:lvlText w:val="%1.%2.%3"/>
        <w:lvlJc w:val="left"/>
        <w:pPr>
          <w:tabs>
            <w:tab w:val="num" w:pos="993"/>
          </w:tabs>
          <w:ind w:left="993" w:hanging="709"/>
        </w:pPr>
        <w:rPr>
          <w:rFonts w:hint="default"/>
        </w:rPr>
      </w:lvl>
    </w:lvlOverride>
  </w:num>
  <w:num w:numId="58">
    <w:abstractNumId w:val="26"/>
    <w:lvlOverride w:ilvl="2">
      <w:lvl w:ilvl="2">
        <w:start w:val="1"/>
        <w:numFmt w:val="decimal"/>
        <w:pStyle w:val="berschrift3"/>
        <w:lvlText w:val="%1.%2.%3"/>
        <w:lvlJc w:val="left"/>
        <w:pPr>
          <w:tabs>
            <w:tab w:val="num" w:pos="993"/>
          </w:tabs>
          <w:ind w:left="993" w:hanging="709"/>
        </w:pPr>
        <w:rPr>
          <w:rFonts w:hint="default"/>
        </w:rPr>
      </w:lvl>
    </w:lvlOverride>
  </w:num>
  <w:num w:numId="59">
    <w:abstractNumId w:val="26"/>
    <w:lvlOverride w:ilvl="2">
      <w:lvl w:ilvl="2">
        <w:start w:val="1"/>
        <w:numFmt w:val="decimal"/>
        <w:pStyle w:val="berschrift3"/>
        <w:lvlText w:val="%1.%2.%3"/>
        <w:lvlJc w:val="left"/>
        <w:pPr>
          <w:tabs>
            <w:tab w:val="num" w:pos="993"/>
          </w:tabs>
          <w:ind w:left="993" w:hanging="709"/>
        </w:pPr>
        <w:rPr>
          <w:rFonts w:hint="default"/>
        </w:rPr>
      </w:lvl>
    </w:lvlOverride>
  </w:num>
  <w:num w:numId="60">
    <w:abstractNumId w:val="26"/>
    <w:lvlOverride w:ilvl="2">
      <w:lvl w:ilvl="2">
        <w:start w:val="1"/>
        <w:numFmt w:val="decimal"/>
        <w:pStyle w:val="berschrift3"/>
        <w:lvlText w:val="%1.%2.%3"/>
        <w:lvlJc w:val="left"/>
        <w:pPr>
          <w:tabs>
            <w:tab w:val="num" w:pos="993"/>
          </w:tabs>
          <w:ind w:left="993" w:hanging="709"/>
        </w:pPr>
        <w:rPr>
          <w:rFonts w:hint="default"/>
        </w:rPr>
      </w:lvl>
    </w:lvlOverride>
  </w:num>
  <w:num w:numId="61">
    <w:abstractNumId w:val="26"/>
    <w:lvlOverride w:ilvl="2">
      <w:lvl w:ilvl="2">
        <w:start w:val="1"/>
        <w:numFmt w:val="decimal"/>
        <w:pStyle w:val="berschrift3"/>
        <w:lvlText w:val="%1.%2.%3"/>
        <w:lvlJc w:val="left"/>
        <w:pPr>
          <w:tabs>
            <w:tab w:val="num" w:pos="993"/>
          </w:tabs>
          <w:ind w:left="993" w:hanging="709"/>
        </w:pPr>
        <w:rPr>
          <w:rFonts w:hint="default"/>
        </w:rPr>
      </w:lvl>
    </w:lvlOverride>
  </w:num>
  <w:num w:numId="62">
    <w:abstractNumId w:val="26"/>
    <w:lvlOverride w:ilvl="2">
      <w:lvl w:ilvl="2">
        <w:start w:val="1"/>
        <w:numFmt w:val="decimal"/>
        <w:pStyle w:val="berschrift3"/>
        <w:lvlText w:val="%1.%2.%3"/>
        <w:lvlJc w:val="left"/>
        <w:pPr>
          <w:tabs>
            <w:tab w:val="num" w:pos="993"/>
          </w:tabs>
          <w:ind w:left="993" w:hanging="709"/>
        </w:pPr>
        <w:rPr>
          <w:rFonts w:hint="default"/>
        </w:rPr>
      </w:lvl>
    </w:lvlOverride>
  </w:num>
  <w:num w:numId="63">
    <w:abstractNumId w:val="26"/>
    <w:lvlOverride w:ilvl="2">
      <w:lvl w:ilvl="2">
        <w:start w:val="1"/>
        <w:numFmt w:val="decimal"/>
        <w:pStyle w:val="berschrift3"/>
        <w:lvlText w:val="%1.%2.%3"/>
        <w:lvlJc w:val="left"/>
        <w:pPr>
          <w:tabs>
            <w:tab w:val="num" w:pos="993"/>
          </w:tabs>
          <w:ind w:left="993" w:hanging="709"/>
        </w:pPr>
        <w:rPr>
          <w:rFonts w:hint="default"/>
        </w:rPr>
      </w:lvl>
    </w:lvlOverride>
  </w:num>
  <w:num w:numId="64">
    <w:abstractNumId w:val="26"/>
    <w:lvlOverride w:ilvl="2">
      <w:lvl w:ilvl="2">
        <w:start w:val="1"/>
        <w:numFmt w:val="decimal"/>
        <w:pStyle w:val="berschrift3"/>
        <w:lvlText w:val="%1.%2.%3"/>
        <w:lvlJc w:val="left"/>
        <w:pPr>
          <w:tabs>
            <w:tab w:val="num" w:pos="993"/>
          </w:tabs>
          <w:ind w:left="993" w:hanging="709"/>
        </w:pPr>
        <w:rPr>
          <w:rFonts w:hint="default"/>
        </w:rPr>
      </w:lvl>
    </w:lvlOverride>
  </w:num>
  <w:num w:numId="65">
    <w:abstractNumId w:val="26"/>
    <w:lvlOverride w:ilvl="2">
      <w:lvl w:ilvl="2">
        <w:start w:val="1"/>
        <w:numFmt w:val="decimal"/>
        <w:pStyle w:val="berschrift3"/>
        <w:lvlText w:val="%1.%2.%3"/>
        <w:lvlJc w:val="left"/>
        <w:pPr>
          <w:tabs>
            <w:tab w:val="num" w:pos="993"/>
          </w:tabs>
          <w:ind w:left="993" w:hanging="709"/>
        </w:pPr>
        <w:rPr>
          <w:rFonts w:hint="default"/>
        </w:rPr>
      </w:lvl>
    </w:lvlOverride>
  </w:num>
  <w:num w:numId="66">
    <w:abstractNumId w:val="26"/>
    <w:lvlOverride w:ilvl="2">
      <w:lvl w:ilvl="2">
        <w:start w:val="1"/>
        <w:numFmt w:val="decimal"/>
        <w:pStyle w:val="berschrift3"/>
        <w:lvlText w:val="%1.%2.%3"/>
        <w:lvlJc w:val="left"/>
        <w:pPr>
          <w:tabs>
            <w:tab w:val="num" w:pos="993"/>
          </w:tabs>
          <w:ind w:left="993" w:hanging="709"/>
        </w:pPr>
        <w:rPr>
          <w:rFonts w:hint="default"/>
        </w:rPr>
      </w:lvl>
    </w:lvlOverride>
  </w:num>
  <w:num w:numId="67">
    <w:abstractNumId w:val="26"/>
    <w:lvlOverride w:ilvl="2">
      <w:lvl w:ilvl="2">
        <w:start w:val="1"/>
        <w:numFmt w:val="decimal"/>
        <w:pStyle w:val="berschrift3"/>
        <w:lvlText w:val="%1.%2.%3"/>
        <w:lvlJc w:val="left"/>
        <w:pPr>
          <w:tabs>
            <w:tab w:val="num" w:pos="993"/>
          </w:tabs>
          <w:ind w:left="993" w:hanging="709"/>
        </w:pPr>
        <w:rPr>
          <w:rFonts w:hint="default"/>
        </w:rPr>
      </w:lvl>
    </w:lvlOverride>
  </w:num>
  <w:num w:numId="68">
    <w:abstractNumId w:val="26"/>
    <w:lvlOverride w:ilvl="2">
      <w:lvl w:ilvl="2">
        <w:start w:val="1"/>
        <w:numFmt w:val="decimal"/>
        <w:pStyle w:val="berschrift3"/>
        <w:lvlText w:val="%1.%2.%3"/>
        <w:lvlJc w:val="left"/>
        <w:pPr>
          <w:tabs>
            <w:tab w:val="num" w:pos="993"/>
          </w:tabs>
          <w:ind w:left="993" w:hanging="709"/>
        </w:pPr>
        <w:rPr>
          <w:rFonts w:hint="default"/>
        </w:rPr>
      </w:lvl>
    </w:lvlOverride>
  </w:num>
  <w:num w:numId="69">
    <w:abstractNumId w:val="26"/>
    <w:lvlOverride w:ilvl="2">
      <w:lvl w:ilvl="2">
        <w:start w:val="1"/>
        <w:numFmt w:val="decimal"/>
        <w:pStyle w:val="berschrift3"/>
        <w:lvlText w:val="%1.%2.%3"/>
        <w:lvlJc w:val="left"/>
        <w:pPr>
          <w:tabs>
            <w:tab w:val="num" w:pos="993"/>
          </w:tabs>
          <w:ind w:left="993" w:hanging="709"/>
        </w:pPr>
        <w:rPr>
          <w:rFonts w:hint="default"/>
        </w:rPr>
      </w:lvl>
    </w:lvlOverride>
  </w:num>
  <w:num w:numId="70">
    <w:abstractNumId w:val="26"/>
    <w:lvlOverride w:ilvl="2">
      <w:lvl w:ilvl="2">
        <w:start w:val="1"/>
        <w:numFmt w:val="decimal"/>
        <w:pStyle w:val="berschrift3"/>
        <w:lvlText w:val="%1.%2.%3"/>
        <w:lvlJc w:val="left"/>
        <w:pPr>
          <w:tabs>
            <w:tab w:val="num" w:pos="993"/>
          </w:tabs>
          <w:ind w:left="993" w:hanging="709"/>
        </w:pPr>
        <w:rPr>
          <w:rFonts w:hint="default"/>
        </w:rPr>
      </w:lvl>
    </w:lvlOverride>
  </w:num>
  <w:num w:numId="71">
    <w:abstractNumId w:val="26"/>
    <w:lvlOverride w:ilvl="2">
      <w:lvl w:ilvl="2">
        <w:start w:val="1"/>
        <w:numFmt w:val="decimal"/>
        <w:pStyle w:val="berschrift3"/>
        <w:lvlText w:val="%1.%2.%3"/>
        <w:lvlJc w:val="left"/>
        <w:pPr>
          <w:tabs>
            <w:tab w:val="num" w:pos="993"/>
          </w:tabs>
          <w:ind w:left="993" w:hanging="709"/>
        </w:pPr>
        <w:rPr>
          <w:rFonts w:hint="default"/>
        </w:rPr>
      </w:lvl>
    </w:lvlOverride>
  </w:num>
  <w:num w:numId="72">
    <w:abstractNumId w:val="26"/>
    <w:lvlOverride w:ilvl="2">
      <w:lvl w:ilvl="2">
        <w:start w:val="1"/>
        <w:numFmt w:val="decimal"/>
        <w:pStyle w:val="berschrift3"/>
        <w:lvlText w:val="%1.%2.%3"/>
        <w:lvlJc w:val="left"/>
        <w:pPr>
          <w:tabs>
            <w:tab w:val="num" w:pos="993"/>
          </w:tabs>
          <w:ind w:left="993" w:hanging="709"/>
        </w:pPr>
        <w:rPr>
          <w:rFonts w:hint="default"/>
        </w:rPr>
      </w:lvl>
    </w:lvlOverride>
  </w:num>
  <w:num w:numId="73">
    <w:abstractNumId w:val="26"/>
    <w:lvlOverride w:ilvl="2">
      <w:lvl w:ilvl="2">
        <w:start w:val="1"/>
        <w:numFmt w:val="decimal"/>
        <w:pStyle w:val="berschrift3"/>
        <w:lvlText w:val="%1.%2.%3"/>
        <w:lvlJc w:val="left"/>
        <w:pPr>
          <w:tabs>
            <w:tab w:val="num" w:pos="993"/>
          </w:tabs>
          <w:ind w:left="993" w:hanging="709"/>
        </w:pPr>
        <w:rPr>
          <w:rFonts w:hint="default"/>
        </w:rPr>
      </w:lvl>
    </w:lvlOverride>
  </w:num>
  <w:num w:numId="74">
    <w:abstractNumId w:val="3"/>
  </w:num>
  <w:num w:numId="75">
    <w:abstractNumId w:val="1"/>
  </w:num>
  <w:num w:numId="76">
    <w:abstractNumId w:val="26"/>
    <w:lvlOverride w:ilvl="2">
      <w:lvl w:ilvl="2">
        <w:start w:val="1"/>
        <w:numFmt w:val="decimal"/>
        <w:pStyle w:val="berschrift3"/>
        <w:lvlText w:val="%1.%2.%3"/>
        <w:lvlJc w:val="left"/>
        <w:pPr>
          <w:tabs>
            <w:tab w:val="num" w:pos="993"/>
          </w:tabs>
          <w:ind w:left="993" w:hanging="709"/>
        </w:pPr>
        <w:rPr>
          <w:rFonts w:hint="default"/>
        </w:rPr>
      </w:lvl>
    </w:lvlOverride>
  </w:num>
  <w:num w:numId="77">
    <w:abstractNumId w:val="26"/>
    <w:lvlOverride w:ilvl="2">
      <w:lvl w:ilvl="2">
        <w:start w:val="1"/>
        <w:numFmt w:val="decimal"/>
        <w:pStyle w:val="berschrift3"/>
        <w:lvlText w:val="%1.%2.%3"/>
        <w:lvlJc w:val="left"/>
        <w:pPr>
          <w:tabs>
            <w:tab w:val="num" w:pos="993"/>
          </w:tabs>
          <w:ind w:left="993" w:hanging="709"/>
        </w:pPr>
        <w:rPr>
          <w:rFonts w:hint="default"/>
        </w:rPr>
      </w:lvl>
    </w:lvlOverride>
  </w:num>
  <w:num w:numId="78">
    <w:abstractNumId w:val="26"/>
    <w:lvlOverride w:ilvl="2">
      <w:lvl w:ilvl="2">
        <w:start w:val="1"/>
        <w:numFmt w:val="decimal"/>
        <w:pStyle w:val="berschrift3"/>
        <w:lvlText w:val="%1.%2.%3"/>
        <w:lvlJc w:val="left"/>
        <w:pPr>
          <w:tabs>
            <w:tab w:val="num" w:pos="993"/>
          </w:tabs>
          <w:ind w:left="993" w:hanging="709"/>
        </w:pPr>
        <w:rPr>
          <w:rFonts w:hint="default"/>
        </w:rPr>
      </w:lvl>
    </w:lvlOverride>
  </w:num>
  <w:num w:numId="79">
    <w:abstractNumId w:val="26"/>
    <w:lvlOverride w:ilvl="0">
      <w:lvl w:ilvl="0">
        <w:start w:val="1"/>
        <w:numFmt w:val="decimal"/>
        <w:pStyle w:val="berschrift1"/>
        <w:lvlText w:val="%1."/>
        <w:lvlJc w:val="left"/>
        <w:pPr>
          <w:tabs>
            <w:tab w:val="num" w:pos="709"/>
          </w:tabs>
          <w:ind w:left="709" w:hanging="709"/>
        </w:pPr>
        <w:rPr>
          <w:rFonts w:hint="default"/>
        </w:rPr>
      </w:lvl>
    </w:lvlOverride>
    <w:lvlOverride w:ilvl="1">
      <w:lvl w:ilvl="1">
        <w:start w:val="1"/>
        <w:numFmt w:val="decimal"/>
        <w:pStyle w:val="berschrift2"/>
        <w:lvlText w:val="%1.%2"/>
        <w:lvlJc w:val="left"/>
        <w:pPr>
          <w:tabs>
            <w:tab w:val="num" w:pos="851"/>
          </w:tabs>
          <w:ind w:left="851" w:hanging="709"/>
        </w:pPr>
        <w:rPr>
          <w:rFonts w:hint="default"/>
        </w:rPr>
      </w:lvl>
    </w:lvlOverride>
    <w:lvlOverride w:ilvl="2">
      <w:lvl w:ilvl="2">
        <w:start w:val="1"/>
        <w:numFmt w:val="decimal"/>
        <w:pStyle w:val="berschrift3"/>
        <w:lvlText w:val="%1.%2.%3"/>
        <w:lvlJc w:val="left"/>
        <w:pPr>
          <w:tabs>
            <w:tab w:val="num" w:pos="993"/>
          </w:tabs>
          <w:ind w:left="993" w:hanging="709"/>
        </w:pPr>
        <w:rPr>
          <w:rFonts w:hint="default"/>
          <w:strike w:val="0"/>
        </w:rPr>
      </w:lvl>
    </w:lvlOverride>
    <w:lvlOverride w:ilvl="3">
      <w:lvl w:ilvl="3">
        <w:start w:val="1"/>
        <w:numFmt w:val="decimal"/>
        <w:pStyle w:val="berschrift4"/>
        <w:lvlText w:val="%1.%2.%3.%4"/>
        <w:lvlJc w:val="left"/>
        <w:pPr>
          <w:tabs>
            <w:tab w:val="num" w:pos="709"/>
          </w:tabs>
          <w:ind w:left="709" w:hanging="709"/>
        </w:pPr>
        <w:rPr>
          <w:rFonts w:hint="default"/>
        </w:rPr>
      </w:lvl>
    </w:lvlOverride>
    <w:lvlOverride w:ilvl="4">
      <w:lvl w:ilvl="4">
        <w:start w:val="1"/>
        <w:numFmt w:val="decimal"/>
        <w:pStyle w:val="berschrift5"/>
        <w:lvlText w:val="%1.%2.%3.%4.%5"/>
        <w:lvlJc w:val="left"/>
        <w:pPr>
          <w:tabs>
            <w:tab w:val="num" w:pos="709"/>
          </w:tabs>
          <w:ind w:left="709" w:hanging="709"/>
        </w:pPr>
        <w:rPr>
          <w:rFonts w:hint="default"/>
        </w:rPr>
      </w:lvl>
    </w:lvlOverride>
    <w:lvlOverride w:ilvl="5">
      <w:lvl w:ilvl="5">
        <w:start w:val="1"/>
        <w:numFmt w:val="decimal"/>
        <w:pStyle w:val="berschrift6"/>
        <w:lvlText w:val="%1.%2.%3.%4.%5.%6"/>
        <w:lvlJc w:val="left"/>
        <w:pPr>
          <w:tabs>
            <w:tab w:val="num" w:pos="709"/>
          </w:tabs>
          <w:ind w:left="709" w:hanging="709"/>
        </w:pPr>
        <w:rPr>
          <w:rFonts w:hint="default"/>
        </w:rPr>
      </w:lvl>
    </w:lvlOverride>
    <w:lvlOverride w:ilvl="6">
      <w:lvl w:ilvl="6">
        <w:start w:val="1"/>
        <w:numFmt w:val="decimal"/>
        <w:pStyle w:val="berschrift7"/>
        <w:lvlText w:val="%1.%2.%3.%4.%5.%6.%7"/>
        <w:lvlJc w:val="left"/>
        <w:pPr>
          <w:tabs>
            <w:tab w:val="num" w:pos="709"/>
          </w:tabs>
          <w:ind w:left="709" w:hanging="709"/>
        </w:pPr>
        <w:rPr>
          <w:rFonts w:hint="default"/>
        </w:rPr>
      </w:lvl>
    </w:lvlOverride>
    <w:lvlOverride w:ilvl="7">
      <w:lvl w:ilvl="7">
        <w:start w:val="1"/>
        <w:numFmt w:val="decimal"/>
        <w:pStyle w:val="berschrift8"/>
        <w:lvlText w:val="%1.%2.%3.%4.%5.%6.%7.%8"/>
        <w:lvlJc w:val="left"/>
        <w:pPr>
          <w:tabs>
            <w:tab w:val="num" w:pos="709"/>
          </w:tabs>
          <w:ind w:left="709" w:hanging="709"/>
        </w:pPr>
        <w:rPr>
          <w:rFonts w:hint="default"/>
        </w:rPr>
      </w:lvl>
    </w:lvlOverride>
    <w:lvlOverride w:ilvl="8">
      <w:lvl w:ilvl="8">
        <w:start w:val="1"/>
        <w:numFmt w:val="decimal"/>
        <w:pStyle w:val="berschrift9"/>
        <w:lvlText w:val="%1.%2.%3.%4.%5.%6.%7.%8.%9"/>
        <w:lvlJc w:val="left"/>
        <w:pPr>
          <w:tabs>
            <w:tab w:val="num" w:pos="709"/>
          </w:tabs>
          <w:ind w:left="709" w:hanging="709"/>
        </w:pPr>
        <w:rPr>
          <w:rFonts w:hint="default"/>
        </w:rPr>
      </w:lvl>
    </w:lvlOverride>
  </w:num>
  <w:num w:numId="80">
    <w:abstractNumId w:val="26"/>
    <w:lvlOverride w:ilvl="0">
      <w:startOverride w:val="1"/>
      <w:lvl w:ilvl="0">
        <w:start w:val="1"/>
        <w:numFmt w:val="decimal"/>
        <w:pStyle w:val="berschrift1"/>
        <w:lvlText w:val="%1."/>
        <w:lvlJc w:val="left"/>
        <w:pPr>
          <w:tabs>
            <w:tab w:val="num" w:pos="709"/>
          </w:tabs>
          <w:ind w:left="709" w:hanging="709"/>
        </w:pPr>
        <w:rPr>
          <w:rFonts w:hint="default"/>
        </w:rPr>
      </w:lvl>
    </w:lvlOverride>
    <w:lvlOverride w:ilvl="1">
      <w:startOverride w:val="1"/>
      <w:lvl w:ilvl="1">
        <w:start w:val="1"/>
        <w:numFmt w:val="decimal"/>
        <w:pStyle w:val="berschrift2"/>
        <w:lvlText w:val="%1.%2"/>
        <w:lvlJc w:val="left"/>
        <w:pPr>
          <w:tabs>
            <w:tab w:val="num" w:pos="709"/>
          </w:tabs>
          <w:ind w:left="709" w:hanging="709"/>
        </w:pPr>
        <w:rPr>
          <w:rFonts w:hint="default"/>
        </w:rPr>
      </w:lvl>
    </w:lvlOverride>
    <w:lvlOverride w:ilvl="2">
      <w:startOverride w:val="1"/>
      <w:lvl w:ilvl="2">
        <w:start w:val="1"/>
        <w:numFmt w:val="decimal"/>
        <w:pStyle w:val="berschrift3"/>
        <w:lvlText w:val="%1.%2.%3"/>
        <w:lvlJc w:val="left"/>
        <w:pPr>
          <w:tabs>
            <w:tab w:val="num" w:pos="993"/>
          </w:tabs>
          <w:ind w:left="993" w:hanging="709"/>
        </w:pPr>
        <w:rPr>
          <w:rFonts w:hint="default"/>
        </w:rPr>
      </w:lvl>
    </w:lvlOverride>
    <w:lvlOverride w:ilvl="3">
      <w:startOverride w:val="1"/>
      <w:lvl w:ilvl="3">
        <w:start w:val="1"/>
        <w:numFmt w:val="decimal"/>
        <w:pStyle w:val="berschrift4"/>
        <w:lvlText w:val="%1.%2.%3.%4"/>
        <w:lvlJc w:val="left"/>
        <w:pPr>
          <w:tabs>
            <w:tab w:val="num" w:pos="709"/>
          </w:tabs>
          <w:ind w:left="709" w:hanging="709"/>
        </w:pPr>
        <w:rPr>
          <w:rFonts w:hint="default"/>
        </w:rPr>
      </w:lvl>
    </w:lvlOverride>
    <w:lvlOverride w:ilvl="4">
      <w:startOverride w:val="1"/>
      <w:lvl w:ilvl="4">
        <w:start w:val="1"/>
        <w:numFmt w:val="decimal"/>
        <w:pStyle w:val="berschrift5"/>
        <w:lvlText w:val="%1.%2.%3.%4.%5"/>
        <w:lvlJc w:val="left"/>
        <w:pPr>
          <w:tabs>
            <w:tab w:val="num" w:pos="709"/>
          </w:tabs>
          <w:ind w:left="709" w:hanging="709"/>
        </w:pPr>
        <w:rPr>
          <w:rFonts w:hint="default"/>
        </w:rPr>
      </w:lvl>
    </w:lvlOverride>
    <w:lvlOverride w:ilvl="5">
      <w:startOverride w:val="1"/>
      <w:lvl w:ilvl="5">
        <w:start w:val="1"/>
        <w:numFmt w:val="decimal"/>
        <w:pStyle w:val="berschrift6"/>
        <w:lvlText w:val="%1.%2.%3.%4.%5.%6"/>
        <w:lvlJc w:val="left"/>
        <w:pPr>
          <w:tabs>
            <w:tab w:val="num" w:pos="709"/>
          </w:tabs>
          <w:ind w:left="709" w:hanging="709"/>
        </w:pPr>
        <w:rPr>
          <w:rFonts w:hint="default"/>
        </w:rPr>
      </w:lvl>
    </w:lvlOverride>
    <w:lvlOverride w:ilvl="6">
      <w:startOverride w:val="1"/>
      <w:lvl w:ilvl="6">
        <w:start w:val="1"/>
        <w:numFmt w:val="decimal"/>
        <w:pStyle w:val="berschrift7"/>
        <w:lvlText w:val="%1.%2.%3.%4.%5.%6.%7"/>
        <w:lvlJc w:val="left"/>
        <w:pPr>
          <w:tabs>
            <w:tab w:val="num" w:pos="709"/>
          </w:tabs>
          <w:ind w:left="709" w:hanging="709"/>
        </w:pPr>
        <w:rPr>
          <w:rFonts w:hint="default"/>
        </w:rPr>
      </w:lvl>
    </w:lvlOverride>
    <w:lvlOverride w:ilvl="7">
      <w:startOverride w:val="1"/>
      <w:lvl w:ilvl="7">
        <w:start w:val="1"/>
        <w:numFmt w:val="decimal"/>
        <w:pStyle w:val="berschrift8"/>
        <w:lvlText w:val="%1.%2.%3.%4.%5.%6.%7.%8"/>
        <w:lvlJc w:val="left"/>
        <w:pPr>
          <w:tabs>
            <w:tab w:val="num" w:pos="709"/>
          </w:tabs>
          <w:ind w:left="709" w:hanging="709"/>
        </w:pPr>
        <w:rPr>
          <w:rFonts w:hint="default"/>
        </w:rPr>
      </w:lvl>
    </w:lvlOverride>
    <w:lvlOverride w:ilvl="8">
      <w:startOverride w:val="1"/>
      <w:lvl w:ilvl="8">
        <w:start w:val="1"/>
        <w:numFmt w:val="decimal"/>
        <w:pStyle w:val="berschrift9"/>
        <w:lvlText w:val="%1.%2.%3.%4.%5.%6.%7.%8.%9"/>
        <w:lvlJc w:val="left"/>
        <w:pPr>
          <w:tabs>
            <w:tab w:val="num" w:pos="709"/>
          </w:tabs>
          <w:ind w:left="709" w:hanging="709"/>
        </w:pPr>
        <w:rPr>
          <w:rFonts w:hint="default"/>
        </w:rPr>
      </w:lvl>
    </w:lvlOverride>
  </w:num>
  <w:num w:numId="81">
    <w:abstractNumId w:val="26"/>
    <w:lvlOverride w:ilvl="0">
      <w:lvl w:ilvl="0">
        <w:start w:val="1"/>
        <w:numFmt w:val="decimal"/>
        <w:pStyle w:val="berschrift1"/>
        <w:lvlText w:val="%1."/>
        <w:lvlJc w:val="left"/>
        <w:pPr>
          <w:tabs>
            <w:tab w:val="num" w:pos="709"/>
          </w:tabs>
          <w:ind w:left="709" w:hanging="709"/>
        </w:pPr>
        <w:rPr>
          <w:rFonts w:hint="default"/>
        </w:rPr>
      </w:lvl>
    </w:lvlOverride>
    <w:lvlOverride w:ilvl="1">
      <w:lvl w:ilvl="1">
        <w:start w:val="1"/>
        <w:numFmt w:val="decimal"/>
        <w:pStyle w:val="berschrift2"/>
        <w:lvlText w:val="%1.%2"/>
        <w:lvlJc w:val="left"/>
        <w:pPr>
          <w:tabs>
            <w:tab w:val="num" w:pos="709"/>
          </w:tabs>
          <w:ind w:left="709" w:hanging="709"/>
        </w:pPr>
        <w:rPr>
          <w:rFonts w:hint="default"/>
        </w:rPr>
      </w:lvl>
    </w:lvlOverride>
    <w:lvlOverride w:ilvl="2">
      <w:lvl w:ilvl="2">
        <w:start w:val="1"/>
        <w:numFmt w:val="decimal"/>
        <w:pStyle w:val="berschrift3"/>
        <w:lvlText w:val="%1.%2.%3"/>
        <w:lvlJc w:val="left"/>
        <w:pPr>
          <w:tabs>
            <w:tab w:val="num" w:pos="993"/>
          </w:tabs>
          <w:ind w:left="993" w:hanging="709"/>
        </w:pPr>
        <w:rPr>
          <w:rFonts w:hint="default"/>
        </w:rPr>
      </w:lvl>
    </w:lvlOverride>
    <w:lvlOverride w:ilvl="3">
      <w:lvl w:ilvl="3">
        <w:start w:val="1"/>
        <w:numFmt w:val="decimal"/>
        <w:pStyle w:val="berschrift4"/>
        <w:lvlText w:val="%1.%2.%3.%4"/>
        <w:lvlJc w:val="left"/>
        <w:pPr>
          <w:tabs>
            <w:tab w:val="num" w:pos="709"/>
          </w:tabs>
          <w:ind w:left="709" w:hanging="709"/>
        </w:pPr>
        <w:rPr>
          <w:rFonts w:hint="default"/>
        </w:rPr>
      </w:lvl>
    </w:lvlOverride>
    <w:lvlOverride w:ilvl="4">
      <w:lvl w:ilvl="4">
        <w:start w:val="1"/>
        <w:numFmt w:val="decimal"/>
        <w:pStyle w:val="berschrift5"/>
        <w:lvlText w:val="%1.%2.%3.%4.%5"/>
        <w:lvlJc w:val="left"/>
        <w:pPr>
          <w:tabs>
            <w:tab w:val="num" w:pos="709"/>
          </w:tabs>
          <w:ind w:left="709" w:hanging="709"/>
        </w:pPr>
        <w:rPr>
          <w:rFonts w:hint="default"/>
        </w:rPr>
      </w:lvl>
    </w:lvlOverride>
    <w:lvlOverride w:ilvl="5">
      <w:lvl w:ilvl="5">
        <w:start w:val="1"/>
        <w:numFmt w:val="decimal"/>
        <w:pStyle w:val="berschrift6"/>
        <w:lvlText w:val="%1.%2.%3.%4.%5.%6"/>
        <w:lvlJc w:val="left"/>
        <w:pPr>
          <w:tabs>
            <w:tab w:val="num" w:pos="709"/>
          </w:tabs>
          <w:ind w:left="709" w:hanging="709"/>
        </w:pPr>
        <w:rPr>
          <w:rFonts w:hint="default"/>
        </w:rPr>
      </w:lvl>
    </w:lvlOverride>
    <w:lvlOverride w:ilvl="6">
      <w:lvl w:ilvl="6">
        <w:start w:val="1"/>
        <w:numFmt w:val="decimal"/>
        <w:pStyle w:val="berschrift7"/>
        <w:lvlText w:val="%1.%2.%3.%4.%5.%6.%7"/>
        <w:lvlJc w:val="left"/>
        <w:pPr>
          <w:tabs>
            <w:tab w:val="num" w:pos="709"/>
          </w:tabs>
          <w:ind w:left="709" w:hanging="709"/>
        </w:pPr>
        <w:rPr>
          <w:rFonts w:hint="default"/>
        </w:rPr>
      </w:lvl>
    </w:lvlOverride>
    <w:lvlOverride w:ilvl="7">
      <w:lvl w:ilvl="7">
        <w:start w:val="1"/>
        <w:numFmt w:val="decimal"/>
        <w:pStyle w:val="berschrift8"/>
        <w:lvlText w:val="%1.%2.%3.%4.%5.%6.%7.%8"/>
        <w:lvlJc w:val="left"/>
        <w:pPr>
          <w:tabs>
            <w:tab w:val="num" w:pos="709"/>
          </w:tabs>
          <w:ind w:left="709" w:hanging="709"/>
        </w:pPr>
        <w:rPr>
          <w:rFonts w:hint="default"/>
        </w:rPr>
      </w:lvl>
    </w:lvlOverride>
    <w:lvlOverride w:ilvl="8">
      <w:lvl w:ilvl="8">
        <w:start w:val="1"/>
        <w:numFmt w:val="decimal"/>
        <w:pStyle w:val="berschrift9"/>
        <w:lvlText w:val="%1.%2.%3.%4.%5.%6.%7.%8.%9"/>
        <w:lvlJc w:val="left"/>
        <w:pPr>
          <w:tabs>
            <w:tab w:val="num" w:pos="709"/>
          </w:tabs>
          <w:ind w:left="709" w:hanging="709"/>
        </w:pPr>
        <w:rPr>
          <w:rFonts w:hint="default"/>
        </w:rPr>
      </w:lvl>
    </w:lvlOverride>
  </w:num>
  <w:num w:numId="82">
    <w:abstractNumId w:val="26"/>
    <w:lvlOverride w:ilvl="0">
      <w:lvl w:ilvl="0">
        <w:start w:val="1"/>
        <w:numFmt w:val="decimal"/>
        <w:pStyle w:val="berschrift1"/>
        <w:lvlText w:val="%1."/>
        <w:lvlJc w:val="left"/>
        <w:pPr>
          <w:tabs>
            <w:tab w:val="num" w:pos="709"/>
          </w:tabs>
          <w:ind w:left="709" w:hanging="709"/>
        </w:pPr>
        <w:rPr>
          <w:rFonts w:hint="default"/>
        </w:rPr>
      </w:lvl>
    </w:lvlOverride>
    <w:lvlOverride w:ilvl="1">
      <w:lvl w:ilvl="1">
        <w:start w:val="1"/>
        <w:numFmt w:val="decimal"/>
        <w:pStyle w:val="berschrift2"/>
        <w:lvlText w:val="%1.%2"/>
        <w:lvlJc w:val="left"/>
        <w:pPr>
          <w:tabs>
            <w:tab w:val="num" w:pos="709"/>
          </w:tabs>
          <w:ind w:left="709" w:hanging="709"/>
        </w:pPr>
        <w:rPr>
          <w:rFonts w:hint="default"/>
        </w:rPr>
      </w:lvl>
    </w:lvlOverride>
    <w:lvlOverride w:ilvl="2">
      <w:lvl w:ilvl="2">
        <w:start w:val="1"/>
        <w:numFmt w:val="decimal"/>
        <w:pStyle w:val="berschrift3"/>
        <w:lvlText w:val="%1.%2.%3"/>
        <w:lvlJc w:val="left"/>
        <w:pPr>
          <w:tabs>
            <w:tab w:val="num" w:pos="993"/>
          </w:tabs>
          <w:ind w:left="993" w:hanging="709"/>
        </w:pPr>
        <w:rPr>
          <w:rFonts w:hint="default"/>
        </w:rPr>
      </w:lvl>
    </w:lvlOverride>
    <w:lvlOverride w:ilvl="3">
      <w:lvl w:ilvl="3">
        <w:start w:val="1"/>
        <w:numFmt w:val="decimal"/>
        <w:pStyle w:val="berschrift4"/>
        <w:lvlText w:val="%1.%2.%3.%4"/>
        <w:lvlJc w:val="left"/>
        <w:pPr>
          <w:tabs>
            <w:tab w:val="num" w:pos="709"/>
          </w:tabs>
          <w:ind w:left="709" w:hanging="709"/>
        </w:pPr>
        <w:rPr>
          <w:rFonts w:hint="default"/>
        </w:rPr>
      </w:lvl>
    </w:lvlOverride>
    <w:lvlOverride w:ilvl="4">
      <w:lvl w:ilvl="4">
        <w:start w:val="1"/>
        <w:numFmt w:val="decimal"/>
        <w:pStyle w:val="berschrift5"/>
        <w:lvlText w:val="%1.%2.%3.%4.%5"/>
        <w:lvlJc w:val="left"/>
        <w:pPr>
          <w:tabs>
            <w:tab w:val="num" w:pos="709"/>
          </w:tabs>
          <w:ind w:left="709" w:hanging="709"/>
        </w:pPr>
        <w:rPr>
          <w:rFonts w:hint="default"/>
        </w:rPr>
      </w:lvl>
    </w:lvlOverride>
    <w:lvlOverride w:ilvl="5">
      <w:lvl w:ilvl="5">
        <w:start w:val="1"/>
        <w:numFmt w:val="decimal"/>
        <w:pStyle w:val="berschrift6"/>
        <w:lvlText w:val="%1.%2.%3.%4.%5.%6"/>
        <w:lvlJc w:val="left"/>
        <w:pPr>
          <w:tabs>
            <w:tab w:val="num" w:pos="709"/>
          </w:tabs>
          <w:ind w:left="709" w:hanging="709"/>
        </w:pPr>
        <w:rPr>
          <w:rFonts w:hint="default"/>
        </w:rPr>
      </w:lvl>
    </w:lvlOverride>
    <w:lvlOverride w:ilvl="6">
      <w:lvl w:ilvl="6">
        <w:start w:val="1"/>
        <w:numFmt w:val="decimal"/>
        <w:pStyle w:val="berschrift7"/>
        <w:lvlText w:val="%1.%2.%3.%4.%5.%6.%7"/>
        <w:lvlJc w:val="left"/>
        <w:pPr>
          <w:tabs>
            <w:tab w:val="num" w:pos="709"/>
          </w:tabs>
          <w:ind w:left="709" w:hanging="709"/>
        </w:pPr>
        <w:rPr>
          <w:rFonts w:hint="default"/>
        </w:rPr>
      </w:lvl>
    </w:lvlOverride>
    <w:lvlOverride w:ilvl="7">
      <w:lvl w:ilvl="7">
        <w:start w:val="1"/>
        <w:numFmt w:val="decimal"/>
        <w:pStyle w:val="berschrift8"/>
        <w:lvlText w:val="%1.%2.%3.%4.%5.%6.%7.%8"/>
        <w:lvlJc w:val="left"/>
        <w:pPr>
          <w:tabs>
            <w:tab w:val="num" w:pos="709"/>
          </w:tabs>
          <w:ind w:left="709" w:hanging="709"/>
        </w:pPr>
        <w:rPr>
          <w:rFonts w:hint="default"/>
        </w:rPr>
      </w:lvl>
    </w:lvlOverride>
    <w:lvlOverride w:ilvl="8">
      <w:lvl w:ilvl="8">
        <w:start w:val="1"/>
        <w:numFmt w:val="decimal"/>
        <w:pStyle w:val="berschrift9"/>
        <w:lvlText w:val="%1.%2.%3.%4.%5.%6.%7.%8.%9"/>
        <w:lvlJc w:val="left"/>
        <w:pPr>
          <w:tabs>
            <w:tab w:val="num" w:pos="709"/>
          </w:tabs>
          <w:ind w:left="709" w:hanging="709"/>
        </w:pPr>
        <w:rPr>
          <w:rFonts w:hint="default"/>
        </w:rPr>
      </w:lvl>
    </w:lvlOverride>
  </w:num>
  <w:num w:numId="83">
    <w:abstractNumId w:val="26"/>
    <w:lvlOverride w:ilvl="0">
      <w:lvl w:ilvl="0">
        <w:start w:val="1"/>
        <w:numFmt w:val="decimal"/>
        <w:pStyle w:val="berschrift1"/>
        <w:lvlText w:val="%1."/>
        <w:lvlJc w:val="left"/>
        <w:pPr>
          <w:tabs>
            <w:tab w:val="num" w:pos="709"/>
          </w:tabs>
          <w:ind w:left="709" w:hanging="709"/>
        </w:pPr>
        <w:rPr>
          <w:rFonts w:hint="default"/>
        </w:rPr>
      </w:lvl>
    </w:lvlOverride>
    <w:lvlOverride w:ilvl="1">
      <w:lvl w:ilvl="1">
        <w:start w:val="1"/>
        <w:numFmt w:val="decimal"/>
        <w:pStyle w:val="berschrift2"/>
        <w:lvlText w:val="%1.%2"/>
        <w:lvlJc w:val="left"/>
        <w:pPr>
          <w:tabs>
            <w:tab w:val="num" w:pos="709"/>
          </w:tabs>
          <w:ind w:left="709" w:hanging="709"/>
        </w:pPr>
        <w:rPr>
          <w:rFonts w:hint="default"/>
        </w:rPr>
      </w:lvl>
    </w:lvlOverride>
    <w:lvlOverride w:ilvl="2">
      <w:lvl w:ilvl="2">
        <w:start w:val="1"/>
        <w:numFmt w:val="decimal"/>
        <w:pStyle w:val="berschrift3"/>
        <w:lvlText w:val="%1.%2.%3"/>
        <w:lvlJc w:val="left"/>
        <w:pPr>
          <w:tabs>
            <w:tab w:val="num" w:pos="993"/>
          </w:tabs>
          <w:ind w:left="993" w:hanging="709"/>
        </w:pPr>
        <w:rPr>
          <w:rFonts w:hint="default"/>
        </w:rPr>
      </w:lvl>
    </w:lvlOverride>
    <w:lvlOverride w:ilvl="3">
      <w:lvl w:ilvl="3">
        <w:start w:val="1"/>
        <w:numFmt w:val="decimal"/>
        <w:pStyle w:val="berschrift4"/>
        <w:lvlText w:val="%1.%2.%3.%4"/>
        <w:lvlJc w:val="left"/>
        <w:pPr>
          <w:tabs>
            <w:tab w:val="num" w:pos="709"/>
          </w:tabs>
          <w:ind w:left="709" w:hanging="709"/>
        </w:pPr>
        <w:rPr>
          <w:rFonts w:hint="default"/>
        </w:rPr>
      </w:lvl>
    </w:lvlOverride>
    <w:lvlOverride w:ilvl="4">
      <w:lvl w:ilvl="4">
        <w:start w:val="1"/>
        <w:numFmt w:val="decimal"/>
        <w:pStyle w:val="berschrift5"/>
        <w:lvlText w:val="%1.%2.%3.%4.%5"/>
        <w:lvlJc w:val="left"/>
        <w:pPr>
          <w:tabs>
            <w:tab w:val="num" w:pos="709"/>
          </w:tabs>
          <w:ind w:left="709" w:hanging="709"/>
        </w:pPr>
        <w:rPr>
          <w:rFonts w:hint="default"/>
        </w:rPr>
      </w:lvl>
    </w:lvlOverride>
    <w:lvlOverride w:ilvl="5">
      <w:lvl w:ilvl="5">
        <w:start w:val="1"/>
        <w:numFmt w:val="decimal"/>
        <w:pStyle w:val="berschrift6"/>
        <w:lvlText w:val="%1.%2.%3.%4.%5.%6"/>
        <w:lvlJc w:val="left"/>
        <w:pPr>
          <w:tabs>
            <w:tab w:val="num" w:pos="709"/>
          </w:tabs>
          <w:ind w:left="709" w:hanging="709"/>
        </w:pPr>
        <w:rPr>
          <w:rFonts w:hint="default"/>
        </w:rPr>
      </w:lvl>
    </w:lvlOverride>
    <w:lvlOverride w:ilvl="6">
      <w:lvl w:ilvl="6">
        <w:start w:val="1"/>
        <w:numFmt w:val="decimal"/>
        <w:pStyle w:val="berschrift7"/>
        <w:lvlText w:val="%1.%2.%3.%4.%5.%6.%7"/>
        <w:lvlJc w:val="left"/>
        <w:pPr>
          <w:tabs>
            <w:tab w:val="num" w:pos="709"/>
          </w:tabs>
          <w:ind w:left="709" w:hanging="709"/>
        </w:pPr>
        <w:rPr>
          <w:rFonts w:hint="default"/>
        </w:rPr>
      </w:lvl>
    </w:lvlOverride>
    <w:lvlOverride w:ilvl="7">
      <w:lvl w:ilvl="7">
        <w:start w:val="1"/>
        <w:numFmt w:val="decimal"/>
        <w:pStyle w:val="berschrift8"/>
        <w:lvlText w:val="%1.%2.%3.%4.%5.%6.%7.%8"/>
        <w:lvlJc w:val="left"/>
        <w:pPr>
          <w:tabs>
            <w:tab w:val="num" w:pos="709"/>
          </w:tabs>
          <w:ind w:left="709" w:hanging="709"/>
        </w:pPr>
        <w:rPr>
          <w:rFonts w:hint="default"/>
        </w:rPr>
      </w:lvl>
    </w:lvlOverride>
    <w:lvlOverride w:ilvl="8">
      <w:lvl w:ilvl="8">
        <w:start w:val="1"/>
        <w:numFmt w:val="decimal"/>
        <w:pStyle w:val="berschrift9"/>
        <w:lvlText w:val="%1.%2.%3.%4.%5.%6.%7.%8.%9"/>
        <w:lvlJc w:val="left"/>
        <w:pPr>
          <w:tabs>
            <w:tab w:val="num" w:pos="709"/>
          </w:tabs>
          <w:ind w:left="709" w:hanging="709"/>
        </w:pPr>
        <w:rPr>
          <w:rFonts w:hint="default"/>
        </w:rPr>
      </w:lvl>
    </w:lvlOverride>
  </w:num>
  <w:num w:numId="84">
    <w:abstractNumId w:val="26"/>
    <w:lvlOverride w:ilvl="0">
      <w:lvl w:ilvl="0">
        <w:start w:val="1"/>
        <w:numFmt w:val="decimal"/>
        <w:pStyle w:val="berschrift1"/>
        <w:lvlText w:val="%1."/>
        <w:lvlJc w:val="left"/>
        <w:pPr>
          <w:tabs>
            <w:tab w:val="num" w:pos="709"/>
          </w:tabs>
          <w:ind w:left="709" w:hanging="709"/>
        </w:pPr>
        <w:rPr>
          <w:rFonts w:hint="default"/>
        </w:rPr>
      </w:lvl>
    </w:lvlOverride>
    <w:lvlOverride w:ilvl="1">
      <w:lvl w:ilvl="1">
        <w:start w:val="1"/>
        <w:numFmt w:val="decimal"/>
        <w:pStyle w:val="berschrift2"/>
        <w:lvlText w:val="%1.%2"/>
        <w:lvlJc w:val="left"/>
        <w:pPr>
          <w:tabs>
            <w:tab w:val="num" w:pos="709"/>
          </w:tabs>
          <w:ind w:left="709" w:hanging="709"/>
        </w:pPr>
        <w:rPr>
          <w:rFonts w:hint="default"/>
        </w:rPr>
      </w:lvl>
    </w:lvlOverride>
    <w:lvlOverride w:ilvl="2">
      <w:lvl w:ilvl="2">
        <w:start w:val="1"/>
        <w:numFmt w:val="decimal"/>
        <w:pStyle w:val="berschrift3"/>
        <w:lvlText w:val="%1.%2.%3"/>
        <w:lvlJc w:val="left"/>
        <w:pPr>
          <w:tabs>
            <w:tab w:val="num" w:pos="993"/>
          </w:tabs>
          <w:ind w:left="993" w:hanging="709"/>
        </w:pPr>
        <w:rPr>
          <w:rFonts w:hint="default"/>
        </w:rPr>
      </w:lvl>
    </w:lvlOverride>
    <w:lvlOverride w:ilvl="3">
      <w:lvl w:ilvl="3">
        <w:start w:val="1"/>
        <w:numFmt w:val="decimal"/>
        <w:pStyle w:val="berschrift4"/>
        <w:lvlText w:val="%1.%2.%3.%4"/>
        <w:lvlJc w:val="left"/>
        <w:pPr>
          <w:tabs>
            <w:tab w:val="num" w:pos="709"/>
          </w:tabs>
          <w:ind w:left="709" w:hanging="709"/>
        </w:pPr>
        <w:rPr>
          <w:rFonts w:hint="default"/>
        </w:rPr>
      </w:lvl>
    </w:lvlOverride>
    <w:lvlOverride w:ilvl="4">
      <w:lvl w:ilvl="4">
        <w:start w:val="1"/>
        <w:numFmt w:val="decimal"/>
        <w:pStyle w:val="berschrift5"/>
        <w:lvlText w:val="%1.%2.%3.%4.%5"/>
        <w:lvlJc w:val="left"/>
        <w:pPr>
          <w:tabs>
            <w:tab w:val="num" w:pos="709"/>
          </w:tabs>
          <w:ind w:left="709" w:hanging="709"/>
        </w:pPr>
        <w:rPr>
          <w:rFonts w:hint="default"/>
        </w:rPr>
      </w:lvl>
    </w:lvlOverride>
    <w:lvlOverride w:ilvl="5">
      <w:lvl w:ilvl="5">
        <w:start w:val="1"/>
        <w:numFmt w:val="decimal"/>
        <w:pStyle w:val="berschrift6"/>
        <w:lvlText w:val="%1.%2.%3.%4.%5.%6"/>
        <w:lvlJc w:val="left"/>
        <w:pPr>
          <w:tabs>
            <w:tab w:val="num" w:pos="709"/>
          </w:tabs>
          <w:ind w:left="709" w:hanging="709"/>
        </w:pPr>
        <w:rPr>
          <w:rFonts w:hint="default"/>
        </w:rPr>
      </w:lvl>
    </w:lvlOverride>
    <w:lvlOverride w:ilvl="6">
      <w:lvl w:ilvl="6">
        <w:start w:val="1"/>
        <w:numFmt w:val="decimal"/>
        <w:pStyle w:val="berschrift7"/>
        <w:lvlText w:val="%1.%2.%3.%4.%5.%6.%7"/>
        <w:lvlJc w:val="left"/>
        <w:pPr>
          <w:tabs>
            <w:tab w:val="num" w:pos="709"/>
          </w:tabs>
          <w:ind w:left="709" w:hanging="709"/>
        </w:pPr>
        <w:rPr>
          <w:rFonts w:hint="default"/>
        </w:rPr>
      </w:lvl>
    </w:lvlOverride>
    <w:lvlOverride w:ilvl="7">
      <w:lvl w:ilvl="7">
        <w:start w:val="1"/>
        <w:numFmt w:val="decimal"/>
        <w:pStyle w:val="berschrift8"/>
        <w:lvlText w:val="%1.%2.%3.%4.%5.%6.%7.%8"/>
        <w:lvlJc w:val="left"/>
        <w:pPr>
          <w:tabs>
            <w:tab w:val="num" w:pos="709"/>
          </w:tabs>
          <w:ind w:left="709" w:hanging="709"/>
        </w:pPr>
        <w:rPr>
          <w:rFonts w:hint="default"/>
        </w:rPr>
      </w:lvl>
    </w:lvlOverride>
    <w:lvlOverride w:ilvl="8">
      <w:lvl w:ilvl="8">
        <w:start w:val="1"/>
        <w:numFmt w:val="decimal"/>
        <w:pStyle w:val="berschrift9"/>
        <w:lvlText w:val="%1.%2.%3.%4.%5.%6.%7.%8.%9"/>
        <w:lvlJc w:val="left"/>
        <w:pPr>
          <w:tabs>
            <w:tab w:val="num" w:pos="709"/>
          </w:tabs>
          <w:ind w:left="709" w:hanging="709"/>
        </w:pPr>
        <w:rPr>
          <w:rFonts w:hint="default"/>
        </w:rPr>
      </w:lvl>
    </w:lvlOverride>
  </w:num>
  <w:num w:numId="85">
    <w:abstractNumId w:val="9"/>
  </w:num>
  <w:num w:numId="86">
    <w:abstractNumId w:val="10"/>
  </w:num>
  <w:num w:numId="87">
    <w:abstractNumId w:val="14"/>
  </w:num>
  <w:num w:numId="88">
    <w:abstractNumId w:val="24"/>
  </w:num>
  <w:num w:numId="89">
    <w:abstractNumId w:val="12"/>
  </w:num>
  <w:num w:numId="90">
    <w:abstractNumId w:val="2"/>
  </w:num>
  <w:num w:numId="91">
    <w:abstractNumId w:val="16"/>
  </w:num>
  <w:num w:numId="92">
    <w:abstractNumId w:val="22"/>
  </w:num>
  <w:num w:numId="93">
    <w:abstractNumId w:val="26"/>
    <w:lvlOverride w:ilvl="0">
      <w:lvl w:ilvl="0">
        <w:start w:val="1"/>
        <w:numFmt w:val="decimal"/>
        <w:pStyle w:val="berschrift1"/>
        <w:lvlText w:val="%1."/>
        <w:lvlJc w:val="left"/>
        <w:pPr>
          <w:tabs>
            <w:tab w:val="num" w:pos="709"/>
          </w:tabs>
          <w:ind w:left="709" w:hanging="709"/>
        </w:pPr>
        <w:rPr>
          <w:rFonts w:hint="default"/>
        </w:rPr>
      </w:lvl>
    </w:lvlOverride>
    <w:lvlOverride w:ilvl="1">
      <w:lvl w:ilvl="1">
        <w:start w:val="1"/>
        <w:numFmt w:val="decimal"/>
        <w:pStyle w:val="berschrift2"/>
        <w:lvlText w:val="%1.%2"/>
        <w:lvlJc w:val="left"/>
        <w:pPr>
          <w:tabs>
            <w:tab w:val="num" w:pos="709"/>
          </w:tabs>
          <w:ind w:left="709" w:hanging="709"/>
        </w:pPr>
        <w:rPr>
          <w:rFonts w:hint="default"/>
        </w:rPr>
      </w:lvl>
    </w:lvlOverride>
    <w:lvlOverride w:ilvl="2">
      <w:lvl w:ilvl="2">
        <w:start w:val="1"/>
        <w:numFmt w:val="decimal"/>
        <w:pStyle w:val="berschrift3"/>
        <w:lvlText w:val="%1.%2.%3"/>
        <w:lvlJc w:val="left"/>
        <w:pPr>
          <w:tabs>
            <w:tab w:val="num" w:pos="993"/>
          </w:tabs>
          <w:ind w:left="993" w:hanging="709"/>
        </w:pPr>
        <w:rPr>
          <w:rFonts w:hint="default"/>
        </w:rPr>
      </w:lvl>
    </w:lvlOverride>
    <w:lvlOverride w:ilvl="3">
      <w:lvl w:ilvl="3">
        <w:start w:val="1"/>
        <w:numFmt w:val="decimal"/>
        <w:pStyle w:val="berschrift4"/>
        <w:lvlText w:val="%1.%2.%3.%4"/>
        <w:lvlJc w:val="left"/>
        <w:pPr>
          <w:tabs>
            <w:tab w:val="num" w:pos="709"/>
          </w:tabs>
          <w:ind w:left="709" w:hanging="709"/>
        </w:pPr>
        <w:rPr>
          <w:rFonts w:hint="default"/>
        </w:rPr>
      </w:lvl>
    </w:lvlOverride>
    <w:lvlOverride w:ilvl="4">
      <w:lvl w:ilvl="4">
        <w:start w:val="1"/>
        <w:numFmt w:val="decimal"/>
        <w:pStyle w:val="berschrift5"/>
        <w:lvlText w:val="%1.%2.%3.%4.%5"/>
        <w:lvlJc w:val="left"/>
        <w:pPr>
          <w:tabs>
            <w:tab w:val="num" w:pos="709"/>
          </w:tabs>
          <w:ind w:left="709" w:hanging="709"/>
        </w:pPr>
        <w:rPr>
          <w:rFonts w:hint="default"/>
        </w:rPr>
      </w:lvl>
    </w:lvlOverride>
    <w:lvlOverride w:ilvl="5">
      <w:lvl w:ilvl="5">
        <w:start w:val="1"/>
        <w:numFmt w:val="decimal"/>
        <w:pStyle w:val="berschrift6"/>
        <w:lvlText w:val="%1.%2.%3.%4.%5.%6"/>
        <w:lvlJc w:val="left"/>
        <w:pPr>
          <w:tabs>
            <w:tab w:val="num" w:pos="709"/>
          </w:tabs>
          <w:ind w:left="709" w:hanging="709"/>
        </w:pPr>
        <w:rPr>
          <w:rFonts w:hint="default"/>
        </w:rPr>
      </w:lvl>
    </w:lvlOverride>
    <w:lvlOverride w:ilvl="6">
      <w:lvl w:ilvl="6">
        <w:start w:val="1"/>
        <w:numFmt w:val="decimal"/>
        <w:pStyle w:val="berschrift7"/>
        <w:lvlText w:val="%1.%2.%3.%4.%5.%6.%7"/>
        <w:lvlJc w:val="left"/>
        <w:pPr>
          <w:tabs>
            <w:tab w:val="num" w:pos="709"/>
          </w:tabs>
          <w:ind w:left="709" w:hanging="709"/>
        </w:pPr>
        <w:rPr>
          <w:rFonts w:hint="default"/>
        </w:rPr>
      </w:lvl>
    </w:lvlOverride>
    <w:lvlOverride w:ilvl="7">
      <w:lvl w:ilvl="7">
        <w:start w:val="1"/>
        <w:numFmt w:val="decimal"/>
        <w:pStyle w:val="berschrift8"/>
        <w:lvlText w:val="%1.%2.%3.%4.%5.%6.%7.%8"/>
        <w:lvlJc w:val="left"/>
        <w:pPr>
          <w:tabs>
            <w:tab w:val="num" w:pos="709"/>
          </w:tabs>
          <w:ind w:left="709" w:hanging="709"/>
        </w:pPr>
        <w:rPr>
          <w:rFonts w:hint="default"/>
        </w:rPr>
      </w:lvl>
    </w:lvlOverride>
    <w:lvlOverride w:ilvl="8">
      <w:lvl w:ilvl="8">
        <w:start w:val="1"/>
        <w:numFmt w:val="decimal"/>
        <w:pStyle w:val="berschrift9"/>
        <w:lvlText w:val="%1.%2.%3.%4.%5.%6.%7.%8.%9"/>
        <w:lvlJc w:val="left"/>
        <w:pPr>
          <w:tabs>
            <w:tab w:val="num" w:pos="709"/>
          </w:tabs>
          <w:ind w:left="709" w:hanging="709"/>
        </w:pPr>
        <w:rPr>
          <w:rFonts w:hint="default"/>
        </w:rPr>
      </w:lvl>
    </w:lvlOverride>
  </w:num>
  <w:num w:numId="94">
    <w:abstractNumId w:val="26"/>
    <w:lvlOverride w:ilvl="0">
      <w:lvl w:ilvl="0">
        <w:start w:val="1"/>
        <w:numFmt w:val="decimal"/>
        <w:pStyle w:val="berschrift1"/>
        <w:lvlText w:val="%1."/>
        <w:lvlJc w:val="left"/>
        <w:pPr>
          <w:tabs>
            <w:tab w:val="num" w:pos="709"/>
          </w:tabs>
          <w:ind w:left="709" w:hanging="709"/>
        </w:pPr>
        <w:rPr>
          <w:rFonts w:hint="default"/>
        </w:rPr>
      </w:lvl>
    </w:lvlOverride>
    <w:lvlOverride w:ilvl="1">
      <w:lvl w:ilvl="1">
        <w:start w:val="1"/>
        <w:numFmt w:val="decimal"/>
        <w:pStyle w:val="berschrift2"/>
        <w:lvlText w:val="%1.%2"/>
        <w:lvlJc w:val="left"/>
        <w:pPr>
          <w:tabs>
            <w:tab w:val="num" w:pos="709"/>
          </w:tabs>
          <w:ind w:left="709" w:hanging="709"/>
        </w:pPr>
        <w:rPr>
          <w:rFonts w:hint="default"/>
        </w:rPr>
      </w:lvl>
    </w:lvlOverride>
    <w:lvlOverride w:ilvl="2">
      <w:lvl w:ilvl="2">
        <w:start w:val="1"/>
        <w:numFmt w:val="decimal"/>
        <w:pStyle w:val="berschrift3"/>
        <w:lvlText w:val="%1.%2.%3"/>
        <w:lvlJc w:val="left"/>
        <w:pPr>
          <w:tabs>
            <w:tab w:val="num" w:pos="993"/>
          </w:tabs>
          <w:ind w:left="993" w:hanging="709"/>
        </w:pPr>
        <w:rPr>
          <w:rFonts w:hint="default"/>
        </w:rPr>
      </w:lvl>
    </w:lvlOverride>
    <w:lvlOverride w:ilvl="3">
      <w:lvl w:ilvl="3">
        <w:start w:val="1"/>
        <w:numFmt w:val="decimal"/>
        <w:pStyle w:val="berschrift4"/>
        <w:lvlText w:val="%1.%2.%3.%4"/>
        <w:lvlJc w:val="left"/>
        <w:pPr>
          <w:tabs>
            <w:tab w:val="num" w:pos="709"/>
          </w:tabs>
          <w:ind w:left="709" w:hanging="709"/>
        </w:pPr>
        <w:rPr>
          <w:rFonts w:hint="default"/>
        </w:rPr>
      </w:lvl>
    </w:lvlOverride>
    <w:lvlOverride w:ilvl="4">
      <w:lvl w:ilvl="4">
        <w:start w:val="1"/>
        <w:numFmt w:val="decimal"/>
        <w:pStyle w:val="berschrift5"/>
        <w:lvlText w:val="%1.%2.%3.%4.%5"/>
        <w:lvlJc w:val="left"/>
        <w:pPr>
          <w:tabs>
            <w:tab w:val="num" w:pos="709"/>
          </w:tabs>
          <w:ind w:left="709" w:hanging="709"/>
        </w:pPr>
        <w:rPr>
          <w:rFonts w:hint="default"/>
        </w:rPr>
      </w:lvl>
    </w:lvlOverride>
    <w:lvlOverride w:ilvl="5">
      <w:lvl w:ilvl="5">
        <w:start w:val="1"/>
        <w:numFmt w:val="decimal"/>
        <w:pStyle w:val="berschrift6"/>
        <w:lvlText w:val="%1.%2.%3.%4.%5.%6"/>
        <w:lvlJc w:val="left"/>
        <w:pPr>
          <w:tabs>
            <w:tab w:val="num" w:pos="709"/>
          </w:tabs>
          <w:ind w:left="709" w:hanging="709"/>
        </w:pPr>
        <w:rPr>
          <w:rFonts w:hint="default"/>
        </w:rPr>
      </w:lvl>
    </w:lvlOverride>
    <w:lvlOverride w:ilvl="6">
      <w:lvl w:ilvl="6">
        <w:start w:val="1"/>
        <w:numFmt w:val="decimal"/>
        <w:pStyle w:val="berschrift7"/>
        <w:lvlText w:val="%1.%2.%3.%4.%5.%6.%7"/>
        <w:lvlJc w:val="left"/>
        <w:pPr>
          <w:tabs>
            <w:tab w:val="num" w:pos="709"/>
          </w:tabs>
          <w:ind w:left="709" w:hanging="709"/>
        </w:pPr>
        <w:rPr>
          <w:rFonts w:hint="default"/>
        </w:rPr>
      </w:lvl>
    </w:lvlOverride>
    <w:lvlOverride w:ilvl="7">
      <w:lvl w:ilvl="7">
        <w:start w:val="1"/>
        <w:numFmt w:val="decimal"/>
        <w:pStyle w:val="berschrift8"/>
        <w:lvlText w:val="%1.%2.%3.%4.%5.%6.%7.%8"/>
        <w:lvlJc w:val="left"/>
        <w:pPr>
          <w:tabs>
            <w:tab w:val="num" w:pos="709"/>
          </w:tabs>
          <w:ind w:left="709" w:hanging="709"/>
        </w:pPr>
        <w:rPr>
          <w:rFonts w:hint="default"/>
        </w:rPr>
      </w:lvl>
    </w:lvlOverride>
    <w:lvlOverride w:ilvl="8">
      <w:lvl w:ilvl="8">
        <w:start w:val="1"/>
        <w:numFmt w:val="decimal"/>
        <w:pStyle w:val="berschrift9"/>
        <w:lvlText w:val="%1.%2.%3.%4.%5.%6.%7.%8.%9"/>
        <w:lvlJc w:val="left"/>
        <w:pPr>
          <w:tabs>
            <w:tab w:val="num" w:pos="709"/>
          </w:tabs>
          <w:ind w:left="709" w:hanging="709"/>
        </w:pPr>
        <w:rPr>
          <w:rFonts w:hint="default"/>
        </w:rPr>
      </w:lvl>
    </w:lvlOverride>
  </w:num>
  <w:num w:numId="95">
    <w:abstractNumId w:val="26"/>
    <w:lvlOverride w:ilvl="0">
      <w:lvl w:ilvl="0">
        <w:start w:val="1"/>
        <w:numFmt w:val="decimal"/>
        <w:pStyle w:val="berschrift1"/>
        <w:lvlText w:val="%1."/>
        <w:lvlJc w:val="left"/>
        <w:pPr>
          <w:tabs>
            <w:tab w:val="num" w:pos="709"/>
          </w:tabs>
          <w:ind w:left="709" w:hanging="709"/>
        </w:pPr>
        <w:rPr>
          <w:rFonts w:hint="default"/>
        </w:rPr>
      </w:lvl>
    </w:lvlOverride>
    <w:lvlOverride w:ilvl="1">
      <w:lvl w:ilvl="1">
        <w:start w:val="1"/>
        <w:numFmt w:val="decimal"/>
        <w:pStyle w:val="berschrift2"/>
        <w:lvlText w:val="%1.%2"/>
        <w:lvlJc w:val="left"/>
        <w:pPr>
          <w:tabs>
            <w:tab w:val="num" w:pos="709"/>
          </w:tabs>
          <w:ind w:left="709" w:hanging="709"/>
        </w:pPr>
        <w:rPr>
          <w:rFonts w:hint="default"/>
        </w:rPr>
      </w:lvl>
    </w:lvlOverride>
    <w:lvlOverride w:ilvl="2">
      <w:lvl w:ilvl="2">
        <w:start w:val="1"/>
        <w:numFmt w:val="decimal"/>
        <w:pStyle w:val="berschrift3"/>
        <w:lvlText w:val="%1.%2.%3"/>
        <w:lvlJc w:val="left"/>
        <w:pPr>
          <w:tabs>
            <w:tab w:val="num" w:pos="993"/>
          </w:tabs>
          <w:ind w:left="993" w:hanging="709"/>
        </w:pPr>
        <w:rPr>
          <w:rFonts w:hint="default"/>
        </w:rPr>
      </w:lvl>
    </w:lvlOverride>
    <w:lvlOverride w:ilvl="3">
      <w:lvl w:ilvl="3">
        <w:start w:val="1"/>
        <w:numFmt w:val="decimal"/>
        <w:pStyle w:val="berschrift4"/>
        <w:lvlText w:val="%1.%2.%3.%4"/>
        <w:lvlJc w:val="left"/>
        <w:pPr>
          <w:tabs>
            <w:tab w:val="num" w:pos="709"/>
          </w:tabs>
          <w:ind w:left="709" w:hanging="709"/>
        </w:pPr>
        <w:rPr>
          <w:rFonts w:hint="default"/>
        </w:rPr>
      </w:lvl>
    </w:lvlOverride>
    <w:lvlOverride w:ilvl="4">
      <w:lvl w:ilvl="4">
        <w:start w:val="1"/>
        <w:numFmt w:val="decimal"/>
        <w:pStyle w:val="berschrift5"/>
        <w:lvlText w:val="%1.%2.%3.%4.%5"/>
        <w:lvlJc w:val="left"/>
        <w:pPr>
          <w:tabs>
            <w:tab w:val="num" w:pos="709"/>
          </w:tabs>
          <w:ind w:left="709" w:hanging="709"/>
        </w:pPr>
        <w:rPr>
          <w:rFonts w:hint="default"/>
        </w:rPr>
      </w:lvl>
    </w:lvlOverride>
    <w:lvlOverride w:ilvl="5">
      <w:lvl w:ilvl="5">
        <w:start w:val="1"/>
        <w:numFmt w:val="decimal"/>
        <w:pStyle w:val="berschrift6"/>
        <w:lvlText w:val="%1.%2.%3.%4.%5.%6"/>
        <w:lvlJc w:val="left"/>
        <w:pPr>
          <w:tabs>
            <w:tab w:val="num" w:pos="709"/>
          </w:tabs>
          <w:ind w:left="709" w:hanging="709"/>
        </w:pPr>
        <w:rPr>
          <w:rFonts w:hint="default"/>
        </w:rPr>
      </w:lvl>
    </w:lvlOverride>
    <w:lvlOverride w:ilvl="6">
      <w:lvl w:ilvl="6">
        <w:start w:val="1"/>
        <w:numFmt w:val="decimal"/>
        <w:pStyle w:val="berschrift7"/>
        <w:lvlText w:val="%1.%2.%3.%4.%5.%6.%7"/>
        <w:lvlJc w:val="left"/>
        <w:pPr>
          <w:tabs>
            <w:tab w:val="num" w:pos="709"/>
          </w:tabs>
          <w:ind w:left="709" w:hanging="709"/>
        </w:pPr>
        <w:rPr>
          <w:rFonts w:hint="default"/>
        </w:rPr>
      </w:lvl>
    </w:lvlOverride>
    <w:lvlOverride w:ilvl="7">
      <w:lvl w:ilvl="7">
        <w:start w:val="1"/>
        <w:numFmt w:val="decimal"/>
        <w:pStyle w:val="berschrift8"/>
        <w:lvlText w:val="%1.%2.%3.%4.%5.%6.%7.%8"/>
        <w:lvlJc w:val="left"/>
        <w:pPr>
          <w:tabs>
            <w:tab w:val="num" w:pos="709"/>
          </w:tabs>
          <w:ind w:left="709" w:hanging="709"/>
        </w:pPr>
        <w:rPr>
          <w:rFonts w:hint="default"/>
        </w:rPr>
      </w:lvl>
    </w:lvlOverride>
    <w:lvlOverride w:ilvl="8">
      <w:lvl w:ilvl="8">
        <w:start w:val="1"/>
        <w:numFmt w:val="decimal"/>
        <w:pStyle w:val="berschrift9"/>
        <w:lvlText w:val="%1.%2.%3.%4.%5.%6.%7.%8.%9"/>
        <w:lvlJc w:val="left"/>
        <w:pPr>
          <w:tabs>
            <w:tab w:val="num" w:pos="709"/>
          </w:tabs>
          <w:ind w:left="709" w:hanging="709"/>
        </w:pPr>
        <w:rPr>
          <w:rFonts w:hint="default"/>
        </w:rPr>
      </w:lvl>
    </w:lvlOverride>
  </w:num>
  <w:num w:numId="96">
    <w:abstractNumId w:val="26"/>
    <w:lvlOverride w:ilvl="0">
      <w:lvl w:ilvl="0">
        <w:start w:val="1"/>
        <w:numFmt w:val="decimal"/>
        <w:pStyle w:val="berschrift1"/>
        <w:lvlText w:val="%1."/>
        <w:lvlJc w:val="left"/>
        <w:pPr>
          <w:tabs>
            <w:tab w:val="num" w:pos="709"/>
          </w:tabs>
          <w:ind w:left="709" w:hanging="709"/>
        </w:pPr>
        <w:rPr>
          <w:rFonts w:hint="default"/>
        </w:rPr>
      </w:lvl>
    </w:lvlOverride>
    <w:lvlOverride w:ilvl="1">
      <w:lvl w:ilvl="1">
        <w:start w:val="1"/>
        <w:numFmt w:val="decimal"/>
        <w:pStyle w:val="berschrift2"/>
        <w:lvlText w:val="%1.%2"/>
        <w:lvlJc w:val="left"/>
        <w:pPr>
          <w:tabs>
            <w:tab w:val="num" w:pos="709"/>
          </w:tabs>
          <w:ind w:left="709" w:hanging="709"/>
        </w:pPr>
        <w:rPr>
          <w:rFonts w:hint="default"/>
        </w:rPr>
      </w:lvl>
    </w:lvlOverride>
    <w:lvlOverride w:ilvl="2">
      <w:lvl w:ilvl="2">
        <w:start w:val="1"/>
        <w:numFmt w:val="decimal"/>
        <w:pStyle w:val="berschrift3"/>
        <w:lvlText w:val="%1.%2.%3"/>
        <w:lvlJc w:val="left"/>
        <w:pPr>
          <w:tabs>
            <w:tab w:val="num" w:pos="993"/>
          </w:tabs>
          <w:ind w:left="993" w:hanging="709"/>
        </w:pPr>
        <w:rPr>
          <w:rFonts w:hint="default"/>
        </w:rPr>
      </w:lvl>
    </w:lvlOverride>
    <w:lvlOverride w:ilvl="3">
      <w:lvl w:ilvl="3">
        <w:start w:val="1"/>
        <w:numFmt w:val="decimal"/>
        <w:pStyle w:val="berschrift4"/>
        <w:lvlText w:val="%1.%2.%3.%4"/>
        <w:lvlJc w:val="left"/>
        <w:pPr>
          <w:tabs>
            <w:tab w:val="num" w:pos="709"/>
          </w:tabs>
          <w:ind w:left="709" w:hanging="709"/>
        </w:pPr>
        <w:rPr>
          <w:rFonts w:hint="default"/>
        </w:rPr>
      </w:lvl>
    </w:lvlOverride>
    <w:lvlOverride w:ilvl="4">
      <w:lvl w:ilvl="4">
        <w:start w:val="1"/>
        <w:numFmt w:val="decimal"/>
        <w:pStyle w:val="berschrift5"/>
        <w:lvlText w:val="%1.%2.%3.%4.%5"/>
        <w:lvlJc w:val="left"/>
        <w:pPr>
          <w:tabs>
            <w:tab w:val="num" w:pos="709"/>
          </w:tabs>
          <w:ind w:left="709" w:hanging="709"/>
        </w:pPr>
        <w:rPr>
          <w:rFonts w:hint="default"/>
        </w:rPr>
      </w:lvl>
    </w:lvlOverride>
    <w:lvlOverride w:ilvl="5">
      <w:lvl w:ilvl="5">
        <w:start w:val="1"/>
        <w:numFmt w:val="decimal"/>
        <w:pStyle w:val="berschrift6"/>
        <w:lvlText w:val="%1.%2.%3.%4.%5.%6"/>
        <w:lvlJc w:val="left"/>
        <w:pPr>
          <w:tabs>
            <w:tab w:val="num" w:pos="709"/>
          </w:tabs>
          <w:ind w:left="709" w:hanging="709"/>
        </w:pPr>
        <w:rPr>
          <w:rFonts w:hint="default"/>
        </w:rPr>
      </w:lvl>
    </w:lvlOverride>
    <w:lvlOverride w:ilvl="6">
      <w:lvl w:ilvl="6">
        <w:start w:val="1"/>
        <w:numFmt w:val="decimal"/>
        <w:pStyle w:val="berschrift7"/>
        <w:lvlText w:val="%1.%2.%3.%4.%5.%6.%7"/>
        <w:lvlJc w:val="left"/>
        <w:pPr>
          <w:tabs>
            <w:tab w:val="num" w:pos="709"/>
          </w:tabs>
          <w:ind w:left="709" w:hanging="709"/>
        </w:pPr>
        <w:rPr>
          <w:rFonts w:hint="default"/>
        </w:rPr>
      </w:lvl>
    </w:lvlOverride>
    <w:lvlOverride w:ilvl="7">
      <w:lvl w:ilvl="7">
        <w:start w:val="1"/>
        <w:numFmt w:val="decimal"/>
        <w:pStyle w:val="berschrift8"/>
        <w:lvlText w:val="%1.%2.%3.%4.%5.%6.%7.%8"/>
        <w:lvlJc w:val="left"/>
        <w:pPr>
          <w:tabs>
            <w:tab w:val="num" w:pos="709"/>
          </w:tabs>
          <w:ind w:left="709" w:hanging="709"/>
        </w:pPr>
        <w:rPr>
          <w:rFonts w:hint="default"/>
        </w:rPr>
      </w:lvl>
    </w:lvlOverride>
    <w:lvlOverride w:ilvl="8">
      <w:lvl w:ilvl="8">
        <w:start w:val="1"/>
        <w:numFmt w:val="decimal"/>
        <w:pStyle w:val="berschrift9"/>
        <w:lvlText w:val="%1.%2.%3.%4.%5.%6.%7.%8.%9"/>
        <w:lvlJc w:val="left"/>
        <w:pPr>
          <w:tabs>
            <w:tab w:val="num" w:pos="709"/>
          </w:tabs>
          <w:ind w:left="709" w:hanging="709"/>
        </w:pPr>
        <w:rPr>
          <w:rFonts w:hint="default"/>
        </w:rPr>
      </w:lvl>
    </w:lvlOverride>
  </w:num>
  <w:num w:numId="97">
    <w:abstractNumId w:val="26"/>
    <w:lvlOverride w:ilvl="0">
      <w:lvl w:ilvl="0">
        <w:start w:val="1"/>
        <w:numFmt w:val="decimal"/>
        <w:pStyle w:val="berschrift1"/>
        <w:lvlText w:val="%1."/>
        <w:lvlJc w:val="left"/>
        <w:pPr>
          <w:tabs>
            <w:tab w:val="num" w:pos="709"/>
          </w:tabs>
          <w:ind w:left="709" w:hanging="709"/>
        </w:pPr>
        <w:rPr>
          <w:rFonts w:hint="default"/>
        </w:rPr>
      </w:lvl>
    </w:lvlOverride>
    <w:lvlOverride w:ilvl="1">
      <w:lvl w:ilvl="1">
        <w:start w:val="1"/>
        <w:numFmt w:val="decimal"/>
        <w:pStyle w:val="berschrift2"/>
        <w:lvlText w:val="%1.%2"/>
        <w:lvlJc w:val="left"/>
        <w:pPr>
          <w:tabs>
            <w:tab w:val="num" w:pos="709"/>
          </w:tabs>
          <w:ind w:left="709" w:hanging="709"/>
        </w:pPr>
        <w:rPr>
          <w:rFonts w:hint="default"/>
        </w:rPr>
      </w:lvl>
    </w:lvlOverride>
    <w:lvlOverride w:ilvl="2">
      <w:lvl w:ilvl="2">
        <w:start w:val="1"/>
        <w:numFmt w:val="decimal"/>
        <w:pStyle w:val="berschrift3"/>
        <w:lvlText w:val="%1.%2.%3"/>
        <w:lvlJc w:val="left"/>
        <w:pPr>
          <w:tabs>
            <w:tab w:val="num" w:pos="993"/>
          </w:tabs>
          <w:ind w:left="993" w:hanging="709"/>
        </w:pPr>
        <w:rPr>
          <w:rFonts w:hint="default"/>
        </w:rPr>
      </w:lvl>
    </w:lvlOverride>
    <w:lvlOverride w:ilvl="3">
      <w:lvl w:ilvl="3">
        <w:start w:val="1"/>
        <w:numFmt w:val="decimal"/>
        <w:pStyle w:val="berschrift4"/>
        <w:lvlText w:val="%1.%2.%3.%4"/>
        <w:lvlJc w:val="left"/>
        <w:pPr>
          <w:tabs>
            <w:tab w:val="num" w:pos="709"/>
          </w:tabs>
          <w:ind w:left="709" w:hanging="709"/>
        </w:pPr>
        <w:rPr>
          <w:rFonts w:hint="default"/>
        </w:rPr>
      </w:lvl>
    </w:lvlOverride>
    <w:lvlOverride w:ilvl="4">
      <w:lvl w:ilvl="4">
        <w:start w:val="1"/>
        <w:numFmt w:val="decimal"/>
        <w:pStyle w:val="berschrift5"/>
        <w:lvlText w:val="%1.%2.%3.%4.%5"/>
        <w:lvlJc w:val="left"/>
        <w:pPr>
          <w:tabs>
            <w:tab w:val="num" w:pos="709"/>
          </w:tabs>
          <w:ind w:left="709" w:hanging="709"/>
        </w:pPr>
        <w:rPr>
          <w:rFonts w:hint="default"/>
        </w:rPr>
      </w:lvl>
    </w:lvlOverride>
    <w:lvlOverride w:ilvl="5">
      <w:lvl w:ilvl="5">
        <w:start w:val="1"/>
        <w:numFmt w:val="decimal"/>
        <w:pStyle w:val="berschrift6"/>
        <w:lvlText w:val="%1.%2.%3.%4.%5.%6"/>
        <w:lvlJc w:val="left"/>
        <w:pPr>
          <w:tabs>
            <w:tab w:val="num" w:pos="709"/>
          </w:tabs>
          <w:ind w:left="709" w:hanging="709"/>
        </w:pPr>
        <w:rPr>
          <w:rFonts w:hint="default"/>
        </w:rPr>
      </w:lvl>
    </w:lvlOverride>
    <w:lvlOverride w:ilvl="6">
      <w:lvl w:ilvl="6">
        <w:start w:val="1"/>
        <w:numFmt w:val="decimal"/>
        <w:pStyle w:val="berschrift7"/>
        <w:lvlText w:val="%1.%2.%3.%4.%5.%6.%7"/>
        <w:lvlJc w:val="left"/>
        <w:pPr>
          <w:tabs>
            <w:tab w:val="num" w:pos="709"/>
          </w:tabs>
          <w:ind w:left="709" w:hanging="709"/>
        </w:pPr>
        <w:rPr>
          <w:rFonts w:hint="default"/>
        </w:rPr>
      </w:lvl>
    </w:lvlOverride>
    <w:lvlOverride w:ilvl="7">
      <w:lvl w:ilvl="7">
        <w:start w:val="1"/>
        <w:numFmt w:val="decimal"/>
        <w:pStyle w:val="berschrift8"/>
        <w:lvlText w:val="%1.%2.%3.%4.%5.%6.%7.%8"/>
        <w:lvlJc w:val="left"/>
        <w:pPr>
          <w:tabs>
            <w:tab w:val="num" w:pos="709"/>
          </w:tabs>
          <w:ind w:left="709" w:hanging="709"/>
        </w:pPr>
        <w:rPr>
          <w:rFonts w:hint="default"/>
        </w:rPr>
      </w:lvl>
    </w:lvlOverride>
    <w:lvlOverride w:ilvl="8">
      <w:lvl w:ilvl="8">
        <w:start w:val="1"/>
        <w:numFmt w:val="decimal"/>
        <w:pStyle w:val="berschrift9"/>
        <w:lvlText w:val="%1.%2.%3.%4.%5.%6.%7.%8.%9"/>
        <w:lvlJc w:val="left"/>
        <w:pPr>
          <w:tabs>
            <w:tab w:val="num" w:pos="709"/>
          </w:tabs>
          <w:ind w:left="709" w:hanging="709"/>
        </w:pPr>
        <w:rPr>
          <w:rFonts w:hint="default"/>
        </w:rPr>
      </w:lvl>
    </w:lvlOverride>
  </w:num>
  <w:num w:numId="98">
    <w:abstractNumId w:val="8"/>
  </w:num>
  <w:num w:numId="99">
    <w:abstractNumId w:val="26"/>
    <w:lvlOverride w:ilvl="0">
      <w:lvl w:ilvl="0">
        <w:start w:val="1"/>
        <w:numFmt w:val="decimal"/>
        <w:pStyle w:val="berschrift1"/>
        <w:lvlText w:val="%1."/>
        <w:lvlJc w:val="left"/>
        <w:pPr>
          <w:tabs>
            <w:tab w:val="num" w:pos="709"/>
          </w:tabs>
          <w:ind w:left="709" w:hanging="709"/>
        </w:pPr>
        <w:rPr>
          <w:rFonts w:hint="default"/>
        </w:rPr>
      </w:lvl>
    </w:lvlOverride>
    <w:lvlOverride w:ilvl="1">
      <w:lvl w:ilvl="1">
        <w:start w:val="1"/>
        <w:numFmt w:val="decimal"/>
        <w:pStyle w:val="berschrift2"/>
        <w:lvlText w:val="%1.%2"/>
        <w:lvlJc w:val="left"/>
        <w:pPr>
          <w:tabs>
            <w:tab w:val="num" w:pos="709"/>
          </w:tabs>
          <w:ind w:left="709" w:hanging="709"/>
        </w:pPr>
        <w:rPr>
          <w:rFonts w:hint="default"/>
        </w:rPr>
      </w:lvl>
    </w:lvlOverride>
    <w:lvlOverride w:ilvl="2">
      <w:lvl w:ilvl="2">
        <w:start w:val="1"/>
        <w:numFmt w:val="decimal"/>
        <w:pStyle w:val="berschrift3"/>
        <w:lvlText w:val="%1.%2.%3"/>
        <w:lvlJc w:val="left"/>
        <w:pPr>
          <w:tabs>
            <w:tab w:val="num" w:pos="993"/>
          </w:tabs>
          <w:ind w:left="993" w:hanging="709"/>
        </w:pPr>
        <w:rPr>
          <w:rFonts w:hint="default"/>
        </w:rPr>
      </w:lvl>
    </w:lvlOverride>
    <w:lvlOverride w:ilvl="3">
      <w:lvl w:ilvl="3">
        <w:start w:val="1"/>
        <w:numFmt w:val="decimal"/>
        <w:pStyle w:val="berschrift4"/>
        <w:lvlText w:val="%1.%2.%3.%4"/>
        <w:lvlJc w:val="left"/>
        <w:pPr>
          <w:tabs>
            <w:tab w:val="num" w:pos="709"/>
          </w:tabs>
          <w:ind w:left="709" w:hanging="709"/>
        </w:pPr>
        <w:rPr>
          <w:rFonts w:hint="default"/>
        </w:rPr>
      </w:lvl>
    </w:lvlOverride>
    <w:lvlOverride w:ilvl="4">
      <w:lvl w:ilvl="4">
        <w:start w:val="1"/>
        <w:numFmt w:val="decimal"/>
        <w:pStyle w:val="berschrift5"/>
        <w:lvlText w:val="%1.%2.%3.%4.%5"/>
        <w:lvlJc w:val="left"/>
        <w:pPr>
          <w:tabs>
            <w:tab w:val="num" w:pos="709"/>
          </w:tabs>
          <w:ind w:left="709" w:hanging="709"/>
        </w:pPr>
        <w:rPr>
          <w:rFonts w:hint="default"/>
        </w:rPr>
      </w:lvl>
    </w:lvlOverride>
    <w:lvlOverride w:ilvl="5">
      <w:lvl w:ilvl="5">
        <w:start w:val="1"/>
        <w:numFmt w:val="decimal"/>
        <w:pStyle w:val="berschrift6"/>
        <w:lvlText w:val="%1.%2.%3.%4.%5.%6"/>
        <w:lvlJc w:val="left"/>
        <w:pPr>
          <w:tabs>
            <w:tab w:val="num" w:pos="709"/>
          </w:tabs>
          <w:ind w:left="709" w:hanging="709"/>
        </w:pPr>
        <w:rPr>
          <w:rFonts w:hint="default"/>
        </w:rPr>
      </w:lvl>
    </w:lvlOverride>
    <w:lvlOverride w:ilvl="6">
      <w:lvl w:ilvl="6">
        <w:start w:val="1"/>
        <w:numFmt w:val="decimal"/>
        <w:pStyle w:val="berschrift7"/>
        <w:lvlText w:val="%1.%2.%3.%4.%5.%6.%7"/>
        <w:lvlJc w:val="left"/>
        <w:pPr>
          <w:tabs>
            <w:tab w:val="num" w:pos="709"/>
          </w:tabs>
          <w:ind w:left="709" w:hanging="709"/>
        </w:pPr>
        <w:rPr>
          <w:rFonts w:hint="default"/>
        </w:rPr>
      </w:lvl>
    </w:lvlOverride>
    <w:lvlOverride w:ilvl="7">
      <w:lvl w:ilvl="7">
        <w:start w:val="1"/>
        <w:numFmt w:val="decimal"/>
        <w:pStyle w:val="berschrift8"/>
        <w:lvlText w:val="%1.%2.%3.%4.%5.%6.%7.%8"/>
        <w:lvlJc w:val="left"/>
        <w:pPr>
          <w:tabs>
            <w:tab w:val="num" w:pos="709"/>
          </w:tabs>
          <w:ind w:left="709" w:hanging="709"/>
        </w:pPr>
        <w:rPr>
          <w:rFonts w:hint="default"/>
        </w:rPr>
      </w:lvl>
    </w:lvlOverride>
    <w:lvlOverride w:ilvl="8">
      <w:lvl w:ilvl="8">
        <w:start w:val="1"/>
        <w:numFmt w:val="decimal"/>
        <w:pStyle w:val="berschrift9"/>
        <w:lvlText w:val="%1.%2.%3.%4.%5.%6.%7.%8.%9"/>
        <w:lvlJc w:val="left"/>
        <w:pPr>
          <w:tabs>
            <w:tab w:val="num" w:pos="709"/>
          </w:tabs>
          <w:ind w:left="709" w:hanging="709"/>
        </w:pPr>
        <w:rPr>
          <w:rFonts w:hint="default"/>
        </w:rPr>
      </w:lvl>
    </w:lvlOverride>
  </w:num>
  <w:num w:numId="100">
    <w:abstractNumId w:val="26"/>
    <w:lvlOverride w:ilvl="0">
      <w:lvl w:ilvl="0">
        <w:start w:val="1"/>
        <w:numFmt w:val="decimal"/>
        <w:pStyle w:val="berschrift1"/>
        <w:lvlText w:val="%1."/>
        <w:lvlJc w:val="left"/>
        <w:pPr>
          <w:tabs>
            <w:tab w:val="num" w:pos="709"/>
          </w:tabs>
          <w:ind w:left="709" w:hanging="709"/>
        </w:pPr>
        <w:rPr>
          <w:rFonts w:hint="default"/>
        </w:rPr>
      </w:lvl>
    </w:lvlOverride>
    <w:lvlOverride w:ilvl="1">
      <w:lvl w:ilvl="1">
        <w:start w:val="1"/>
        <w:numFmt w:val="decimal"/>
        <w:pStyle w:val="berschrift2"/>
        <w:lvlText w:val="%1.%2"/>
        <w:lvlJc w:val="left"/>
        <w:pPr>
          <w:tabs>
            <w:tab w:val="num" w:pos="709"/>
          </w:tabs>
          <w:ind w:left="709" w:hanging="709"/>
        </w:pPr>
        <w:rPr>
          <w:rFonts w:hint="default"/>
        </w:rPr>
      </w:lvl>
    </w:lvlOverride>
    <w:lvlOverride w:ilvl="2">
      <w:lvl w:ilvl="2">
        <w:start w:val="1"/>
        <w:numFmt w:val="decimal"/>
        <w:pStyle w:val="berschrift3"/>
        <w:lvlText w:val="%1.%2.%3"/>
        <w:lvlJc w:val="left"/>
        <w:pPr>
          <w:tabs>
            <w:tab w:val="num" w:pos="993"/>
          </w:tabs>
          <w:ind w:left="993" w:hanging="709"/>
        </w:pPr>
        <w:rPr>
          <w:rFonts w:hint="default"/>
        </w:rPr>
      </w:lvl>
    </w:lvlOverride>
    <w:lvlOverride w:ilvl="3">
      <w:lvl w:ilvl="3">
        <w:start w:val="1"/>
        <w:numFmt w:val="decimal"/>
        <w:pStyle w:val="berschrift4"/>
        <w:lvlText w:val="%1.%2.%3.%4"/>
        <w:lvlJc w:val="left"/>
        <w:pPr>
          <w:tabs>
            <w:tab w:val="num" w:pos="709"/>
          </w:tabs>
          <w:ind w:left="709" w:hanging="709"/>
        </w:pPr>
        <w:rPr>
          <w:rFonts w:hint="default"/>
        </w:rPr>
      </w:lvl>
    </w:lvlOverride>
    <w:lvlOverride w:ilvl="4">
      <w:lvl w:ilvl="4">
        <w:start w:val="1"/>
        <w:numFmt w:val="decimal"/>
        <w:pStyle w:val="berschrift5"/>
        <w:lvlText w:val="%1.%2.%3.%4.%5"/>
        <w:lvlJc w:val="left"/>
        <w:pPr>
          <w:tabs>
            <w:tab w:val="num" w:pos="709"/>
          </w:tabs>
          <w:ind w:left="709" w:hanging="709"/>
        </w:pPr>
        <w:rPr>
          <w:rFonts w:hint="default"/>
        </w:rPr>
      </w:lvl>
    </w:lvlOverride>
    <w:lvlOverride w:ilvl="5">
      <w:lvl w:ilvl="5">
        <w:start w:val="1"/>
        <w:numFmt w:val="decimal"/>
        <w:pStyle w:val="berschrift6"/>
        <w:lvlText w:val="%1.%2.%3.%4.%5.%6"/>
        <w:lvlJc w:val="left"/>
        <w:pPr>
          <w:tabs>
            <w:tab w:val="num" w:pos="709"/>
          </w:tabs>
          <w:ind w:left="709" w:hanging="709"/>
        </w:pPr>
        <w:rPr>
          <w:rFonts w:hint="default"/>
        </w:rPr>
      </w:lvl>
    </w:lvlOverride>
    <w:lvlOverride w:ilvl="6">
      <w:lvl w:ilvl="6">
        <w:start w:val="1"/>
        <w:numFmt w:val="decimal"/>
        <w:pStyle w:val="berschrift7"/>
        <w:lvlText w:val="%1.%2.%3.%4.%5.%6.%7"/>
        <w:lvlJc w:val="left"/>
        <w:pPr>
          <w:tabs>
            <w:tab w:val="num" w:pos="709"/>
          </w:tabs>
          <w:ind w:left="709" w:hanging="709"/>
        </w:pPr>
        <w:rPr>
          <w:rFonts w:hint="default"/>
        </w:rPr>
      </w:lvl>
    </w:lvlOverride>
    <w:lvlOverride w:ilvl="7">
      <w:lvl w:ilvl="7">
        <w:start w:val="1"/>
        <w:numFmt w:val="decimal"/>
        <w:pStyle w:val="berschrift8"/>
        <w:lvlText w:val="%1.%2.%3.%4.%5.%6.%7.%8"/>
        <w:lvlJc w:val="left"/>
        <w:pPr>
          <w:tabs>
            <w:tab w:val="num" w:pos="709"/>
          </w:tabs>
          <w:ind w:left="709" w:hanging="709"/>
        </w:pPr>
        <w:rPr>
          <w:rFonts w:hint="default"/>
        </w:rPr>
      </w:lvl>
    </w:lvlOverride>
    <w:lvlOverride w:ilvl="8">
      <w:lvl w:ilvl="8">
        <w:start w:val="1"/>
        <w:numFmt w:val="decimal"/>
        <w:pStyle w:val="berschrift9"/>
        <w:lvlText w:val="%1.%2.%3.%4.%5.%6.%7.%8.%9"/>
        <w:lvlJc w:val="left"/>
        <w:pPr>
          <w:tabs>
            <w:tab w:val="num" w:pos="709"/>
          </w:tabs>
          <w:ind w:left="709" w:hanging="709"/>
        </w:pPr>
        <w:rPr>
          <w:rFonts w:hint="default"/>
        </w:rPr>
      </w:lvl>
    </w:lvlOverride>
  </w:num>
  <w:num w:numId="101">
    <w:abstractNumId w:val="26"/>
    <w:lvlOverride w:ilvl="0">
      <w:lvl w:ilvl="0">
        <w:start w:val="1"/>
        <w:numFmt w:val="decimal"/>
        <w:pStyle w:val="berschrift1"/>
        <w:lvlText w:val="%1."/>
        <w:lvlJc w:val="left"/>
        <w:pPr>
          <w:tabs>
            <w:tab w:val="num" w:pos="709"/>
          </w:tabs>
          <w:ind w:left="709" w:hanging="709"/>
        </w:pPr>
        <w:rPr>
          <w:rFonts w:hint="default"/>
        </w:rPr>
      </w:lvl>
    </w:lvlOverride>
    <w:lvlOverride w:ilvl="1">
      <w:lvl w:ilvl="1">
        <w:start w:val="1"/>
        <w:numFmt w:val="decimal"/>
        <w:pStyle w:val="berschrift2"/>
        <w:lvlText w:val="%1.%2"/>
        <w:lvlJc w:val="left"/>
        <w:pPr>
          <w:tabs>
            <w:tab w:val="num" w:pos="709"/>
          </w:tabs>
          <w:ind w:left="709" w:hanging="709"/>
        </w:pPr>
        <w:rPr>
          <w:rFonts w:hint="default"/>
        </w:rPr>
      </w:lvl>
    </w:lvlOverride>
    <w:lvlOverride w:ilvl="2">
      <w:lvl w:ilvl="2">
        <w:start w:val="1"/>
        <w:numFmt w:val="decimal"/>
        <w:pStyle w:val="berschrift3"/>
        <w:lvlText w:val="%1.%2.%3"/>
        <w:lvlJc w:val="left"/>
        <w:pPr>
          <w:tabs>
            <w:tab w:val="num" w:pos="993"/>
          </w:tabs>
          <w:ind w:left="993" w:hanging="709"/>
        </w:pPr>
        <w:rPr>
          <w:rFonts w:hint="default"/>
        </w:rPr>
      </w:lvl>
    </w:lvlOverride>
    <w:lvlOverride w:ilvl="3">
      <w:lvl w:ilvl="3">
        <w:start w:val="1"/>
        <w:numFmt w:val="decimal"/>
        <w:pStyle w:val="berschrift4"/>
        <w:lvlText w:val="%1.%2.%3.%4"/>
        <w:lvlJc w:val="left"/>
        <w:pPr>
          <w:tabs>
            <w:tab w:val="num" w:pos="709"/>
          </w:tabs>
          <w:ind w:left="709" w:hanging="709"/>
        </w:pPr>
        <w:rPr>
          <w:rFonts w:hint="default"/>
        </w:rPr>
      </w:lvl>
    </w:lvlOverride>
    <w:lvlOverride w:ilvl="4">
      <w:lvl w:ilvl="4">
        <w:start w:val="1"/>
        <w:numFmt w:val="decimal"/>
        <w:pStyle w:val="berschrift5"/>
        <w:lvlText w:val="%1.%2.%3.%4.%5"/>
        <w:lvlJc w:val="left"/>
        <w:pPr>
          <w:tabs>
            <w:tab w:val="num" w:pos="709"/>
          </w:tabs>
          <w:ind w:left="709" w:hanging="709"/>
        </w:pPr>
        <w:rPr>
          <w:rFonts w:hint="default"/>
        </w:rPr>
      </w:lvl>
    </w:lvlOverride>
    <w:lvlOverride w:ilvl="5">
      <w:lvl w:ilvl="5">
        <w:start w:val="1"/>
        <w:numFmt w:val="decimal"/>
        <w:pStyle w:val="berschrift6"/>
        <w:lvlText w:val="%1.%2.%3.%4.%5.%6"/>
        <w:lvlJc w:val="left"/>
        <w:pPr>
          <w:tabs>
            <w:tab w:val="num" w:pos="709"/>
          </w:tabs>
          <w:ind w:left="709" w:hanging="709"/>
        </w:pPr>
        <w:rPr>
          <w:rFonts w:hint="default"/>
        </w:rPr>
      </w:lvl>
    </w:lvlOverride>
    <w:lvlOverride w:ilvl="6">
      <w:lvl w:ilvl="6">
        <w:start w:val="1"/>
        <w:numFmt w:val="decimal"/>
        <w:pStyle w:val="berschrift7"/>
        <w:lvlText w:val="%1.%2.%3.%4.%5.%6.%7"/>
        <w:lvlJc w:val="left"/>
        <w:pPr>
          <w:tabs>
            <w:tab w:val="num" w:pos="709"/>
          </w:tabs>
          <w:ind w:left="709" w:hanging="709"/>
        </w:pPr>
        <w:rPr>
          <w:rFonts w:hint="default"/>
        </w:rPr>
      </w:lvl>
    </w:lvlOverride>
    <w:lvlOverride w:ilvl="7">
      <w:lvl w:ilvl="7">
        <w:start w:val="1"/>
        <w:numFmt w:val="decimal"/>
        <w:pStyle w:val="berschrift8"/>
        <w:lvlText w:val="%1.%2.%3.%4.%5.%6.%7.%8"/>
        <w:lvlJc w:val="left"/>
        <w:pPr>
          <w:tabs>
            <w:tab w:val="num" w:pos="709"/>
          </w:tabs>
          <w:ind w:left="709" w:hanging="709"/>
        </w:pPr>
        <w:rPr>
          <w:rFonts w:hint="default"/>
        </w:rPr>
      </w:lvl>
    </w:lvlOverride>
    <w:lvlOverride w:ilvl="8">
      <w:lvl w:ilvl="8">
        <w:start w:val="1"/>
        <w:numFmt w:val="decimal"/>
        <w:pStyle w:val="berschrift9"/>
        <w:lvlText w:val="%1.%2.%3.%4.%5.%6.%7.%8.%9"/>
        <w:lvlJc w:val="left"/>
        <w:pPr>
          <w:tabs>
            <w:tab w:val="num" w:pos="709"/>
          </w:tabs>
          <w:ind w:left="709" w:hanging="709"/>
        </w:pPr>
        <w:rPr>
          <w:rFonts w:hint="default"/>
        </w:rPr>
      </w:lvl>
    </w:lvlOverride>
  </w:num>
  <w:num w:numId="102">
    <w:abstractNumId w:val="26"/>
    <w:lvlOverride w:ilvl="0">
      <w:lvl w:ilvl="0">
        <w:start w:val="1"/>
        <w:numFmt w:val="decimal"/>
        <w:pStyle w:val="berschrift1"/>
        <w:lvlText w:val="%1."/>
        <w:lvlJc w:val="left"/>
        <w:pPr>
          <w:tabs>
            <w:tab w:val="num" w:pos="709"/>
          </w:tabs>
          <w:ind w:left="709" w:hanging="709"/>
        </w:pPr>
        <w:rPr>
          <w:rFonts w:hint="default"/>
        </w:rPr>
      </w:lvl>
    </w:lvlOverride>
    <w:lvlOverride w:ilvl="1">
      <w:lvl w:ilvl="1">
        <w:start w:val="1"/>
        <w:numFmt w:val="decimal"/>
        <w:pStyle w:val="berschrift2"/>
        <w:lvlText w:val="%1.%2"/>
        <w:lvlJc w:val="left"/>
        <w:pPr>
          <w:tabs>
            <w:tab w:val="num" w:pos="709"/>
          </w:tabs>
          <w:ind w:left="709" w:hanging="709"/>
        </w:pPr>
        <w:rPr>
          <w:rFonts w:hint="default"/>
        </w:rPr>
      </w:lvl>
    </w:lvlOverride>
    <w:lvlOverride w:ilvl="2">
      <w:lvl w:ilvl="2">
        <w:start w:val="1"/>
        <w:numFmt w:val="decimal"/>
        <w:pStyle w:val="berschrift3"/>
        <w:lvlText w:val="%1.%2.%3"/>
        <w:lvlJc w:val="left"/>
        <w:pPr>
          <w:tabs>
            <w:tab w:val="num" w:pos="993"/>
          </w:tabs>
          <w:ind w:left="993" w:hanging="709"/>
        </w:pPr>
        <w:rPr>
          <w:rFonts w:hint="default"/>
        </w:rPr>
      </w:lvl>
    </w:lvlOverride>
    <w:lvlOverride w:ilvl="3">
      <w:lvl w:ilvl="3">
        <w:start w:val="1"/>
        <w:numFmt w:val="decimal"/>
        <w:pStyle w:val="berschrift4"/>
        <w:lvlText w:val="%1.%2.%3.%4"/>
        <w:lvlJc w:val="left"/>
        <w:pPr>
          <w:tabs>
            <w:tab w:val="num" w:pos="709"/>
          </w:tabs>
          <w:ind w:left="709" w:hanging="709"/>
        </w:pPr>
        <w:rPr>
          <w:rFonts w:hint="default"/>
        </w:rPr>
      </w:lvl>
    </w:lvlOverride>
    <w:lvlOverride w:ilvl="4">
      <w:lvl w:ilvl="4">
        <w:start w:val="1"/>
        <w:numFmt w:val="decimal"/>
        <w:pStyle w:val="berschrift5"/>
        <w:lvlText w:val="%1.%2.%3.%4.%5"/>
        <w:lvlJc w:val="left"/>
        <w:pPr>
          <w:tabs>
            <w:tab w:val="num" w:pos="709"/>
          </w:tabs>
          <w:ind w:left="709" w:hanging="709"/>
        </w:pPr>
        <w:rPr>
          <w:rFonts w:hint="default"/>
        </w:rPr>
      </w:lvl>
    </w:lvlOverride>
    <w:lvlOverride w:ilvl="5">
      <w:lvl w:ilvl="5">
        <w:start w:val="1"/>
        <w:numFmt w:val="decimal"/>
        <w:pStyle w:val="berschrift6"/>
        <w:lvlText w:val="%1.%2.%3.%4.%5.%6"/>
        <w:lvlJc w:val="left"/>
        <w:pPr>
          <w:tabs>
            <w:tab w:val="num" w:pos="709"/>
          </w:tabs>
          <w:ind w:left="709" w:hanging="709"/>
        </w:pPr>
        <w:rPr>
          <w:rFonts w:hint="default"/>
        </w:rPr>
      </w:lvl>
    </w:lvlOverride>
    <w:lvlOverride w:ilvl="6">
      <w:lvl w:ilvl="6">
        <w:start w:val="1"/>
        <w:numFmt w:val="decimal"/>
        <w:pStyle w:val="berschrift7"/>
        <w:lvlText w:val="%1.%2.%3.%4.%5.%6.%7"/>
        <w:lvlJc w:val="left"/>
        <w:pPr>
          <w:tabs>
            <w:tab w:val="num" w:pos="709"/>
          </w:tabs>
          <w:ind w:left="709" w:hanging="709"/>
        </w:pPr>
        <w:rPr>
          <w:rFonts w:hint="default"/>
        </w:rPr>
      </w:lvl>
    </w:lvlOverride>
    <w:lvlOverride w:ilvl="7">
      <w:lvl w:ilvl="7">
        <w:start w:val="1"/>
        <w:numFmt w:val="decimal"/>
        <w:pStyle w:val="berschrift8"/>
        <w:lvlText w:val="%1.%2.%3.%4.%5.%6.%7.%8"/>
        <w:lvlJc w:val="left"/>
        <w:pPr>
          <w:tabs>
            <w:tab w:val="num" w:pos="709"/>
          </w:tabs>
          <w:ind w:left="709" w:hanging="709"/>
        </w:pPr>
        <w:rPr>
          <w:rFonts w:hint="default"/>
        </w:rPr>
      </w:lvl>
    </w:lvlOverride>
    <w:lvlOverride w:ilvl="8">
      <w:lvl w:ilvl="8">
        <w:start w:val="1"/>
        <w:numFmt w:val="decimal"/>
        <w:pStyle w:val="berschrift9"/>
        <w:lvlText w:val="%1.%2.%3.%4.%5.%6.%7.%8.%9"/>
        <w:lvlJc w:val="left"/>
        <w:pPr>
          <w:tabs>
            <w:tab w:val="num" w:pos="709"/>
          </w:tabs>
          <w:ind w:left="709" w:hanging="709"/>
        </w:pPr>
        <w:rPr>
          <w:rFonts w:hint="default"/>
        </w:rPr>
      </w:lvl>
    </w:lvlOverride>
  </w:num>
  <w:num w:numId="103">
    <w:abstractNumId w:val="26"/>
    <w:lvlOverride w:ilvl="0">
      <w:lvl w:ilvl="0">
        <w:start w:val="1"/>
        <w:numFmt w:val="decimal"/>
        <w:pStyle w:val="berschrift1"/>
        <w:lvlText w:val="%1."/>
        <w:lvlJc w:val="left"/>
        <w:pPr>
          <w:tabs>
            <w:tab w:val="num" w:pos="709"/>
          </w:tabs>
          <w:ind w:left="709" w:hanging="709"/>
        </w:pPr>
        <w:rPr>
          <w:rFonts w:hint="default"/>
        </w:rPr>
      </w:lvl>
    </w:lvlOverride>
    <w:lvlOverride w:ilvl="1">
      <w:lvl w:ilvl="1">
        <w:start w:val="1"/>
        <w:numFmt w:val="decimal"/>
        <w:pStyle w:val="berschrift2"/>
        <w:lvlText w:val="%1.%2"/>
        <w:lvlJc w:val="left"/>
        <w:pPr>
          <w:tabs>
            <w:tab w:val="num" w:pos="709"/>
          </w:tabs>
          <w:ind w:left="709" w:hanging="709"/>
        </w:pPr>
        <w:rPr>
          <w:rFonts w:hint="default"/>
        </w:rPr>
      </w:lvl>
    </w:lvlOverride>
    <w:lvlOverride w:ilvl="2">
      <w:lvl w:ilvl="2">
        <w:start w:val="1"/>
        <w:numFmt w:val="decimal"/>
        <w:pStyle w:val="berschrift3"/>
        <w:lvlText w:val="%1.%2.%3"/>
        <w:lvlJc w:val="left"/>
        <w:pPr>
          <w:tabs>
            <w:tab w:val="num" w:pos="993"/>
          </w:tabs>
          <w:ind w:left="993" w:hanging="709"/>
        </w:pPr>
        <w:rPr>
          <w:rFonts w:hint="default"/>
        </w:rPr>
      </w:lvl>
    </w:lvlOverride>
    <w:lvlOverride w:ilvl="3">
      <w:lvl w:ilvl="3">
        <w:start w:val="1"/>
        <w:numFmt w:val="decimal"/>
        <w:pStyle w:val="berschrift4"/>
        <w:lvlText w:val="%1.%2.%3.%4"/>
        <w:lvlJc w:val="left"/>
        <w:pPr>
          <w:tabs>
            <w:tab w:val="num" w:pos="709"/>
          </w:tabs>
          <w:ind w:left="709" w:hanging="709"/>
        </w:pPr>
        <w:rPr>
          <w:rFonts w:hint="default"/>
        </w:rPr>
      </w:lvl>
    </w:lvlOverride>
    <w:lvlOverride w:ilvl="4">
      <w:lvl w:ilvl="4">
        <w:start w:val="1"/>
        <w:numFmt w:val="decimal"/>
        <w:pStyle w:val="berschrift5"/>
        <w:lvlText w:val="%1.%2.%3.%4.%5"/>
        <w:lvlJc w:val="left"/>
        <w:pPr>
          <w:tabs>
            <w:tab w:val="num" w:pos="709"/>
          </w:tabs>
          <w:ind w:left="709" w:hanging="709"/>
        </w:pPr>
        <w:rPr>
          <w:rFonts w:hint="default"/>
        </w:rPr>
      </w:lvl>
    </w:lvlOverride>
    <w:lvlOverride w:ilvl="5">
      <w:lvl w:ilvl="5">
        <w:start w:val="1"/>
        <w:numFmt w:val="decimal"/>
        <w:pStyle w:val="berschrift6"/>
        <w:lvlText w:val="%1.%2.%3.%4.%5.%6"/>
        <w:lvlJc w:val="left"/>
        <w:pPr>
          <w:tabs>
            <w:tab w:val="num" w:pos="709"/>
          </w:tabs>
          <w:ind w:left="709" w:hanging="709"/>
        </w:pPr>
        <w:rPr>
          <w:rFonts w:hint="default"/>
        </w:rPr>
      </w:lvl>
    </w:lvlOverride>
    <w:lvlOverride w:ilvl="6">
      <w:lvl w:ilvl="6">
        <w:start w:val="1"/>
        <w:numFmt w:val="decimal"/>
        <w:pStyle w:val="berschrift7"/>
        <w:lvlText w:val="%1.%2.%3.%4.%5.%6.%7"/>
        <w:lvlJc w:val="left"/>
        <w:pPr>
          <w:tabs>
            <w:tab w:val="num" w:pos="709"/>
          </w:tabs>
          <w:ind w:left="709" w:hanging="709"/>
        </w:pPr>
        <w:rPr>
          <w:rFonts w:hint="default"/>
        </w:rPr>
      </w:lvl>
    </w:lvlOverride>
    <w:lvlOverride w:ilvl="7">
      <w:lvl w:ilvl="7">
        <w:start w:val="1"/>
        <w:numFmt w:val="decimal"/>
        <w:pStyle w:val="berschrift8"/>
        <w:lvlText w:val="%1.%2.%3.%4.%5.%6.%7.%8"/>
        <w:lvlJc w:val="left"/>
        <w:pPr>
          <w:tabs>
            <w:tab w:val="num" w:pos="709"/>
          </w:tabs>
          <w:ind w:left="709" w:hanging="709"/>
        </w:pPr>
        <w:rPr>
          <w:rFonts w:hint="default"/>
        </w:rPr>
      </w:lvl>
    </w:lvlOverride>
    <w:lvlOverride w:ilvl="8">
      <w:lvl w:ilvl="8">
        <w:start w:val="1"/>
        <w:numFmt w:val="decimal"/>
        <w:pStyle w:val="berschrift9"/>
        <w:lvlText w:val="%1.%2.%3.%4.%5.%6.%7.%8.%9"/>
        <w:lvlJc w:val="left"/>
        <w:pPr>
          <w:tabs>
            <w:tab w:val="num" w:pos="709"/>
          </w:tabs>
          <w:ind w:left="709" w:hanging="709"/>
        </w:pPr>
        <w:rPr>
          <w:rFonts w:hint="default"/>
        </w:rPr>
      </w:lvl>
    </w:lvlOverride>
  </w:num>
  <w:num w:numId="104">
    <w:abstractNumId w:val="23"/>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9"/>
  <w:autoHyphenation/>
  <w:consecutiveHyphenLimit w:val="3"/>
  <w:hyphenationZone w:val="425"/>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F18"/>
    <w:rsid w:val="000009A3"/>
    <w:rsid w:val="00000BC0"/>
    <w:rsid w:val="00000FAB"/>
    <w:rsid w:val="00002FC5"/>
    <w:rsid w:val="00003944"/>
    <w:rsid w:val="00010AB2"/>
    <w:rsid w:val="00012393"/>
    <w:rsid w:val="0001676D"/>
    <w:rsid w:val="000204A4"/>
    <w:rsid w:val="00026968"/>
    <w:rsid w:val="00040310"/>
    <w:rsid w:val="00045D80"/>
    <w:rsid w:val="00051A5E"/>
    <w:rsid w:val="00055DF0"/>
    <w:rsid w:val="00077E9F"/>
    <w:rsid w:val="00081C46"/>
    <w:rsid w:val="00096148"/>
    <w:rsid w:val="00097DA0"/>
    <w:rsid w:val="000A2E5C"/>
    <w:rsid w:val="000B1990"/>
    <w:rsid w:val="000B1EF0"/>
    <w:rsid w:val="000B57CA"/>
    <w:rsid w:val="000B5902"/>
    <w:rsid w:val="000C2009"/>
    <w:rsid w:val="000C44A0"/>
    <w:rsid w:val="000C59D6"/>
    <w:rsid w:val="000C6A13"/>
    <w:rsid w:val="000C737C"/>
    <w:rsid w:val="000D08F1"/>
    <w:rsid w:val="000D178A"/>
    <w:rsid w:val="000E0074"/>
    <w:rsid w:val="000E21C8"/>
    <w:rsid w:val="000E77ED"/>
    <w:rsid w:val="0010363E"/>
    <w:rsid w:val="00132404"/>
    <w:rsid w:val="001350F6"/>
    <w:rsid w:val="001371CD"/>
    <w:rsid w:val="00140423"/>
    <w:rsid w:val="0014217A"/>
    <w:rsid w:val="001421E2"/>
    <w:rsid w:val="001457E5"/>
    <w:rsid w:val="00145ED4"/>
    <w:rsid w:val="00151CFC"/>
    <w:rsid w:val="00155409"/>
    <w:rsid w:val="00161371"/>
    <w:rsid w:val="001645A9"/>
    <w:rsid w:val="00165BA8"/>
    <w:rsid w:val="0016620F"/>
    <w:rsid w:val="00180CB0"/>
    <w:rsid w:val="001831BF"/>
    <w:rsid w:val="00183CB0"/>
    <w:rsid w:val="00186079"/>
    <w:rsid w:val="00192D42"/>
    <w:rsid w:val="001A0704"/>
    <w:rsid w:val="001A3116"/>
    <w:rsid w:val="001A5A3C"/>
    <w:rsid w:val="001A61A7"/>
    <w:rsid w:val="001B044A"/>
    <w:rsid w:val="001B5D96"/>
    <w:rsid w:val="001B70CD"/>
    <w:rsid w:val="001C6F12"/>
    <w:rsid w:val="001D2B3C"/>
    <w:rsid w:val="001D41B2"/>
    <w:rsid w:val="001D5CA2"/>
    <w:rsid w:val="001D7C5C"/>
    <w:rsid w:val="001E0630"/>
    <w:rsid w:val="001E1196"/>
    <w:rsid w:val="001E24DC"/>
    <w:rsid w:val="001F453B"/>
    <w:rsid w:val="001F474D"/>
    <w:rsid w:val="001F50B5"/>
    <w:rsid w:val="001F59B2"/>
    <w:rsid w:val="001F7F51"/>
    <w:rsid w:val="00202A92"/>
    <w:rsid w:val="00205318"/>
    <w:rsid w:val="00215E0A"/>
    <w:rsid w:val="002241BA"/>
    <w:rsid w:val="00231B76"/>
    <w:rsid w:val="00235F47"/>
    <w:rsid w:val="002409F2"/>
    <w:rsid w:val="00242D9A"/>
    <w:rsid w:val="00244581"/>
    <w:rsid w:val="00244DB4"/>
    <w:rsid w:val="002456B3"/>
    <w:rsid w:val="00247B5B"/>
    <w:rsid w:val="00262966"/>
    <w:rsid w:val="0026581C"/>
    <w:rsid w:val="00266E8C"/>
    <w:rsid w:val="00272C54"/>
    <w:rsid w:val="0027352C"/>
    <w:rsid w:val="00281638"/>
    <w:rsid w:val="00283DF4"/>
    <w:rsid w:val="002842AF"/>
    <w:rsid w:val="00290C79"/>
    <w:rsid w:val="00295500"/>
    <w:rsid w:val="002A63BB"/>
    <w:rsid w:val="002B2BE7"/>
    <w:rsid w:val="002C1ED0"/>
    <w:rsid w:val="002C37B3"/>
    <w:rsid w:val="002D095D"/>
    <w:rsid w:val="002D0B13"/>
    <w:rsid w:val="002D1ECC"/>
    <w:rsid w:val="002D368B"/>
    <w:rsid w:val="002D5E71"/>
    <w:rsid w:val="002E1949"/>
    <w:rsid w:val="002E232B"/>
    <w:rsid w:val="002E2390"/>
    <w:rsid w:val="002E556F"/>
    <w:rsid w:val="002F5188"/>
    <w:rsid w:val="002F7FDF"/>
    <w:rsid w:val="00301E2E"/>
    <w:rsid w:val="00302C1F"/>
    <w:rsid w:val="003049E2"/>
    <w:rsid w:val="00304A18"/>
    <w:rsid w:val="00323016"/>
    <w:rsid w:val="00323DB4"/>
    <w:rsid w:val="00331D6B"/>
    <w:rsid w:val="00342A3F"/>
    <w:rsid w:val="00355D59"/>
    <w:rsid w:val="003561FB"/>
    <w:rsid w:val="00357A46"/>
    <w:rsid w:val="003608F2"/>
    <w:rsid w:val="00365F3A"/>
    <w:rsid w:val="00370677"/>
    <w:rsid w:val="00371813"/>
    <w:rsid w:val="00372939"/>
    <w:rsid w:val="00373B94"/>
    <w:rsid w:val="00375B81"/>
    <w:rsid w:val="00376C31"/>
    <w:rsid w:val="00377272"/>
    <w:rsid w:val="00377429"/>
    <w:rsid w:val="00380655"/>
    <w:rsid w:val="00382F81"/>
    <w:rsid w:val="00383B8C"/>
    <w:rsid w:val="00383CAB"/>
    <w:rsid w:val="003942AC"/>
    <w:rsid w:val="00395058"/>
    <w:rsid w:val="003A57B6"/>
    <w:rsid w:val="003B2FE5"/>
    <w:rsid w:val="003B5B53"/>
    <w:rsid w:val="003C1070"/>
    <w:rsid w:val="003C1D23"/>
    <w:rsid w:val="003C3175"/>
    <w:rsid w:val="003C452C"/>
    <w:rsid w:val="003C504D"/>
    <w:rsid w:val="003C647F"/>
    <w:rsid w:val="003D1878"/>
    <w:rsid w:val="003D3F68"/>
    <w:rsid w:val="003D3FC0"/>
    <w:rsid w:val="003D4E8C"/>
    <w:rsid w:val="003D70AE"/>
    <w:rsid w:val="003F0226"/>
    <w:rsid w:val="003F57C2"/>
    <w:rsid w:val="00404382"/>
    <w:rsid w:val="004044F7"/>
    <w:rsid w:val="0040548E"/>
    <w:rsid w:val="00413D8C"/>
    <w:rsid w:val="004175B9"/>
    <w:rsid w:val="00435F5F"/>
    <w:rsid w:val="0044093F"/>
    <w:rsid w:val="00446E1D"/>
    <w:rsid w:val="00454B1C"/>
    <w:rsid w:val="00454C75"/>
    <w:rsid w:val="00457CFB"/>
    <w:rsid w:val="004643C7"/>
    <w:rsid w:val="00473306"/>
    <w:rsid w:val="00476F9D"/>
    <w:rsid w:val="00480C1C"/>
    <w:rsid w:val="00486E4E"/>
    <w:rsid w:val="004A2311"/>
    <w:rsid w:val="004A6CB2"/>
    <w:rsid w:val="004B12F7"/>
    <w:rsid w:val="004B20D8"/>
    <w:rsid w:val="004B7077"/>
    <w:rsid w:val="004B76A0"/>
    <w:rsid w:val="004C0AC9"/>
    <w:rsid w:val="004C331E"/>
    <w:rsid w:val="004D0230"/>
    <w:rsid w:val="004D3EDF"/>
    <w:rsid w:val="004E1429"/>
    <w:rsid w:val="004E14AA"/>
    <w:rsid w:val="004F08EC"/>
    <w:rsid w:val="004F2928"/>
    <w:rsid w:val="004F2B8C"/>
    <w:rsid w:val="004F47A3"/>
    <w:rsid w:val="005039A7"/>
    <w:rsid w:val="005072C2"/>
    <w:rsid w:val="00507827"/>
    <w:rsid w:val="00513248"/>
    <w:rsid w:val="00516F0B"/>
    <w:rsid w:val="00520FDB"/>
    <w:rsid w:val="00524CDF"/>
    <w:rsid w:val="00525065"/>
    <w:rsid w:val="0053760B"/>
    <w:rsid w:val="0054158E"/>
    <w:rsid w:val="00542CE0"/>
    <w:rsid w:val="00546F18"/>
    <w:rsid w:val="00550278"/>
    <w:rsid w:val="00552D6C"/>
    <w:rsid w:val="0055440E"/>
    <w:rsid w:val="005553C7"/>
    <w:rsid w:val="00564E66"/>
    <w:rsid w:val="00570262"/>
    <w:rsid w:val="00582229"/>
    <w:rsid w:val="005863A5"/>
    <w:rsid w:val="0059256F"/>
    <w:rsid w:val="00595E32"/>
    <w:rsid w:val="005A218D"/>
    <w:rsid w:val="005A3AF6"/>
    <w:rsid w:val="005B2040"/>
    <w:rsid w:val="005C0630"/>
    <w:rsid w:val="005C0C55"/>
    <w:rsid w:val="005C6461"/>
    <w:rsid w:val="005D28A4"/>
    <w:rsid w:val="005D5ABE"/>
    <w:rsid w:val="005E7897"/>
    <w:rsid w:val="005F0201"/>
    <w:rsid w:val="005F133B"/>
    <w:rsid w:val="005F654A"/>
    <w:rsid w:val="005F6D0D"/>
    <w:rsid w:val="00601A00"/>
    <w:rsid w:val="006042CD"/>
    <w:rsid w:val="00613263"/>
    <w:rsid w:val="006173D0"/>
    <w:rsid w:val="00624BD0"/>
    <w:rsid w:val="006371EC"/>
    <w:rsid w:val="006457E5"/>
    <w:rsid w:val="00645FBF"/>
    <w:rsid w:val="00647830"/>
    <w:rsid w:val="006542E0"/>
    <w:rsid w:val="00667211"/>
    <w:rsid w:val="00676E95"/>
    <w:rsid w:val="006816C4"/>
    <w:rsid w:val="006834D2"/>
    <w:rsid w:val="006872B1"/>
    <w:rsid w:val="006910A0"/>
    <w:rsid w:val="00693F7D"/>
    <w:rsid w:val="00695E9B"/>
    <w:rsid w:val="006A172C"/>
    <w:rsid w:val="006A6976"/>
    <w:rsid w:val="006A7719"/>
    <w:rsid w:val="006B45B5"/>
    <w:rsid w:val="006C02B4"/>
    <w:rsid w:val="006C18ED"/>
    <w:rsid w:val="006C4C99"/>
    <w:rsid w:val="006C53A6"/>
    <w:rsid w:val="006D12E2"/>
    <w:rsid w:val="006D16D9"/>
    <w:rsid w:val="006E0743"/>
    <w:rsid w:val="006E2D0B"/>
    <w:rsid w:val="006E2E89"/>
    <w:rsid w:val="006E37F1"/>
    <w:rsid w:val="006F6C90"/>
    <w:rsid w:val="00712A0B"/>
    <w:rsid w:val="0071324A"/>
    <w:rsid w:val="00714CF1"/>
    <w:rsid w:val="00717CFA"/>
    <w:rsid w:val="00723428"/>
    <w:rsid w:val="0072419F"/>
    <w:rsid w:val="007252E0"/>
    <w:rsid w:val="007302AF"/>
    <w:rsid w:val="00743EAA"/>
    <w:rsid w:val="00745A8F"/>
    <w:rsid w:val="007508D9"/>
    <w:rsid w:val="0075194A"/>
    <w:rsid w:val="0075264C"/>
    <w:rsid w:val="00761C81"/>
    <w:rsid w:val="00763EAD"/>
    <w:rsid w:val="007640DA"/>
    <w:rsid w:val="0077037A"/>
    <w:rsid w:val="00777E71"/>
    <w:rsid w:val="00780771"/>
    <w:rsid w:val="007831F5"/>
    <w:rsid w:val="00784E42"/>
    <w:rsid w:val="00785A01"/>
    <w:rsid w:val="0078754B"/>
    <w:rsid w:val="007910A8"/>
    <w:rsid w:val="0079364F"/>
    <w:rsid w:val="00793EA3"/>
    <w:rsid w:val="00797EDB"/>
    <w:rsid w:val="007A377F"/>
    <w:rsid w:val="007A68E8"/>
    <w:rsid w:val="007B0A21"/>
    <w:rsid w:val="007B4E65"/>
    <w:rsid w:val="007C3A06"/>
    <w:rsid w:val="007D111D"/>
    <w:rsid w:val="007D17DF"/>
    <w:rsid w:val="007D1A56"/>
    <w:rsid w:val="007D4A44"/>
    <w:rsid w:val="007E0E41"/>
    <w:rsid w:val="007F0595"/>
    <w:rsid w:val="007F3D19"/>
    <w:rsid w:val="007F5A48"/>
    <w:rsid w:val="008115AB"/>
    <w:rsid w:val="0082512E"/>
    <w:rsid w:val="0082551E"/>
    <w:rsid w:val="00825902"/>
    <w:rsid w:val="00830146"/>
    <w:rsid w:val="00833D67"/>
    <w:rsid w:val="00833FBF"/>
    <w:rsid w:val="008361D3"/>
    <w:rsid w:val="0083757B"/>
    <w:rsid w:val="00840CE4"/>
    <w:rsid w:val="00841027"/>
    <w:rsid w:val="0084242B"/>
    <w:rsid w:val="008448E7"/>
    <w:rsid w:val="008553FA"/>
    <w:rsid w:val="0086073A"/>
    <w:rsid w:val="008630D5"/>
    <w:rsid w:val="00863CCC"/>
    <w:rsid w:val="0087542E"/>
    <w:rsid w:val="00881F32"/>
    <w:rsid w:val="00883D4B"/>
    <w:rsid w:val="00884421"/>
    <w:rsid w:val="008914AD"/>
    <w:rsid w:val="008A184C"/>
    <w:rsid w:val="008B5D91"/>
    <w:rsid w:val="008C5289"/>
    <w:rsid w:val="008C56AE"/>
    <w:rsid w:val="008D0D4C"/>
    <w:rsid w:val="008D1FBF"/>
    <w:rsid w:val="008E6A77"/>
    <w:rsid w:val="00901B6C"/>
    <w:rsid w:val="00901BBF"/>
    <w:rsid w:val="009064F2"/>
    <w:rsid w:val="009141C2"/>
    <w:rsid w:val="009148C2"/>
    <w:rsid w:val="00932104"/>
    <w:rsid w:val="009332C5"/>
    <w:rsid w:val="009348A3"/>
    <w:rsid w:val="0094050E"/>
    <w:rsid w:val="0094351A"/>
    <w:rsid w:val="0094403D"/>
    <w:rsid w:val="00945AC1"/>
    <w:rsid w:val="009462BF"/>
    <w:rsid w:val="009533D0"/>
    <w:rsid w:val="009533E0"/>
    <w:rsid w:val="00974CCC"/>
    <w:rsid w:val="009770AA"/>
    <w:rsid w:val="00977387"/>
    <w:rsid w:val="00983C10"/>
    <w:rsid w:val="00987E14"/>
    <w:rsid w:val="00996123"/>
    <w:rsid w:val="00997BB1"/>
    <w:rsid w:val="009A6603"/>
    <w:rsid w:val="009B152B"/>
    <w:rsid w:val="009C5230"/>
    <w:rsid w:val="009C63C8"/>
    <w:rsid w:val="009D1FC6"/>
    <w:rsid w:val="009D6511"/>
    <w:rsid w:val="009E7B28"/>
    <w:rsid w:val="009F0371"/>
    <w:rsid w:val="009F2986"/>
    <w:rsid w:val="00A01CEC"/>
    <w:rsid w:val="00A02448"/>
    <w:rsid w:val="00A061AE"/>
    <w:rsid w:val="00A103AE"/>
    <w:rsid w:val="00A10E73"/>
    <w:rsid w:val="00A1140A"/>
    <w:rsid w:val="00A177C7"/>
    <w:rsid w:val="00A21E9E"/>
    <w:rsid w:val="00A26CD2"/>
    <w:rsid w:val="00A27AC0"/>
    <w:rsid w:val="00A323E2"/>
    <w:rsid w:val="00A34C8F"/>
    <w:rsid w:val="00A36FFE"/>
    <w:rsid w:val="00A45D2E"/>
    <w:rsid w:val="00A52364"/>
    <w:rsid w:val="00A57049"/>
    <w:rsid w:val="00A648B8"/>
    <w:rsid w:val="00A65E04"/>
    <w:rsid w:val="00A66CFC"/>
    <w:rsid w:val="00A80900"/>
    <w:rsid w:val="00A81E20"/>
    <w:rsid w:val="00A82A0C"/>
    <w:rsid w:val="00A85008"/>
    <w:rsid w:val="00A95E2E"/>
    <w:rsid w:val="00A964C7"/>
    <w:rsid w:val="00AA230E"/>
    <w:rsid w:val="00AA2722"/>
    <w:rsid w:val="00AA4612"/>
    <w:rsid w:val="00AA5AD4"/>
    <w:rsid w:val="00AB30E7"/>
    <w:rsid w:val="00AB4679"/>
    <w:rsid w:val="00AB59E6"/>
    <w:rsid w:val="00AC2E5B"/>
    <w:rsid w:val="00AE3DCA"/>
    <w:rsid w:val="00AE484E"/>
    <w:rsid w:val="00AE58AD"/>
    <w:rsid w:val="00AE7403"/>
    <w:rsid w:val="00AF1E67"/>
    <w:rsid w:val="00AF57FE"/>
    <w:rsid w:val="00B013DA"/>
    <w:rsid w:val="00B016C0"/>
    <w:rsid w:val="00B03500"/>
    <w:rsid w:val="00B0549D"/>
    <w:rsid w:val="00B115C4"/>
    <w:rsid w:val="00B1565D"/>
    <w:rsid w:val="00B173AA"/>
    <w:rsid w:val="00B17BB9"/>
    <w:rsid w:val="00B248A1"/>
    <w:rsid w:val="00B25FD6"/>
    <w:rsid w:val="00B310EF"/>
    <w:rsid w:val="00B3278B"/>
    <w:rsid w:val="00B35628"/>
    <w:rsid w:val="00B45E42"/>
    <w:rsid w:val="00B4799E"/>
    <w:rsid w:val="00B50735"/>
    <w:rsid w:val="00B50BAC"/>
    <w:rsid w:val="00B55645"/>
    <w:rsid w:val="00B57DA5"/>
    <w:rsid w:val="00B60E7F"/>
    <w:rsid w:val="00B6145F"/>
    <w:rsid w:val="00B61DCD"/>
    <w:rsid w:val="00B6261E"/>
    <w:rsid w:val="00B64147"/>
    <w:rsid w:val="00B644CC"/>
    <w:rsid w:val="00B66021"/>
    <w:rsid w:val="00B674EA"/>
    <w:rsid w:val="00B711CE"/>
    <w:rsid w:val="00B714E6"/>
    <w:rsid w:val="00B739A4"/>
    <w:rsid w:val="00B744A2"/>
    <w:rsid w:val="00B76708"/>
    <w:rsid w:val="00B815D3"/>
    <w:rsid w:val="00B921EF"/>
    <w:rsid w:val="00B9280B"/>
    <w:rsid w:val="00B93E34"/>
    <w:rsid w:val="00B978D6"/>
    <w:rsid w:val="00BA015E"/>
    <w:rsid w:val="00BA08F9"/>
    <w:rsid w:val="00BA219F"/>
    <w:rsid w:val="00BB0B9F"/>
    <w:rsid w:val="00BB3346"/>
    <w:rsid w:val="00BB631F"/>
    <w:rsid w:val="00BC26E3"/>
    <w:rsid w:val="00BC37CD"/>
    <w:rsid w:val="00BC4B70"/>
    <w:rsid w:val="00BC638B"/>
    <w:rsid w:val="00BC6F4F"/>
    <w:rsid w:val="00BD23DD"/>
    <w:rsid w:val="00BD2E47"/>
    <w:rsid w:val="00BD6F4E"/>
    <w:rsid w:val="00BD72FE"/>
    <w:rsid w:val="00BF14FF"/>
    <w:rsid w:val="00BF1C50"/>
    <w:rsid w:val="00BF352D"/>
    <w:rsid w:val="00BF3A3F"/>
    <w:rsid w:val="00BF478A"/>
    <w:rsid w:val="00C04D57"/>
    <w:rsid w:val="00C266ED"/>
    <w:rsid w:val="00C332B8"/>
    <w:rsid w:val="00C42395"/>
    <w:rsid w:val="00C4303A"/>
    <w:rsid w:val="00C507F4"/>
    <w:rsid w:val="00C537B7"/>
    <w:rsid w:val="00C547EF"/>
    <w:rsid w:val="00C64736"/>
    <w:rsid w:val="00C677A3"/>
    <w:rsid w:val="00C70959"/>
    <w:rsid w:val="00C72999"/>
    <w:rsid w:val="00C729BA"/>
    <w:rsid w:val="00C74685"/>
    <w:rsid w:val="00C80EE5"/>
    <w:rsid w:val="00C83EAD"/>
    <w:rsid w:val="00C845E8"/>
    <w:rsid w:val="00C85F5B"/>
    <w:rsid w:val="00C87CA2"/>
    <w:rsid w:val="00C87E7C"/>
    <w:rsid w:val="00C926FE"/>
    <w:rsid w:val="00C92DA7"/>
    <w:rsid w:val="00C95484"/>
    <w:rsid w:val="00C95506"/>
    <w:rsid w:val="00CA2D21"/>
    <w:rsid w:val="00CB6C77"/>
    <w:rsid w:val="00CC19AB"/>
    <w:rsid w:val="00CC2854"/>
    <w:rsid w:val="00CD25D2"/>
    <w:rsid w:val="00CE4BFD"/>
    <w:rsid w:val="00CF3984"/>
    <w:rsid w:val="00CF5AD9"/>
    <w:rsid w:val="00D205B0"/>
    <w:rsid w:val="00D26C53"/>
    <w:rsid w:val="00D32B71"/>
    <w:rsid w:val="00D34193"/>
    <w:rsid w:val="00D5176F"/>
    <w:rsid w:val="00D53D12"/>
    <w:rsid w:val="00D5446F"/>
    <w:rsid w:val="00D579AC"/>
    <w:rsid w:val="00D6202C"/>
    <w:rsid w:val="00D65EBB"/>
    <w:rsid w:val="00D73130"/>
    <w:rsid w:val="00D73EF3"/>
    <w:rsid w:val="00D85F0D"/>
    <w:rsid w:val="00DA32BA"/>
    <w:rsid w:val="00DA436F"/>
    <w:rsid w:val="00DA4FE6"/>
    <w:rsid w:val="00DA5E3C"/>
    <w:rsid w:val="00DA7436"/>
    <w:rsid w:val="00DC42E5"/>
    <w:rsid w:val="00DE00F3"/>
    <w:rsid w:val="00DE035E"/>
    <w:rsid w:val="00DE0CC4"/>
    <w:rsid w:val="00DE1145"/>
    <w:rsid w:val="00DE4A34"/>
    <w:rsid w:val="00DE69AA"/>
    <w:rsid w:val="00E00BB5"/>
    <w:rsid w:val="00E04259"/>
    <w:rsid w:val="00E05ED8"/>
    <w:rsid w:val="00E13166"/>
    <w:rsid w:val="00E205C2"/>
    <w:rsid w:val="00E21F02"/>
    <w:rsid w:val="00E26325"/>
    <w:rsid w:val="00E26474"/>
    <w:rsid w:val="00E2790A"/>
    <w:rsid w:val="00E43DB0"/>
    <w:rsid w:val="00E46767"/>
    <w:rsid w:val="00E473B8"/>
    <w:rsid w:val="00E5060E"/>
    <w:rsid w:val="00E56E7E"/>
    <w:rsid w:val="00E60868"/>
    <w:rsid w:val="00E619A2"/>
    <w:rsid w:val="00E636E2"/>
    <w:rsid w:val="00E645E6"/>
    <w:rsid w:val="00E72FE5"/>
    <w:rsid w:val="00E7339B"/>
    <w:rsid w:val="00E911C0"/>
    <w:rsid w:val="00E943E0"/>
    <w:rsid w:val="00E95A8F"/>
    <w:rsid w:val="00EA0FE0"/>
    <w:rsid w:val="00EA224E"/>
    <w:rsid w:val="00EA7BC9"/>
    <w:rsid w:val="00EB3979"/>
    <w:rsid w:val="00EB6BE4"/>
    <w:rsid w:val="00EC00A9"/>
    <w:rsid w:val="00EC0FFE"/>
    <w:rsid w:val="00ED44A6"/>
    <w:rsid w:val="00EF23B0"/>
    <w:rsid w:val="00EF27B7"/>
    <w:rsid w:val="00EF7E36"/>
    <w:rsid w:val="00F0086B"/>
    <w:rsid w:val="00F01479"/>
    <w:rsid w:val="00F03B32"/>
    <w:rsid w:val="00F0657C"/>
    <w:rsid w:val="00F1502F"/>
    <w:rsid w:val="00F24AA2"/>
    <w:rsid w:val="00F25174"/>
    <w:rsid w:val="00F31588"/>
    <w:rsid w:val="00F31ABF"/>
    <w:rsid w:val="00F32947"/>
    <w:rsid w:val="00F347EA"/>
    <w:rsid w:val="00F378C5"/>
    <w:rsid w:val="00F441C1"/>
    <w:rsid w:val="00F5154B"/>
    <w:rsid w:val="00F51BC7"/>
    <w:rsid w:val="00F51C5F"/>
    <w:rsid w:val="00F5509A"/>
    <w:rsid w:val="00F57224"/>
    <w:rsid w:val="00F627F8"/>
    <w:rsid w:val="00F6630D"/>
    <w:rsid w:val="00F67AC8"/>
    <w:rsid w:val="00F713AF"/>
    <w:rsid w:val="00F82E7E"/>
    <w:rsid w:val="00F94E93"/>
    <w:rsid w:val="00F96027"/>
    <w:rsid w:val="00F97F83"/>
    <w:rsid w:val="00FA1DC2"/>
    <w:rsid w:val="00FB599F"/>
    <w:rsid w:val="00FC1EDA"/>
    <w:rsid w:val="00FC2E63"/>
    <w:rsid w:val="00FC6490"/>
    <w:rsid w:val="00FD2840"/>
    <w:rsid w:val="00FD4FA7"/>
    <w:rsid w:val="00FD61BC"/>
    <w:rsid w:val="00FE204A"/>
    <w:rsid w:val="00FE20E1"/>
    <w:rsid w:val="00FF341B"/>
    <w:rsid w:val="00FF4F06"/>
    <w:rsid w:val="00FF65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4:docId w14:val="4C4C6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qFormat="1"/>
    <w:lsdException w:name="heading 6" w:semiHidden="1" w:uiPriority="0" w:qFormat="1"/>
    <w:lsdException w:name="heading 7" w:semiHidden="1" w:uiPriority="0" w:qFormat="1"/>
    <w:lsdException w:name="heading 8" w:semiHidden="1" w:uiPriority="0"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FMA_Standard (Alt + S)"/>
    <w:qFormat/>
    <w:rsid w:val="001D2B3C"/>
    <w:pPr>
      <w:spacing w:after="120"/>
      <w:jc w:val="both"/>
    </w:pPr>
    <w:rPr>
      <w:rFonts w:ascii="Arial" w:hAnsi="Arial"/>
      <w:sz w:val="20"/>
      <w:szCs w:val="20"/>
    </w:rPr>
  </w:style>
  <w:style w:type="paragraph" w:styleId="berschrift1">
    <w:name w:val="heading 1"/>
    <w:aliases w:val="FMA_Überschrift1 (Alt + 1),LLV_Überschrift1 (Alt + 1)"/>
    <w:basedOn w:val="Standard"/>
    <w:next w:val="Standard"/>
    <w:link w:val="berschrift1Zchn"/>
    <w:uiPriority w:val="9"/>
    <w:qFormat/>
    <w:rsid w:val="001D2B3C"/>
    <w:pPr>
      <w:keepNext/>
      <w:keepLines/>
      <w:numPr>
        <w:numId w:val="23"/>
      </w:numPr>
      <w:spacing w:before="240"/>
      <w:outlineLvl w:val="0"/>
    </w:pPr>
    <w:rPr>
      <w:rFonts w:eastAsiaTheme="majorEastAsia" w:cstheme="majorBidi"/>
      <w:b/>
      <w:bCs/>
      <w:szCs w:val="28"/>
    </w:rPr>
  </w:style>
  <w:style w:type="paragraph" w:styleId="berschrift2">
    <w:name w:val="heading 2"/>
    <w:aliases w:val="FMA_Überschrift2 (Alt + 2),LLV_Überschrift2 (Alt + 2)"/>
    <w:basedOn w:val="Standard"/>
    <w:next w:val="Standard"/>
    <w:link w:val="berschrift2Zchn"/>
    <w:unhideWhenUsed/>
    <w:qFormat/>
    <w:rsid w:val="001D2B3C"/>
    <w:pPr>
      <w:keepNext/>
      <w:keepLines/>
      <w:numPr>
        <w:ilvl w:val="1"/>
        <w:numId w:val="23"/>
      </w:numPr>
      <w:spacing w:before="240"/>
      <w:outlineLvl w:val="1"/>
    </w:pPr>
    <w:rPr>
      <w:rFonts w:eastAsiaTheme="majorEastAsia" w:cstheme="majorBidi"/>
      <w:b/>
      <w:bCs/>
      <w:szCs w:val="26"/>
    </w:rPr>
  </w:style>
  <w:style w:type="paragraph" w:styleId="berschrift3">
    <w:name w:val="heading 3"/>
    <w:aliases w:val="FMA_Überschrift3 (Alt + 3),LLV_Überschrift3 (Alt + 3)"/>
    <w:basedOn w:val="Standard"/>
    <w:next w:val="Standard"/>
    <w:link w:val="berschrift3Zchn"/>
    <w:uiPriority w:val="9"/>
    <w:unhideWhenUsed/>
    <w:qFormat/>
    <w:rsid w:val="001D2B3C"/>
    <w:pPr>
      <w:keepNext/>
      <w:keepLines/>
      <w:numPr>
        <w:ilvl w:val="2"/>
        <w:numId w:val="23"/>
      </w:numPr>
      <w:spacing w:before="240"/>
      <w:outlineLvl w:val="2"/>
    </w:pPr>
    <w:rPr>
      <w:rFonts w:eastAsiaTheme="majorEastAsia" w:cstheme="majorBidi"/>
      <w:b/>
      <w:bCs/>
    </w:rPr>
  </w:style>
  <w:style w:type="paragraph" w:styleId="berschrift4">
    <w:name w:val="heading 4"/>
    <w:aliases w:val="FMA_Überschrift4 (Alt + 4),LLV_Überschrift4"/>
    <w:basedOn w:val="Standard"/>
    <w:next w:val="Standard"/>
    <w:link w:val="berschrift4Zchn"/>
    <w:unhideWhenUsed/>
    <w:qFormat/>
    <w:rsid w:val="001D2B3C"/>
    <w:pPr>
      <w:keepNext/>
      <w:keepLines/>
      <w:numPr>
        <w:ilvl w:val="3"/>
        <w:numId w:val="23"/>
      </w:numPr>
      <w:spacing w:before="240"/>
      <w:outlineLvl w:val="3"/>
    </w:pPr>
    <w:rPr>
      <w:rFonts w:eastAsiaTheme="majorEastAsia" w:cstheme="majorBidi"/>
      <w:b/>
      <w:bCs/>
      <w:iCs/>
    </w:rPr>
  </w:style>
  <w:style w:type="paragraph" w:styleId="berschrift5">
    <w:name w:val="heading 5"/>
    <w:aliases w:val="FMA_Überschrift5 (Alt + 5),LLV_Überschrift5"/>
    <w:basedOn w:val="Standard"/>
    <w:next w:val="Standard"/>
    <w:link w:val="berschrift5Zchn"/>
    <w:uiPriority w:val="9"/>
    <w:qFormat/>
    <w:rsid w:val="001D2B3C"/>
    <w:pPr>
      <w:keepNext/>
      <w:keepLines/>
      <w:numPr>
        <w:ilvl w:val="4"/>
        <w:numId w:val="23"/>
      </w:numPr>
      <w:spacing w:before="240"/>
      <w:outlineLvl w:val="4"/>
    </w:pPr>
    <w:rPr>
      <w:rFonts w:eastAsiaTheme="majorEastAsia" w:cstheme="majorBidi"/>
      <w:b/>
    </w:rPr>
  </w:style>
  <w:style w:type="paragraph" w:styleId="berschrift6">
    <w:name w:val="heading 6"/>
    <w:aliases w:val="FMA_Überschrift6 (Alt + 6),LLV_Überschrift6"/>
    <w:basedOn w:val="Standard"/>
    <w:next w:val="Standard"/>
    <w:link w:val="berschrift6Zchn"/>
    <w:qFormat/>
    <w:rsid w:val="001D2B3C"/>
    <w:pPr>
      <w:keepNext/>
      <w:keepLines/>
      <w:numPr>
        <w:ilvl w:val="5"/>
        <w:numId w:val="23"/>
      </w:numPr>
      <w:spacing w:before="240"/>
      <w:outlineLvl w:val="5"/>
    </w:pPr>
    <w:rPr>
      <w:rFonts w:eastAsiaTheme="majorEastAsia" w:cstheme="majorBidi"/>
      <w:b/>
      <w:iCs/>
    </w:rPr>
  </w:style>
  <w:style w:type="paragraph" w:styleId="berschrift7">
    <w:name w:val="heading 7"/>
    <w:aliases w:val="FMA_Überschrift7 (Alt + 7),LLV_Überschrift7"/>
    <w:basedOn w:val="Standard"/>
    <w:next w:val="Standard"/>
    <w:link w:val="berschrift7Zchn"/>
    <w:qFormat/>
    <w:rsid w:val="001D2B3C"/>
    <w:pPr>
      <w:keepNext/>
      <w:keepLines/>
      <w:numPr>
        <w:ilvl w:val="6"/>
        <w:numId w:val="23"/>
      </w:numPr>
      <w:spacing w:before="240"/>
      <w:outlineLvl w:val="6"/>
    </w:pPr>
    <w:rPr>
      <w:rFonts w:eastAsiaTheme="majorEastAsia" w:cstheme="majorBidi"/>
      <w:b/>
      <w:iCs/>
    </w:rPr>
  </w:style>
  <w:style w:type="paragraph" w:styleId="berschrift8">
    <w:name w:val="heading 8"/>
    <w:aliases w:val="FMA_Überschrift8 (Alt + 8),LLV_Überschrift8"/>
    <w:basedOn w:val="Standard"/>
    <w:next w:val="Standard"/>
    <w:link w:val="berschrift8Zchn"/>
    <w:qFormat/>
    <w:rsid w:val="001D2B3C"/>
    <w:pPr>
      <w:keepNext/>
      <w:keepLines/>
      <w:numPr>
        <w:ilvl w:val="7"/>
        <w:numId w:val="23"/>
      </w:numPr>
      <w:spacing w:before="240"/>
      <w:outlineLvl w:val="7"/>
    </w:pPr>
    <w:rPr>
      <w:rFonts w:eastAsiaTheme="majorEastAsia" w:cstheme="majorBidi"/>
      <w:b/>
    </w:rPr>
  </w:style>
  <w:style w:type="paragraph" w:styleId="berschrift9">
    <w:name w:val="heading 9"/>
    <w:aliases w:val="FMA_Überschrift9 (Alt + 9),LLV_Überschrift9"/>
    <w:basedOn w:val="Standard"/>
    <w:next w:val="Standard"/>
    <w:link w:val="berschrift9Zchn"/>
    <w:uiPriority w:val="9"/>
    <w:qFormat/>
    <w:rsid w:val="001D2B3C"/>
    <w:pPr>
      <w:keepNext/>
      <w:keepLines/>
      <w:numPr>
        <w:ilvl w:val="8"/>
        <w:numId w:val="23"/>
      </w:numPr>
      <w:spacing w:before="240"/>
      <w:outlineLvl w:val="8"/>
    </w:pPr>
    <w:rPr>
      <w:rFonts w:eastAsiaTheme="majorEastAsia"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semiHidden/>
    <w:qFormat/>
    <w:rsid w:val="001D2B3C"/>
    <w:pPr>
      <w:spacing w:after="0" w:line="240" w:lineRule="auto"/>
    </w:pPr>
  </w:style>
  <w:style w:type="character" w:customStyle="1" w:styleId="berschrift9Zchn">
    <w:name w:val="Überschrift 9 Zchn"/>
    <w:aliases w:val="FMA_Überschrift9 (Alt + 9) Zchn,LLV_Überschrift9 Zchn"/>
    <w:basedOn w:val="Absatz-Standardschriftart"/>
    <w:link w:val="berschrift9"/>
    <w:uiPriority w:val="99"/>
    <w:semiHidden/>
    <w:rsid w:val="001D2B3C"/>
    <w:rPr>
      <w:rFonts w:ascii="Arial" w:eastAsiaTheme="majorEastAsia" w:hAnsi="Arial" w:cstheme="majorBidi"/>
      <w:b/>
      <w:iCs/>
      <w:sz w:val="20"/>
      <w:szCs w:val="20"/>
    </w:rPr>
  </w:style>
  <w:style w:type="character" w:customStyle="1" w:styleId="berschrift8Zchn">
    <w:name w:val="Überschrift 8 Zchn"/>
    <w:aliases w:val="FMA_Überschrift8 (Alt + 8) Zchn,LLV_Überschrift8 Zchn"/>
    <w:basedOn w:val="Absatz-Standardschriftart"/>
    <w:link w:val="berschrift8"/>
    <w:uiPriority w:val="99"/>
    <w:semiHidden/>
    <w:rsid w:val="001D2B3C"/>
    <w:rPr>
      <w:rFonts w:ascii="Arial" w:eastAsiaTheme="majorEastAsia" w:hAnsi="Arial" w:cstheme="majorBidi"/>
      <w:b/>
      <w:sz w:val="20"/>
      <w:szCs w:val="20"/>
    </w:rPr>
  </w:style>
  <w:style w:type="character" w:customStyle="1" w:styleId="berschrift7Zchn">
    <w:name w:val="Überschrift 7 Zchn"/>
    <w:aliases w:val="FMA_Überschrift7 (Alt + 7) Zchn,LLV_Überschrift7 Zchn"/>
    <w:basedOn w:val="Absatz-Standardschriftart"/>
    <w:link w:val="berschrift7"/>
    <w:uiPriority w:val="99"/>
    <w:semiHidden/>
    <w:rsid w:val="001D2B3C"/>
    <w:rPr>
      <w:rFonts w:ascii="Arial" w:eastAsiaTheme="majorEastAsia" w:hAnsi="Arial" w:cstheme="majorBidi"/>
      <w:b/>
      <w:iCs/>
      <w:sz w:val="20"/>
      <w:szCs w:val="20"/>
    </w:rPr>
  </w:style>
  <w:style w:type="character" w:customStyle="1" w:styleId="berschrift6Zchn">
    <w:name w:val="Überschrift 6 Zchn"/>
    <w:aliases w:val="FMA_Überschrift6 (Alt + 6) Zchn,LLV_Überschrift6 Zchn"/>
    <w:basedOn w:val="Absatz-Standardschriftart"/>
    <w:link w:val="berschrift6"/>
    <w:uiPriority w:val="99"/>
    <w:semiHidden/>
    <w:rsid w:val="001D2B3C"/>
    <w:rPr>
      <w:rFonts w:ascii="Arial" w:eastAsiaTheme="majorEastAsia" w:hAnsi="Arial" w:cstheme="majorBidi"/>
      <w:b/>
      <w:iCs/>
      <w:sz w:val="20"/>
      <w:szCs w:val="20"/>
    </w:rPr>
  </w:style>
  <w:style w:type="character" w:customStyle="1" w:styleId="berschrift5Zchn">
    <w:name w:val="Überschrift 5 Zchn"/>
    <w:aliases w:val="FMA_Überschrift5 (Alt + 5) Zchn,LLV_Überschrift5 Zchn"/>
    <w:basedOn w:val="Absatz-Standardschriftart"/>
    <w:link w:val="berschrift5"/>
    <w:uiPriority w:val="99"/>
    <w:semiHidden/>
    <w:rsid w:val="001D2B3C"/>
    <w:rPr>
      <w:rFonts w:ascii="Arial" w:eastAsiaTheme="majorEastAsia" w:hAnsi="Arial" w:cstheme="majorBidi"/>
      <w:b/>
      <w:sz w:val="20"/>
      <w:szCs w:val="20"/>
    </w:rPr>
  </w:style>
  <w:style w:type="paragraph" w:styleId="Verzeichnis9">
    <w:name w:val="toc 9"/>
    <w:aliases w:val="FMA_Verzeichnis9"/>
    <w:basedOn w:val="Standard"/>
    <w:next w:val="Standard"/>
    <w:uiPriority w:val="99"/>
    <w:semiHidden/>
    <w:rsid w:val="001D2B3C"/>
    <w:pPr>
      <w:tabs>
        <w:tab w:val="left" w:pos="1843"/>
        <w:tab w:val="right" w:leader="dot" w:pos="9062"/>
      </w:tabs>
      <w:spacing w:after="100"/>
      <w:ind w:left="1843" w:hanging="1843"/>
    </w:pPr>
  </w:style>
  <w:style w:type="paragraph" w:styleId="Verzeichnis8">
    <w:name w:val="toc 8"/>
    <w:aliases w:val="FMA_Verzeichnis8"/>
    <w:basedOn w:val="Standard"/>
    <w:next w:val="Standard"/>
    <w:uiPriority w:val="99"/>
    <w:semiHidden/>
    <w:rsid w:val="001D2B3C"/>
    <w:pPr>
      <w:tabs>
        <w:tab w:val="left" w:pos="1843"/>
        <w:tab w:val="right" w:leader="dot" w:pos="9062"/>
      </w:tabs>
      <w:spacing w:after="100"/>
      <w:ind w:left="1843" w:hanging="1843"/>
    </w:pPr>
  </w:style>
  <w:style w:type="paragraph" w:styleId="Verzeichnis7">
    <w:name w:val="toc 7"/>
    <w:aliases w:val="FMA_Verzeichnis7"/>
    <w:basedOn w:val="Standard"/>
    <w:next w:val="Standard"/>
    <w:uiPriority w:val="99"/>
    <w:semiHidden/>
    <w:rsid w:val="001D2B3C"/>
    <w:pPr>
      <w:tabs>
        <w:tab w:val="left" w:pos="1843"/>
        <w:tab w:val="right" w:leader="dot" w:pos="9062"/>
      </w:tabs>
      <w:spacing w:after="100"/>
      <w:ind w:left="1843" w:hanging="1843"/>
    </w:pPr>
  </w:style>
  <w:style w:type="paragraph" w:styleId="Verzeichnis6">
    <w:name w:val="toc 6"/>
    <w:aliases w:val="FMA_Verzeichnis6"/>
    <w:basedOn w:val="Standard"/>
    <w:next w:val="Standard"/>
    <w:uiPriority w:val="99"/>
    <w:semiHidden/>
    <w:rsid w:val="001D2B3C"/>
    <w:pPr>
      <w:tabs>
        <w:tab w:val="left" w:pos="1843"/>
        <w:tab w:val="right" w:leader="dot" w:pos="9062"/>
      </w:tabs>
      <w:spacing w:after="100"/>
      <w:ind w:left="1843" w:hanging="1843"/>
    </w:pPr>
  </w:style>
  <w:style w:type="paragraph" w:styleId="Verzeichnis5">
    <w:name w:val="toc 5"/>
    <w:aliases w:val="FMA_Verzeichnis5"/>
    <w:basedOn w:val="Standard"/>
    <w:next w:val="Standard"/>
    <w:uiPriority w:val="99"/>
    <w:semiHidden/>
    <w:rsid w:val="001D2B3C"/>
    <w:pPr>
      <w:tabs>
        <w:tab w:val="left" w:pos="1843"/>
        <w:tab w:val="right" w:leader="dot" w:pos="9062"/>
      </w:tabs>
      <w:spacing w:after="100"/>
      <w:ind w:left="1843" w:hanging="1843"/>
    </w:pPr>
  </w:style>
  <w:style w:type="paragraph" w:styleId="Untertitel">
    <w:name w:val="Subtitle"/>
    <w:basedOn w:val="Standard"/>
    <w:next w:val="Standard"/>
    <w:link w:val="UntertitelZchn"/>
    <w:uiPriority w:val="11"/>
    <w:semiHidden/>
    <w:qFormat/>
    <w:rsid w:val="001D2B3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1D2B3C"/>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semiHidden/>
    <w:qFormat/>
    <w:rsid w:val="001D2B3C"/>
    <w:rPr>
      <w:i/>
      <w:iCs/>
      <w:color w:val="808080" w:themeColor="text1" w:themeTint="7F"/>
    </w:rPr>
  </w:style>
  <w:style w:type="character" w:styleId="Hervorhebung">
    <w:name w:val="Emphasis"/>
    <w:basedOn w:val="Absatz-Standardschriftart"/>
    <w:uiPriority w:val="20"/>
    <w:semiHidden/>
    <w:qFormat/>
    <w:rsid w:val="001D2B3C"/>
    <w:rPr>
      <w:i/>
      <w:iCs/>
    </w:rPr>
  </w:style>
  <w:style w:type="character" w:styleId="IntensiveHervorhebung">
    <w:name w:val="Intense Emphasis"/>
    <w:basedOn w:val="Absatz-Standardschriftart"/>
    <w:uiPriority w:val="21"/>
    <w:semiHidden/>
    <w:qFormat/>
    <w:rsid w:val="001D2B3C"/>
    <w:rPr>
      <w:b/>
      <w:bCs/>
      <w:i/>
      <w:iCs/>
      <w:color w:val="4F81BD" w:themeColor="accent1"/>
    </w:rPr>
  </w:style>
  <w:style w:type="paragraph" w:styleId="Zitat">
    <w:name w:val="Quote"/>
    <w:basedOn w:val="Standard"/>
    <w:next w:val="Standard"/>
    <w:link w:val="ZitatZchn"/>
    <w:uiPriority w:val="29"/>
    <w:semiHidden/>
    <w:qFormat/>
    <w:rsid w:val="001D2B3C"/>
    <w:rPr>
      <w:i/>
      <w:iCs/>
      <w:color w:val="000000" w:themeColor="text1"/>
    </w:rPr>
  </w:style>
  <w:style w:type="character" w:customStyle="1" w:styleId="ZitatZchn">
    <w:name w:val="Zitat Zchn"/>
    <w:basedOn w:val="Absatz-Standardschriftart"/>
    <w:link w:val="Zitat"/>
    <w:uiPriority w:val="29"/>
    <w:rsid w:val="001D2B3C"/>
    <w:rPr>
      <w:i/>
      <w:iCs/>
      <w:color w:val="000000" w:themeColor="text1"/>
    </w:rPr>
  </w:style>
  <w:style w:type="paragraph" w:styleId="IntensivesZitat">
    <w:name w:val="Intense Quote"/>
    <w:basedOn w:val="Standard"/>
    <w:next w:val="Standard"/>
    <w:link w:val="IntensivesZitatZchn"/>
    <w:uiPriority w:val="30"/>
    <w:semiHidden/>
    <w:qFormat/>
    <w:rsid w:val="001D2B3C"/>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1D2B3C"/>
    <w:rPr>
      <w:b/>
      <w:bCs/>
      <w:i/>
      <w:iCs/>
      <w:color w:val="4F81BD" w:themeColor="accent1"/>
    </w:rPr>
  </w:style>
  <w:style w:type="character" w:styleId="SchwacherVerweis">
    <w:name w:val="Subtle Reference"/>
    <w:basedOn w:val="Absatz-Standardschriftart"/>
    <w:uiPriority w:val="31"/>
    <w:semiHidden/>
    <w:qFormat/>
    <w:rsid w:val="001D2B3C"/>
    <w:rPr>
      <w:smallCaps/>
      <w:color w:val="C0504D" w:themeColor="accent2"/>
      <w:u w:val="single"/>
    </w:rPr>
  </w:style>
  <w:style w:type="character" w:styleId="IntensiverVerweis">
    <w:name w:val="Intense Reference"/>
    <w:basedOn w:val="Absatz-Standardschriftart"/>
    <w:uiPriority w:val="32"/>
    <w:semiHidden/>
    <w:qFormat/>
    <w:rsid w:val="001D2B3C"/>
    <w:rPr>
      <w:b/>
      <w:bCs/>
      <w:smallCaps/>
      <w:color w:val="C0504D" w:themeColor="accent2"/>
      <w:spacing w:val="5"/>
      <w:u w:val="single"/>
    </w:rPr>
  </w:style>
  <w:style w:type="character" w:styleId="Buchtitel">
    <w:name w:val="Book Title"/>
    <w:basedOn w:val="Absatz-Standardschriftart"/>
    <w:uiPriority w:val="33"/>
    <w:semiHidden/>
    <w:qFormat/>
    <w:rsid w:val="001D2B3C"/>
    <w:rPr>
      <w:b/>
      <w:bCs/>
      <w:smallCaps/>
      <w:spacing w:val="5"/>
    </w:rPr>
  </w:style>
  <w:style w:type="paragraph" w:styleId="Listenabsatz">
    <w:name w:val="List Paragraph"/>
    <w:basedOn w:val="Standard"/>
    <w:uiPriority w:val="34"/>
    <w:qFormat/>
    <w:rsid w:val="001D2B3C"/>
    <w:pPr>
      <w:ind w:left="720"/>
      <w:contextualSpacing/>
    </w:pPr>
  </w:style>
  <w:style w:type="character" w:styleId="Fett">
    <w:name w:val="Strong"/>
    <w:basedOn w:val="Absatz-Standardschriftart"/>
    <w:uiPriority w:val="22"/>
    <w:semiHidden/>
    <w:qFormat/>
    <w:rsid w:val="001D2B3C"/>
    <w:rPr>
      <w:b/>
      <w:bCs/>
    </w:rPr>
  </w:style>
  <w:style w:type="numbering" w:customStyle="1" w:styleId="FMAListeAufzhlung">
    <w:name w:val="FMA_ListeAufzählung"/>
    <w:basedOn w:val="KeineListe"/>
    <w:uiPriority w:val="99"/>
    <w:rsid w:val="001D2B3C"/>
    <w:pPr>
      <w:numPr>
        <w:numId w:val="1"/>
      </w:numPr>
    </w:pPr>
  </w:style>
  <w:style w:type="numbering" w:customStyle="1" w:styleId="FMAListeEinzge">
    <w:name w:val="FMA_ListeEinzüge"/>
    <w:basedOn w:val="KeineListe"/>
    <w:uiPriority w:val="99"/>
    <w:rsid w:val="001D2B3C"/>
    <w:pPr>
      <w:numPr>
        <w:numId w:val="2"/>
      </w:numPr>
    </w:pPr>
  </w:style>
  <w:style w:type="numbering" w:customStyle="1" w:styleId="FMAListeNummerierung">
    <w:name w:val="FMA_ListeNummerierung"/>
    <w:basedOn w:val="KeineListe"/>
    <w:uiPriority w:val="99"/>
    <w:rsid w:val="001D2B3C"/>
    <w:pPr>
      <w:numPr>
        <w:numId w:val="3"/>
      </w:numPr>
    </w:pPr>
  </w:style>
  <w:style w:type="numbering" w:customStyle="1" w:styleId="FMAListeberschriften">
    <w:name w:val="FMA_ListeÜberschriften"/>
    <w:basedOn w:val="KeineListe"/>
    <w:uiPriority w:val="99"/>
    <w:rsid w:val="001D2B3C"/>
    <w:pPr>
      <w:numPr>
        <w:numId w:val="4"/>
      </w:numPr>
    </w:pPr>
  </w:style>
  <w:style w:type="paragraph" w:customStyle="1" w:styleId="FMAAufzhlung1AltA">
    <w:name w:val="FMA_Aufzählung1 (Alt + A)"/>
    <w:basedOn w:val="Standard"/>
    <w:uiPriority w:val="4"/>
    <w:qFormat/>
    <w:rsid w:val="001D2B3C"/>
    <w:pPr>
      <w:numPr>
        <w:numId w:val="6"/>
      </w:numPr>
    </w:pPr>
  </w:style>
  <w:style w:type="paragraph" w:customStyle="1" w:styleId="FMAAufzhlung2">
    <w:name w:val="FMA_Aufzählung2"/>
    <w:basedOn w:val="Standard"/>
    <w:uiPriority w:val="4"/>
    <w:qFormat/>
    <w:rsid w:val="001D2B3C"/>
    <w:pPr>
      <w:numPr>
        <w:ilvl w:val="1"/>
        <w:numId w:val="6"/>
      </w:numPr>
    </w:pPr>
  </w:style>
  <w:style w:type="paragraph" w:styleId="Funotentext">
    <w:name w:val="footnote text"/>
    <w:aliases w:val="FMA_Fußnotentext"/>
    <w:basedOn w:val="Standard"/>
    <w:link w:val="FunotentextZchn"/>
    <w:uiPriority w:val="99"/>
    <w:rsid w:val="001D2B3C"/>
    <w:pPr>
      <w:spacing w:after="0" w:line="240" w:lineRule="auto"/>
      <w:ind w:left="113" w:hanging="113"/>
    </w:pPr>
    <w:rPr>
      <w:sz w:val="16"/>
    </w:rPr>
  </w:style>
  <w:style w:type="character" w:customStyle="1" w:styleId="FunotentextZchn">
    <w:name w:val="Fußnotentext Zchn"/>
    <w:aliases w:val="FMA_Fußnotentext Zchn"/>
    <w:basedOn w:val="Absatz-Standardschriftart"/>
    <w:link w:val="Funotentext"/>
    <w:uiPriority w:val="99"/>
    <w:rsid w:val="001D2B3C"/>
    <w:rPr>
      <w:rFonts w:ascii="Arial" w:hAnsi="Arial"/>
      <w:sz w:val="16"/>
      <w:szCs w:val="20"/>
    </w:rPr>
  </w:style>
  <w:style w:type="paragraph" w:styleId="Fuzeile">
    <w:name w:val="footer"/>
    <w:aliases w:val="FMA_Fußzeile"/>
    <w:basedOn w:val="Standard"/>
    <w:link w:val="FuzeileZchn"/>
    <w:unhideWhenUsed/>
    <w:rsid w:val="001D2B3C"/>
    <w:pPr>
      <w:tabs>
        <w:tab w:val="center" w:pos="4536"/>
        <w:tab w:val="right" w:pos="9072"/>
      </w:tabs>
      <w:spacing w:after="0" w:line="160" w:lineRule="exact"/>
    </w:pPr>
    <w:rPr>
      <w:spacing w:val="8"/>
      <w:sz w:val="16"/>
    </w:rPr>
  </w:style>
  <w:style w:type="character" w:customStyle="1" w:styleId="FuzeileZchn">
    <w:name w:val="Fußzeile Zchn"/>
    <w:aliases w:val="FMA_Fußzeile Zchn"/>
    <w:basedOn w:val="Absatz-Standardschriftart"/>
    <w:link w:val="Fuzeile"/>
    <w:rsid w:val="001D2B3C"/>
    <w:rPr>
      <w:rFonts w:ascii="Arial" w:hAnsi="Arial"/>
      <w:spacing w:val="8"/>
      <w:sz w:val="16"/>
      <w:szCs w:val="20"/>
    </w:rPr>
  </w:style>
  <w:style w:type="paragraph" w:customStyle="1" w:styleId="FMAFuzeileAbsender">
    <w:name w:val="FMA_FußzeileAbsender"/>
    <w:basedOn w:val="Standard"/>
    <w:uiPriority w:val="99"/>
    <w:rsid w:val="001D2B3C"/>
    <w:pPr>
      <w:spacing w:after="0" w:line="160" w:lineRule="exact"/>
    </w:pPr>
    <w:rPr>
      <w:spacing w:val="8"/>
      <w:sz w:val="16"/>
      <w:szCs w:val="16"/>
    </w:rPr>
  </w:style>
  <w:style w:type="character" w:styleId="Hyperlink">
    <w:name w:val="Hyperlink"/>
    <w:aliases w:val="FMA_Hyperlink"/>
    <w:basedOn w:val="Absatz-Standardschriftart"/>
    <w:uiPriority w:val="99"/>
    <w:unhideWhenUsed/>
    <w:rsid w:val="001D2B3C"/>
    <w:rPr>
      <w:color w:val="auto"/>
      <w:u w:val="single"/>
      <w:lang w:val="de-CH"/>
    </w:rPr>
  </w:style>
  <w:style w:type="paragraph" w:styleId="Kopfzeile">
    <w:name w:val="header"/>
    <w:aliases w:val="FMA_Kopfzeile"/>
    <w:basedOn w:val="Standard"/>
    <w:link w:val="KopfzeileZchn"/>
    <w:uiPriority w:val="99"/>
    <w:unhideWhenUsed/>
    <w:rsid w:val="001D2B3C"/>
    <w:pPr>
      <w:tabs>
        <w:tab w:val="center" w:pos="4536"/>
        <w:tab w:val="right" w:pos="9072"/>
      </w:tabs>
    </w:pPr>
  </w:style>
  <w:style w:type="character" w:customStyle="1" w:styleId="KopfzeileZchn">
    <w:name w:val="Kopfzeile Zchn"/>
    <w:aliases w:val="FMA_Kopfzeile Zchn"/>
    <w:basedOn w:val="Absatz-Standardschriftart"/>
    <w:link w:val="Kopfzeile"/>
    <w:uiPriority w:val="99"/>
    <w:rsid w:val="001D2B3C"/>
    <w:rPr>
      <w:rFonts w:ascii="Arial" w:hAnsi="Arial"/>
      <w:sz w:val="20"/>
      <w:szCs w:val="20"/>
    </w:rPr>
  </w:style>
  <w:style w:type="paragraph" w:customStyle="1" w:styleId="FMANumAufz1FortsetzungAltF">
    <w:name w:val="FMA_NumAufz1Fortsetzung (Alt + F)"/>
    <w:basedOn w:val="Standard"/>
    <w:uiPriority w:val="99"/>
    <w:rsid w:val="001D2B3C"/>
    <w:pPr>
      <w:numPr>
        <w:numId w:val="10"/>
      </w:numPr>
    </w:pPr>
  </w:style>
  <w:style w:type="paragraph" w:customStyle="1" w:styleId="FMANumAufz2Fortsetzung">
    <w:name w:val="FMA_NumAufz2Fortsetzung"/>
    <w:basedOn w:val="Standard"/>
    <w:uiPriority w:val="99"/>
    <w:rsid w:val="001D2B3C"/>
    <w:pPr>
      <w:numPr>
        <w:ilvl w:val="1"/>
        <w:numId w:val="10"/>
      </w:numPr>
    </w:pPr>
  </w:style>
  <w:style w:type="paragraph" w:customStyle="1" w:styleId="FMANumAufz3Fortsetzung">
    <w:name w:val="FMA_NumAufz3Fortsetzung"/>
    <w:basedOn w:val="Standard"/>
    <w:uiPriority w:val="99"/>
    <w:rsid w:val="001D2B3C"/>
    <w:pPr>
      <w:numPr>
        <w:ilvl w:val="2"/>
        <w:numId w:val="10"/>
      </w:numPr>
    </w:pPr>
  </w:style>
  <w:style w:type="paragraph" w:customStyle="1" w:styleId="FMANumAufz4Fortsetzung">
    <w:name w:val="FMA_NumAufz4Fortsetzung"/>
    <w:basedOn w:val="Standard"/>
    <w:uiPriority w:val="99"/>
    <w:rsid w:val="001D2B3C"/>
    <w:pPr>
      <w:numPr>
        <w:ilvl w:val="3"/>
        <w:numId w:val="10"/>
      </w:numPr>
    </w:pPr>
  </w:style>
  <w:style w:type="paragraph" w:customStyle="1" w:styleId="FMANummerierung1AltN">
    <w:name w:val="FMA_Nummerierung1 (Alt + N)"/>
    <w:basedOn w:val="Standard"/>
    <w:uiPriority w:val="3"/>
    <w:qFormat/>
    <w:rsid w:val="001D2B3C"/>
    <w:pPr>
      <w:numPr>
        <w:ilvl w:val="1"/>
        <w:numId w:val="14"/>
      </w:numPr>
    </w:pPr>
  </w:style>
  <w:style w:type="paragraph" w:customStyle="1" w:styleId="FMANummerierung2">
    <w:name w:val="FMA_Nummerierung2"/>
    <w:basedOn w:val="Standard"/>
    <w:uiPriority w:val="3"/>
    <w:qFormat/>
    <w:rsid w:val="001D2B3C"/>
    <w:pPr>
      <w:numPr>
        <w:ilvl w:val="2"/>
        <w:numId w:val="14"/>
      </w:numPr>
    </w:pPr>
  </w:style>
  <w:style w:type="paragraph" w:customStyle="1" w:styleId="FMANummerierung3">
    <w:name w:val="FMA_Nummerierung3"/>
    <w:basedOn w:val="Standard"/>
    <w:uiPriority w:val="3"/>
    <w:qFormat/>
    <w:rsid w:val="001D2B3C"/>
    <w:pPr>
      <w:numPr>
        <w:ilvl w:val="3"/>
        <w:numId w:val="14"/>
      </w:numPr>
    </w:pPr>
  </w:style>
  <w:style w:type="paragraph" w:customStyle="1" w:styleId="FMANummerierung4">
    <w:name w:val="FMA_Nummerierung4"/>
    <w:basedOn w:val="Standard"/>
    <w:uiPriority w:val="3"/>
    <w:qFormat/>
    <w:rsid w:val="001D2B3C"/>
    <w:pPr>
      <w:numPr>
        <w:ilvl w:val="4"/>
        <w:numId w:val="14"/>
      </w:numPr>
    </w:pPr>
  </w:style>
  <w:style w:type="paragraph" w:styleId="Titel">
    <w:name w:val="Title"/>
    <w:aliases w:val="FMA_Titel (Alt + T)"/>
    <w:basedOn w:val="Standard"/>
    <w:next w:val="Standard"/>
    <w:link w:val="TitelZchn"/>
    <w:uiPriority w:val="1"/>
    <w:qFormat/>
    <w:rsid w:val="001D2B3C"/>
    <w:rPr>
      <w:b/>
      <w:sz w:val="24"/>
    </w:rPr>
  </w:style>
  <w:style w:type="character" w:customStyle="1" w:styleId="TitelZchn">
    <w:name w:val="Titel Zchn"/>
    <w:aliases w:val="FMA_Titel (Alt + T) Zchn"/>
    <w:basedOn w:val="Absatz-Standardschriftart"/>
    <w:link w:val="Titel"/>
    <w:uiPriority w:val="1"/>
    <w:rsid w:val="001D2B3C"/>
    <w:rPr>
      <w:rFonts w:ascii="Arial" w:hAnsi="Arial"/>
      <w:b/>
      <w:sz w:val="24"/>
      <w:szCs w:val="20"/>
    </w:rPr>
  </w:style>
  <w:style w:type="character" w:customStyle="1" w:styleId="berschrift1Zchn">
    <w:name w:val="Überschrift 1 Zchn"/>
    <w:aliases w:val="FMA_Überschrift1 (Alt + 1) Zchn,LLV_Überschrift1 (Alt + 1) Zchn"/>
    <w:basedOn w:val="Absatz-Standardschriftart"/>
    <w:link w:val="berschrift1"/>
    <w:uiPriority w:val="9"/>
    <w:rsid w:val="001D2B3C"/>
    <w:rPr>
      <w:rFonts w:ascii="Arial" w:eastAsiaTheme="majorEastAsia" w:hAnsi="Arial" w:cstheme="majorBidi"/>
      <w:b/>
      <w:bCs/>
      <w:sz w:val="20"/>
      <w:szCs w:val="28"/>
    </w:rPr>
  </w:style>
  <w:style w:type="character" w:customStyle="1" w:styleId="berschrift2Zchn">
    <w:name w:val="Überschrift 2 Zchn"/>
    <w:aliases w:val="FMA_Überschrift2 (Alt + 2) Zchn,LLV_Überschrift2 (Alt + 2) Zchn"/>
    <w:basedOn w:val="Absatz-Standardschriftart"/>
    <w:link w:val="berschrift2"/>
    <w:rsid w:val="001D2B3C"/>
    <w:rPr>
      <w:rFonts w:ascii="Arial" w:eastAsiaTheme="majorEastAsia" w:hAnsi="Arial" w:cstheme="majorBidi"/>
      <w:b/>
      <w:bCs/>
      <w:sz w:val="20"/>
      <w:szCs w:val="26"/>
    </w:rPr>
  </w:style>
  <w:style w:type="character" w:customStyle="1" w:styleId="berschrift3Zchn">
    <w:name w:val="Überschrift 3 Zchn"/>
    <w:aliases w:val="FMA_Überschrift3 (Alt + 3) Zchn,LLV_Überschrift3 (Alt + 3) Zchn"/>
    <w:basedOn w:val="Absatz-Standardschriftart"/>
    <w:link w:val="berschrift3"/>
    <w:uiPriority w:val="9"/>
    <w:rsid w:val="001D2B3C"/>
    <w:rPr>
      <w:rFonts w:ascii="Arial" w:eastAsiaTheme="majorEastAsia" w:hAnsi="Arial" w:cstheme="majorBidi"/>
      <w:b/>
      <w:bCs/>
      <w:sz w:val="20"/>
      <w:szCs w:val="20"/>
    </w:rPr>
  </w:style>
  <w:style w:type="character" w:customStyle="1" w:styleId="berschrift4Zchn">
    <w:name w:val="Überschrift 4 Zchn"/>
    <w:aliases w:val="FMA_Überschrift4 (Alt + 4) Zchn,LLV_Überschrift4 Zchn"/>
    <w:basedOn w:val="Absatz-Standardschriftart"/>
    <w:link w:val="berschrift4"/>
    <w:uiPriority w:val="2"/>
    <w:rsid w:val="001D2B3C"/>
    <w:rPr>
      <w:rFonts w:ascii="Arial" w:eastAsiaTheme="majorEastAsia" w:hAnsi="Arial" w:cstheme="majorBidi"/>
      <w:b/>
      <w:bCs/>
      <w:iCs/>
      <w:sz w:val="20"/>
      <w:szCs w:val="20"/>
    </w:rPr>
  </w:style>
  <w:style w:type="paragraph" w:customStyle="1" w:styleId="FMAberschriftOhneNumInsInhaltsverzeichnis">
    <w:name w:val="FMA_ÜberschriftOhneNumInsInhaltsverzeichnis"/>
    <w:basedOn w:val="Standard"/>
    <w:next w:val="Standard"/>
    <w:uiPriority w:val="99"/>
    <w:rsid w:val="001D2B3C"/>
    <w:pPr>
      <w:spacing w:before="240"/>
      <w:outlineLvl w:val="0"/>
    </w:pPr>
    <w:rPr>
      <w:b/>
    </w:rPr>
  </w:style>
  <w:style w:type="paragraph" w:styleId="Verzeichnis1">
    <w:name w:val="toc 1"/>
    <w:aliases w:val="FMA_Verzeichnis1"/>
    <w:basedOn w:val="Standard"/>
    <w:next w:val="Standard"/>
    <w:uiPriority w:val="39"/>
    <w:unhideWhenUsed/>
    <w:qFormat/>
    <w:rsid w:val="001D2B3C"/>
    <w:pPr>
      <w:tabs>
        <w:tab w:val="left" w:pos="851"/>
        <w:tab w:val="right" w:leader="dot" w:pos="9062"/>
      </w:tabs>
      <w:spacing w:after="100"/>
      <w:ind w:left="851" w:hanging="851"/>
    </w:pPr>
  </w:style>
  <w:style w:type="paragraph" w:styleId="Verzeichnis2">
    <w:name w:val="toc 2"/>
    <w:aliases w:val="FMA_Verzeichnis2"/>
    <w:basedOn w:val="Standard"/>
    <w:next w:val="Standard"/>
    <w:uiPriority w:val="39"/>
    <w:unhideWhenUsed/>
    <w:qFormat/>
    <w:rsid w:val="001D2B3C"/>
    <w:pPr>
      <w:tabs>
        <w:tab w:val="left" w:pos="851"/>
        <w:tab w:val="right" w:leader="dot" w:pos="9062"/>
      </w:tabs>
      <w:spacing w:after="100"/>
      <w:ind w:left="851" w:hanging="851"/>
    </w:pPr>
  </w:style>
  <w:style w:type="paragraph" w:styleId="Verzeichnis3">
    <w:name w:val="toc 3"/>
    <w:aliases w:val="FMA_Verzeichnis3"/>
    <w:basedOn w:val="Standard"/>
    <w:next w:val="Standard"/>
    <w:uiPriority w:val="39"/>
    <w:unhideWhenUsed/>
    <w:qFormat/>
    <w:rsid w:val="001D2B3C"/>
    <w:pPr>
      <w:tabs>
        <w:tab w:val="left" w:pos="851"/>
        <w:tab w:val="right" w:leader="dot" w:pos="9062"/>
      </w:tabs>
      <w:spacing w:after="100"/>
      <w:ind w:left="851" w:hanging="851"/>
    </w:pPr>
  </w:style>
  <w:style w:type="paragraph" w:styleId="Verzeichnis4">
    <w:name w:val="toc 4"/>
    <w:aliases w:val="FMA_Verzeichnis4"/>
    <w:basedOn w:val="Standard"/>
    <w:next w:val="Standard"/>
    <w:uiPriority w:val="99"/>
    <w:unhideWhenUsed/>
    <w:rsid w:val="001D2B3C"/>
    <w:pPr>
      <w:tabs>
        <w:tab w:val="left" w:pos="851"/>
        <w:tab w:val="right" w:leader="dot" w:pos="9062"/>
      </w:tabs>
      <w:spacing w:after="100"/>
      <w:ind w:left="851" w:hanging="851"/>
    </w:pPr>
  </w:style>
  <w:style w:type="paragraph" w:customStyle="1" w:styleId="FMAberschriftOhneNummerAltZ">
    <w:name w:val="FMA_ÜberschriftOhneNummer (Alt + Z)"/>
    <w:basedOn w:val="Standard"/>
    <w:next w:val="Standard"/>
    <w:uiPriority w:val="99"/>
    <w:rsid w:val="001D2B3C"/>
    <w:pPr>
      <w:spacing w:before="240"/>
    </w:pPr>
    <w:rPr>
      <w:b/>
    </w:rPr>
  </w:style>
  <w:style w:type="paragraph" w:customStyle="1" w:styleId="FormatvorlageLinks0cm">
    <w:name w:val="Formatvorlage Links:  0 cm"/>
    <w:basedOn w:val="Standard"/>
    <w:autoRedefine/>
    <w:rsid w:val="004E14AA"/>
    <w:pPr>
      <w:spacing w:line="240" w:lineRule="auto"/>
    </w:pPr>
    <w:rPr>
      <w:rFonts w:eastAsia="Times New Roman" w:cs="Arial"/>
      <w:color w:val="000000"/>
      <w:lang w:val="de-LI" w:eastAsia="fr-FR"/>
    </w:rPr>
  </w:style>
  <w:style w:type="paragraph" w:customStyle="1" w:styleId="FormatvorlageBeschriftungVor0pt">
    <w:name w:val="Formatvorlage Beschriftung + Vor:  0 pt"/>
    <w:basedOn w:val="Beschriftung"/>
    <w:autoRedefine/>
    <w:rsid w:val="00546F18"/>
    <w:pPr>
      <w:spacing w:beforeAutospacing="1" w:after="120"/>
      <w:jc w:val="left"/>
    </w:pPr>
    <w:rPr>
      <w:rFonts w:eastAsia="Times New Roman" w:cs="Times New Roman"/>
      <w:b w:val="0"/>
      <w:bCs w:val="0"/>
      <w:color w:val="000000"/>
      <w:sz w:val="22"/>
      <w:szCs w:val="22"/>
      <w:lang w:val="de-LI" w:eastAsia="fr-FR"/>
    </w:rPr>
  </w:style>
  <w:style w:type="paragraph" w:styleId="Beschriftung">
    <w:name w:val="caption"/>
    <w:basedOn w:val="Standard"/>
    <w:next w:val="Standard"/>
    <w:uiPriority w:val="35"/>
    <w:semiHidden/>
    <w:unhideWhenUsed/>
    <w:qFormat/>
    <w:rsid w:val="00546F18"/>
    <w:pPr>
      <w:spacing w:after="200" w:line="240" w:lineRule="auto"/>
    </w:pPr>
    <w:rPr>
      <w:b/>
      <w:bCs/>
      <w:color w:val="4F81BD" w:themeColor="accent1"/>
      <w:sz w:val="18"/>
      <w:szCs w:val="18"/>
    </w:rPr>
  </w:style>
  <w:style w:type="paragraph" w:customStyle="1" w:styleId="Default">
    <w:name w:val="Default"/>
    <w:rsid w:val="00FD2840"/>
    <w:pPr>
      <w:autoSpaceDE w:val="0"/>
      <w:autoSpaceDN w:val="0"/>
      <w:adjustRightInd w:val="0"/>
      <w:spacing w:after="0" w:line="240" w:lineRule="auto"/>
    </w:pPr>
    <w:rPr>
      <w:rFonts w:ascii="Times New Roman" w:eastAsia="Times New Roman" w:hAnsi="Times New Roman" w:cs="Times New Roman"/>
      <w:color w:val="000000"/>
      <w:sz w:val="24"/>
      <w:szCs w:val="24"/>
      <w:lang w:eastAsia="de-CH"/>
    </w:rPr>
  </w:style>
  <w:style w:type="numbering" w:styleId="111111">
    <w:name w:val="Outline List 2"/>
    <w:basedOn w:val="KeineListe"/>
    <w:rsid w:val="00383CAB"/>
    <w:pPr>
      <w:numPr>
        <w:numId w:val="27"/>
      </w:numPr>
    </w:pPr>
  </w:style>
  <w:style w:type="paragraph" w:styleId="Sprechblasentext">
    <w:name w:val="Balloon Text"/>
    <w:basedOn w:val="Standard"/>
    <w:link w:val="SprechblasentextZchn"/>
    <w:uiPriority w:val="99"/>
    <w:semiHidden/>
    <w:unhideWhenUsed/>
    <w:rsid w:val="00B6261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261E"/>
    <w:rPr>
      <w:rFonts w:ascii="Tahoma" w:hAnsi="Tahoma" w:cs="Tahoma"/>
      <w:sz w:val="16"/>
      <w:szCs w:val="16"/>
    </w:rPr>
  </w:style>
  <w:style w:type="paragraph" w:styleId="berarbeitung">
    <w:name w:val="Revision"/>
    <w:hidden/>
    <w:uiPriority w:val="99"/>
    <w:semiHidden/>
    <w:rsid w:val="00486E4E"/>
    <w:pPr>
      <w:spacing w:after="0" w:line="240" w:lineRule="auto"/>
    </w:pPr>
    <w:rPr>
      <w:rFonts w:ascii="Arial" w:hAnsi="Arial"/>
      <w:sz w:val="20"/>
      <w:szCs w:val="20"/>
    </w:rPr>
  </w:style>
  <w:style w:type="character" w:styleId="Kommentarzeichen">
    <w:name w:val="annotation reference"/>
    <w:basedOn w:val="Absatz-Standardschriftart"/>
    <w:uiPriority w:val="99"/>
    <w:semiHidden/>
    <w:unhideWhenUsed/>
    <w:rsid w:val="005D28A4"/>
    <w:rPr>
      <w:sz w:val="16"/>
      <w:szCs w:val="16"/>
    </w:rPr>
  </w:style>
  <w:style w:type="paragraph" w:styleId="Kommentartext">
    <w:name w:val="annotation text"/>
    <w:basedOn w:val="Standard"/>
    <w:link w:val="KommentartextZchn"/>
    <w:unhideWhenUsed/>
    <w:rsid w:val="005D28A4"/>
    <w:pPr>
      <w:spacing w:line="240" w:lineRule="auto"/>
    </w:pPr>
  </w:style>
  <w:style w:type="character" w:customStyle="1" w:styleId="KommentartextZchn">
    <w:name w:val="Kommentartext Zchn"/>
    <w:basedOn w:val="Absatz-Standardschriftart"/>
    <w:link w:val="Kommentartext"/>
    <w:rsid w:val="005D28A4"/>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5D28A4"/>
    <w:rPr>
      <w:b/>
      <w:bCs/>
    </w:rPr>
  </w:style>
  <w:style w:type="character" w:customStyle="1" w:styleId="KommentarthemaZchn">
    <w:name w:val="Kommentarthema Zchn"/>
    <w:basedOn w:val="KommentartextZchn"/>
    <w:link w:val="Kommentarthema"/>
    <w:uiPriority w:val="99"/>
    <w:semiHidden/>
    <w:rsid w:val="005D28A4"/>
    <w:rPr>
      <w:rFonts w:ascii="Arial" w:hAnsi="Arial"/>
      <w:b/>
      <w:bCs/>
      <w:sz w:val="20"/>
      <w:szCs w:val="20"/>
    </w:rPr>
  </w:style>
  <w:style w:type="paragraph" w:styleId="Textkrper">
    <w:name w:val="Body Text"/>
    <w:basedOn w:val="Standard"/>
    <w:link w:val="TextkrperZchn"/>
    <w:uiPriority w:val="99"/>
    <w:unhideWhenUsed/>
    <w:rsid w:val="006C4C99"/>
    <w:pPr>
      <w:spacing w:after="280" w:line="280" w:lineRule="atLeast"/>
    </w:pPr>
    <w:rPr>
      <w:rFonts w:cs="Arial"/>
      <w:sz w:val="24"/>
      <w:szCs w:val="24"/>
      <w:lang w:val="de-DE"/>
    </w:rPr>
  </w:style>
  <w:style w:type="character" w:customStyle="1" w:styleId="TextkrperZchn">
    <w:name w:val="Textkörper Zchn"/>
    <w:basedOn w:val="Absatz-Standardschriftart"/>
    <w:link w:val="Textkrper"/>
    <w:uiPriority w:val="99"/>
    <w:rsid w:val="006C4C99"/>
    <w:rPr>
      <w:rFonts w:ascii="Arial" w:hAnsi="Arial" w:cs="Arial"/>
      <w:sz w:val="24"/>
      <w:szCs w:val="24"/>
      <w:lang w:val="de-DE"/>
    </w:rPr>
  </w:style>
  <w:style w:type="numbering" w:customStyle="1" w:styleId="LLVAufzhlung">
    <w:name w:val="LLV_Aufzählung"/>
    <w:basedOn w:val="KeineListe"/>
    <w:uiPriority w:val="99"/>
    <w:rsid w:val="00D205B0"/>
    <w:pPr>
      <w:numPr>
        <w:numId w:val="33"/>
      </w:numPr>
    </w:pPr>
  </w:style>
  <w:style w:type="paragraph" w:customStyle="1" w:styleId="LLVAufzhlung1AltA">
    <w:name w:val="LLV_Aufzählung1 (Alt + A)"/>
    <w:basedOn w:val="Standard"/>
    <w:next w:val="Standard"/>
    <w:link w:val="LLVAufzhlung1AltAZchn"/>
    <w:qFormat/>
    <w:rsid w:val="00D205B0"/>
    <w:pPr>
      <w:numPr>
        <w:numId w:val="33"/>
      </w:numPr>
      <w:spacing w:after="140" w:line="280" w:lineRule="atLeast"/>
      <w:jc w:val="left"/>
    </w:pPr>
    <w:rPr>
      <w:sz w:val="24"/>
      <w:szCs w:val="24"/>
      <w:lang w:val="de-DE"/>
    </w:rPr>
  </w:style>
  <w:style w:type="character" w:customStyle="1" w:styleId="LLVAufzhlung1AltAZchn">
    <w:name w:val="LLV_Aufzählung1 (Alt + A) Zchn"/>
    <w:basedOn w:val="Absatz-Standardschriftart"/>
    <w:link w:val="LLVAufzhlung1AltA"/>
    <w:rsid w:val="00D205B0"/>
    <w:rPr>
      <w:rFonts w:ascii="Arial" w:hAnsi="Arial"/>
      <w:sz w:val="24"/>
      <w:szCs w:val="24"/>
      <w:lang w:val="de-DE"/>
    </w:rPr>
  </w:style>
  <w:style w:type="paragraph" w:customStyle="1" w:styleId="LLVAufzhlung2">
    <w:name w:val="LLV_Aufzählung2"/>
    <w:basedOn w:val="Standard"/>
    <w:next w:val="Standard"/>
    <w:rsid w:val="00D205B0"/>
    <w:pPr>
      <w:numPr>
        <w:ilvl w:val="1"/>
        <w:numId w:val="33"/>
      </w:numPr>
      <w:spacing w:after="140" w:line="280" w:lineRule="atLeast"/>
      <w:jc w:val="left"/>
    </w:pPr>
    <w:rPr>
      <w:sz w:val="24"/>
      <w:szCs w:val="24"/>
      <w:lang w:val="de-DE"/>
    </w:rPr>
  </w:style>
  <w:style w:type="paragraph" w:customStyle="1" w:styleId="LLVAufzhlung3">
    <w:name w:val="LLV_Aufzählung3"/>
    <w:basedOn w:val="Standard"/>
    <w:next w:val="Standard"/>
    <w:rsid w:val="00D205B0"/>
    <w:pPr>
      <w:numPr>
        <w:ilvl w:val="2"/>
        <w:numId w:val="33"/>
      </w:numPr>
      <w:spacing w:after="140" w:line="280" w:lineRule="atLeast"/>
      <w:jc w:val="left"/>
    </w:pPr>
    <w:rPr>
      <w:sz w:val="24"/>
      <w:szCs w:val="24"/>
      <w:lang w:val="de-DE"/>
    </w:rPr>
  </w:style>
  <w:style w:type="paragraph" w:customStyle="1" w:styleId="LLVAufzhlung4">
    <w:name w:val="LLV_Aufzählung4"/>
    <w:basedOn w:val="Standard"/>
    <w:next w:val="Standard"/>
    <w:rsid w:val="00D205B0"/>
    <w:pPr>
      <w:numPr>
        <w:ilvl w:val="3"/>
        <w:numId w:val="33"/>
      </w:numPr>
      <w:spacing w:after="140" w:line="280" w:lineRule="atLeast"/>
      <w:jc w:val="left"/>
    </w:pPr>
    <w:rPr>
      <w:sz w:val="24"/>
      <w:szCs w:val="24"/>
      <w:lang w:val="de-DE"/>
    </w:rPr>
  </w:style>
  <w:style w:type="paragraph" w:styleId="Textkrper2">
    <w:name w:val="Body Text 2"/>
    <w:basedOn w:val="Standard"/>
    <w:link w:val="Textkrper2Zchn"/>
    <w:uiPriority w:val="99"/>
    <w:unhideWhenUsed/>
    <w:rsid w:val="0086073A"/>
    <w:pPr>
      <w:spacing w:line="480" w:lineRule="auto"/>
    </w:pPr>
  </w:style>
  <w:style w:type="character" w:customStyle="1" w:styleId="Textkrper2Zchn">
    <w:name w:val="Textkörper 2 Zchn"/>
    <w:basedOn w:val="Absatz-Standardschriftart"/>
    <w:link w:val="Textkrper2"/>
    <w:uiPriority w:val="99"/>
    <w:rsid w:val="0086073A"/>
    <w:rPr>
      <w:rFonts w:ascii="Arial" w:hAnsi="Arial"/>
      <w:sz w:val="20"/>
      <w:szCs w:val="20"/>
    </w:rPr>
  </w:style>
  <w:style w:type="paragraph" w:customStyle="1" w:styleId="FormatvorlageFormatvorlageberschrift7KursivTimesNewRomanNichtKu">
    <w:name w:val="Formatvorlage Formatvorlage Überschrift 7 Kursiv + Times New Roman Nicht Ku..."/>
    <w:basedOn w:val="Standard"/>
    <w:link w:val="FormatvorlageFormatvorlageberschrift7KursivTimesNewRomanNichtKuChar"/>
    <w:autoRedefine/>
    <w:rsid w:val="009462BF"/>
    <w:pPr>
      <w:tabs>
        <w:tab w:val="num" w:pos="709"/>
      </w:tabs>
      <w:spacing w:before="240" w:after="60" w:line="240" w:lineRule="auto"/>
      <w:ind w:left="709" w:hanging="709"/>
      <w:jc w:val="left"/>
      <w:outlineLvl w:val="6"/>
    </w:pPr>
    <w:rPr>
      <w:rFonts w:eastAsia="Times New Roman" w:cs="Arial"/>
      <w:i/>
      <w:lang w:val="de-LI" w:eastAsia="fr-FR"/>
    </w:rPr>
  </w:style>
  <w:style w:type="character" w:customStyle="1" w:styleId="FormatvorlageFormatvorlageberschrift7KursivTimesNewRomanNichtKuChar">
    <w:name w:val="Formatvorlage Formatvorlage Überschrift 7 Kursiv + Times New Roman Nicht Ku... Char"/>
    <w:link w:val="FormatvorlageFormatvorlageberschrift7KursivTimesNewRomanNichtKu"/>
    <w:rsid w:val="009462BF"/>
    <w:rPr>
      <w:rFonts w:ascii="Arial" w:eastAsia="Times New Roman" w:hAnsi="Arial" w:cs="Arial"/>
      <w:i/>
      <w:sz w:val="20"/>
      <w:szCs w:val="20"/>
      <w:lang w:val="de-LI" w:eastAsia="fr-FR"/>
    </w:rPr>
  </w:style>
  <w:style w:type="paragraph" w:styleId="Inhaltsverzeichnisberschrift">
    <w:name w:val="TOC Heading"/>
    <w:basedOn w:val="berschrift1"/>
    <w:next w:val="Standard"/>
    <w:uiPriority w:val="39"/>
    <w:unhideWhenUsed/>
    <w:qFormat/>
    <w:rsid w:val="001A0704"/>
    <w:pPr>
      <w:numPr>
        <w:numId w:val="0"/>
      </w:numPr>
      <w:spacing w:after="0" w:line="259" w:lineRule="auto"/>
      <w:jc w:val="left"/>
      <w:outlineLvl w:val="9"/>
    </w:pPr>
    <w:rPr>
      <w:rFonts w:asciiTheme="majorHAnsi" w:hAnsiTheme="majorHAnsi"/>
      <w:b w:val="0"/>
      <w:bCs w:val="0"/>
      <w:color w:val="365F91" w:themeColor="accent1" w:themeShade="BF"/>
      <w:sz w:val="32"/>
      <w:szCs w:val="32"/>
      <w:lang w:val="de-DE" w:eastAsia="de-DE"/>
    </w:rPr>
  </w:style>
  <w:style w:type="character" w:customStyle="1" w:styleId="normaltextrun">
    <w:name w:val="normaltextrun"/>
    <w:basedOn w:val="Absatz-Standardschriftart"/>
    <w:rsid w:val="0055440E"/>
  </w:style>
  <w:style w:type="character" w:customStyle="1" w:styleId="eop">
    <w:name w:val="eop"/>
    <w:basedOn w:val="Absatz-Standardschriftart"/>
    <w:rsid w:val="0055440E"/>
  </w:style>
  <w:style w:type="character" w:customStyle="1" w:styleId="ui-provider">
    <w:name w:val="ui-provider"/>
    <w:basedOn w:val="Absatz-Standardschriftart"/>
    <w:rsid w:val="008630D5"/>
  </w:style>
  <w:style w:type="character" w:styleId="BesuchterLink">
    <w:name w:val="FollowedHyperlink"/>
    <w:basedOn w:val="Absatz-Standardschriftart"/>
    <w:uiPriority w:val="99"/>
    <w:semiHidden/>
    <w:unhideWhenUsed/>
    <w:rsid w:val="001E0630"/>
    <w:rPr>
      <w:color w:val="800080" w:themeColor="followedHyperlink"/>
      <w:u w:val="single"/>
    </w:rPr>
  </w:style>
  <w:style w:type="table" w:styleId="Tabellenraster">
    <w:name w:val="Table Grid"/>
    <w:basedOn w:val="NormaleTabelle"/>
    <w:uiPriority w:val="59"/>
    <w:rsid w:val="00B35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135002">
      <w:bodyDiv w:val="1"/>
      <w:marLeft w:val="0"/>
      <w:marRight w:val="0"/>
      <w:marTop w:val="0"/>
      <w:marBottom w:val="0"/>
      <w:divBdr>
        <w:top w:val="none" w:sz="0" w:space="0" w:color="auto"/>
        <w:left w:val="none" w:sz="0" w:space="0" w:color="auto"/>
        <w:bottom w:val="none" w:sz="0" w:space="0" w:color="auto"/>
        <w:right w:val="none" w:sz="0" w:space="0" w:color="auto"/>
      </w:divBdr>
    </w:div>
    <w:div w:id="1264387621">
      <w:bodyDiv w:val="1"/>
      <w:marLeft w:val="0"/>
      <w:marRight w:val="0"/>
      <w:marTop w:val="0"/>
      <w:marBottom w:val="0"/>
      <w:divBdr>
        <w:top w:val="none" w:sz="0" w:space="0" w:color="auto"/>
        <w:left w:val="none" w:sz="0" w:space="0" w:color="auto"/>
        <w:bottom w:val="none" w:sz="0" w:space="0" w:color="auto"/>
        <w:right w:val="none" w:sz="0" w:space="0" w:color="auto"/>
      </w:divBdr>
    </w:div>
    <w:div w:id="1776704803">
      <w:bodyDiv w:val="1"/>
      <w:marLeft w:val="0"/>
      <w:marRight w:val="0"/>
      <w:marTop w:val="0"/>
      <w:marBottom w:val="0"/>
      <w:divBdr>
        <w:top w:val="none" w:sz="0" w:space="0" w:color="auto"/>
        <w:left w:val="none" w:sz="0" w:space="0" w:color="auto"/>
        <w:bottom w:val="none" w:sz="0" w:space="0" w:color="auto"/>
        <w:right w:val="none" w:sz="0" w:space="0" w:color="auto"/>
      </w:divBdr>
      <w:divsChild>
        <w:div w:id="2010130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53FA1-1EF2-4398-AD9E-D51DA5EE0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3987</Words>
  <Characters>25123</Characters>
  <Application>Microsoft Office Word</Application>
  <DocSecurity>0</DocSecurity>
  <Lines>209</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2024-06-24T06:50:00Z</dcterms:created>
  <dcterms:modified xsi:type="dcterms:W3CDTF">2024-12-16T13:09:00Z</dcterms:modified>
</cp:coreProperties>
</file>