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r w:rsidRPr="00394320">
        <w:rPr>
          <w:rFonts w:ascii="Garamond" w:hAnsi="Garamond" w:cs="Times New Roman"/>
          <w:color w:val="505154"/>
          <w:sz w:val="50"/>
          <w:szCs w:val="36"/>
        </w:rPr>
        <w:t>Musterbericht</w:t>
      </w:r>
    </w:p>
    <w:p w14:paraId="2219662C" w14:textId="366065C8"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5B38C6">
        <w:rPr>
          <w:rFonts w:ascii="Garamond" w:hAnsi="Garamond" w:cs="Times New Roman"/>
          <w:szCs w:val="36"/>
        </w:rPr>
        <w:t>Verwahrstellen</w:t>
      </w:r>
      <w:r w:rsidR="00254B93">
        <w:rPr>
          <w:rFonts w:ascii="Garamond" w:hAnsi="Garamond" w:cs="Times New Roman"/>
          <w:szCs w:val="36"/>
        </w:rPr>
        <w:t xml:space="preserve"> (Anhang </w:t>
      </w:r>
      <w:r w:rsidR="005C2405">
        <w:rPr>
          <w:rFonts w:ascii="Garamond" w:hAnsi="Garamond" w:cs="Times New Roman"/>
          <w:szCs w:val="36"/>
        </w:rPr>
        <w:t>L</w:t>
      </w:r>
      <w:r w:rsidR="00254B93">
        <w:rPr>
          <w:rFonts w:ascii="Garamond" w:hAnsi="Garamond" w:cs="Times New Roman"/>
          <w:szCs w:val="36"/>
        </w:rPr>
        <w:t>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74A3342B" w:rsidR="00DF2E41" w:rsidRPr="00DD5846" w:rsidRDefault="00D85FBA" w:rsidP="009F7D17">
      <w:pPr>
        <w:pStyle w:val="Default"/>
        <w:spacing w:before="120"/>
        <w:rPr>
          <w:rFonts w:ascii="Garamond" w:hAnsi="Garamond" w:cs="Arial"/>
          <w:sz w:val="20"/>
          <w:szCs w:val="20"/>
        </w:rPr>
      </w:pPr>
      <w:r>
        <w:rPr>
          <w:rFonts w:ascii="Garamond" w:hAnsi="Garamond" w:cs="Arial"/>
          <w:sz w:val="20"/>
          <w:szCs w:val="20"/>
        </w:rPr>
        <w:t>Januar 202</w:t>
      </w:r>
      <w:r w:rsidR="00DB3594">
        <w:rPr>
          <w:rFonts w:ascii="Garamond" w:hAnsi="Garamond" w:cs="Arial"/>
          <w:sz w:val="20"/>
          <w:szCs w:val="20"/>
        </w:rPr>
        <w:t>5</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bookmarkStart w:id="0" w:name="_GoBack"/>
        <w:bookmarkEnd w:id="0"/>
        <w:p w14:paraId="6F244164" w14:textId="49BCAED3" w:rsidR="00AE099D"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85241455" w:history="1">
            <w:r w:rsidR="00AE099D" w:rsidRPr="001D2611">
              <w:rPr>
                <w:rStyle w:val="Hyperlink"/>
              </w:rPr>
              <w:t>1.</w:t>
            </w:r>
            <w:r w:rsidR="00AE099D">
              <w:rPr>
                <w:rFonts w:asciiTheme="minorHAnsi" w:eastAsiaTheme="minorEastAsia" w:hAnsiTheme="minorHAnsi" w:cstheme="minorBidi"/>
                <w:b w:val="0"/>
                <w:bCs w:val="0"/>
                <w:sz w:val="22"/>
                <w:szCs w:val="22"/>
                <w:lang w:eastAsia="de-CH"/>
              </w:rPr>
              <w:tab/>
            </w:r>
            <w:r w:rsidR="00AE099D" w:rsidRPr="001D2611">
              <w:rPr>
                <w:rStyle w:val="Hyperlink"/>
              </w:rPr>
              <w:t>Rahmenbedingungen der Aufsichtsprüfung</w:t>
            </w:r>
            <w:r w:rsidR="00AE099D">
              <w:rPr>
                <w:webHidden/>
              </w:rPr>
              <w:tab/>
            </w:r>
            <w:r w:rsidR="00AE099D">
              <w:rPr>
                <w:webHidden/>
              </w:rPr>
              <w:fldChar w:fldCharType="begin"/>
            </w:r>
            <w:r w:rsidR="00AE099D">
              <w:rPr>
                <w:webHidden/>
              </w:rPr>
              <w:instrText xml:space="preserve"> PAGEREF _Toc185241455 \h </w:instrText>
            </w:r>
            <w:r w:rsidR="00AE099D">
              <w:rPr>
                <w:webHidden/>
              </w:rPr>
            </w:r>
            <w:r w:rsidR="00AE099D">
              <w:rPr>
                <w:webHidden/>
              </w:rPr>
              <w:fldChar w:fldCharType="separate"/>
            </w:r>
            <w:r w:rsidR="00AE099D">
              <w:rPr>
                <w:webHidden/>
              </w:rPr>
              <w:t>5</w:t>
            </w:r>
            <w:r w:rsidR="00AE099D">
              <w:rPr>
                <w:webHidden/>
              </w:rPr>
              <w:fldChar w:fldCharType="end"/>
            </w:r>
          </w:hyperlink>
        </w:p>
        <w:p w14:paraId="5CED9AF4" w14:textId="6364C7D0" w:rsidR="00AE099D" w:rsidRDefault="00AE099D">
          <w:pPr>
            <w:pStyle w:val="Verzeichnis1"/>
            <w:rPr>
              <w:rFonts w:asciiTheme="minorHAnsi" w:eastAsiaTheme="minorEastAsia" w:hAnsiTheme="minorHAnsi" w:cstheme="minorBidi"/>
              <w:b w:val="0"/>
              <w:bCs w:val="0"/>
              <w:sz w:val="22"/>
              <w:szCs w:val="22"/>
              <w:lang w:eastAsia="de-CH"/>
            </w:rPr>
          </w:pPr>
          <w:hyperlink w:anchor="_Toc185241456" w:history="1">
            <w:r w:rsidRPr="001D2611">
              <w:rPr>
                <w:rStyle w:val="Hyperlink"/>
              </w:rPr>
              <w:t>2.</w:t>
            </w:r>
            <w:r>
              <w:rPr>
                <w:rFonts w:asciiTheme="minorHAnsi" w:eastAsiaTheme="minorEastAsia" w:hAnsiTheme="minorHAnsi" w:cstheme="minorBidi"/>
                <w:b w:val="0"/>
                <w:bCs w:val="0"/>
                <w:sz w:val="22"/>
                <w:szCs w:val="22"/>
                <w:lang w:eastAsia="de-CH"/>
              </w:rPr>
              <w:tab/>
            </w:r>
            <w:r w:rsidRPr="001D2611">
              <w:rPr>
                <w:rStyle w:val="Hyperlink"/>
              </w:rPr>
              <w:t>Zusammenfassung der Prüfresultate aus der Aufsichtsprüfung</w:t>
            </w:r>
            <w:r>
              <w:rPr>
                <w:webHidden/>
              </w:rPr>
              <w:tab/>
            </w:r>
            <w:r>
              <w:rPr>
                <w:webHidden/>
              </w:rPr>
              <w:fldChar w:fldCharType="begin"/>
            </w:r>
            <w:r>
              <w:rPr>
                <w:webHidden/>
              </w:rPr>
              <w:instrText xml:space="preserve"> PAGEREF _Toc185241456 \h </w:instrText>
            </w:r>
            <w:r>
              <w:rPr>
                <w:webHidden/>
              </w:rPr>
            </w:r>
            <w:r>
              <w:rPr>
                <w:webHidden/>
              </w:rPr>
              <w:fldChar w:fldCharType="separate"/>
            </w:r>
            <w:r>
              <w:rPr>
                <w:webHidden/>
              </w:rPr>
              <w:t>5</w:t>
            </w:r>
            <w:r>
              <w:rPr>
                <w:webHidden/>
              </w:rPr>
              <w:fldChar w:fldCharType="end"/>
            </w:r>
          </w:hyperlink>
        </w:p>
        <w:p w14:paraId="225E65C6" w14:textId="2082C6CC" w:rsidR="00AE099D" w:rsidRDefault="00AE099D">
          <w:pPr>
            <w:pStyle w:val="Verzeichnis2"/>
            <w:rPr>
              <w:rFonts w:asciiTheme="minorHAnsi" w:eastAsiaTheme="minorEastAsia" w:hAnsiTheme="minorHAnsi" w:cstheme="minorBidi"/>
              <w:noProof/>
              <w:sz w:val="22"/>
              <w:szCs w:val="22"/>
              <w:lang w:eastAsia="de-CH"/>
            </w:rPr>
          </w:pPr>
          <w:hyperlink w:anchor="_Toc185241457" w:history="1">
            <w:r w:rsidRPr="001D2611">
              <w:rPr>
                <w:rStyle w:val="Hyperlink"/>
                <w:noProof/>
              </w:rPr>
              <w:t>2.1</w:t>
            </w:r>
            <w:r>
              <w:rPr>
                <w:rFonts w:asciiTheme="minorHAnsi" w:eastAsiaTheme="minorEastAsia" w:hAnsiTheme="minorHAnsi" w:cstheme="minorBidi"/>
                <w:noProof/>
                <w:sz w:val="22"/>
                <w:szCs w:val="22"/>
                <w:lang w:eastAsia="de-CH"/>
              </w:rPr>
              <w:tab/>
            </w:r>
            <w:r w:rsidRPr="001D2611">
              <w:rPr>
                <w:rStyle w:val="Hyperlink"/>
                <w:noProof/>
              </w:rPr>
              <w:t>Beanstandungen</w:t>
            </w:r>
            <w:r>
              <w:rPr>
                <w:noProof/>
                <w:webHidden/>
              </w:rPr>
              <w:tab/>
            </w:r>
            <w:r>
              <w:rPr>
                <w:noProof/>
                <w:webHidden/>
              </w:rPr>
              <w:fldChar w:fldCharType="begin"/>
            </w:r>
            <w:r>
              <w:rPr>
                <w:noProof/>
                <w:webHidden/>
              </w:rPr>
              <w:instrText xml:space="preserve"> PAGEREF _Toc185241457 \h </w:instrText>
            </w:r>
            <w:r>
              <w:rPr>
                <w:noProof/>
                <w:webHidden/>
              </w:rPr>
            </w:r>
            <w:r>
              <w:rPr>
                <w:noProof/>
                <w:webHidden/>
              </w:rPr>
              <w:fldChar w:fldCharType="separate"/>
            </w:r>
            <w:r>
              <w:rPr>
                <w:noProof/>
                <w:webHidden/>
              </w:rPr>
              <w:t>5</w:t>
            </w:r>
            <w:r>
              <w:rPr>
                <w:noProof/>
                <w:webHidden/>
              </w:rPr>
              <w:fldChar w:fldCharType="end"/>
            </w:r>
          </w:hyperlink>
        </w:p>
        <w:p w14:paraId="1A731C52" w14:textId="4FFBB1F7" w:rsidR="00AE099D" w:rsidRDefault="00AE099D">
          <w:pPr>
            <w:pStyle w:val="Verzeichnis2"/>
            <w:rPr>
              <w:rFonts w:asciiTheme="minorHAnsi" w:eastAsiaTheme="minorEastAsia" w:hAnsiTheme="minorHAnsi" w:cstheme="minorBidi"/>
              <w:noProof/>
              <w:sz w:val="22"/>
              <w:szCs w:val="22"/>
              <w:lang w:eastAsia="de-CH"/>
            </w:rPr>
          </w:pPr>
          <w:hyperlink w:anchor="_Toc185241458" w:history="1">
            <w:r w:rsidRPr="001D2611">
              <w:rPr>
                <w:rStyle w:val="Hyperlink"/>
                <w:noProof/>
              </w:rPr>
              <w:t>2.2</w:t>
            </w:r>
            <w:r>
              <w:rPr>
                <w:rFonts w:asciiTheme="minorHAnsi" w:eastAsiaTheme="minorEastAsia" w:hAnsiTheme="minorHAnsi" w:cstheme="minorBidi"/>
                <w:noProof/>
                <w:sz w:val="22"/>
                <w:szCs w:val="22"/>
                <w:lang w:eastAsia="de-CH"/>
              </w:rPr>
              <w:tab/>
            </w:r>
            <w:r w:rsidRPr="001D2611">
              <w:rPr>
                <w:rStyle w:val="Hyperlink"/>
                <w:noProof/>
              </w:rPr>
              <w:t>Empfehlungen</w:t>
            </w:r>
            <w:r>
              <w:rPr>
                <w:noProof/>
                <w:webHidden/>
              </w:rPr>
              <w:tab/>
            </w:r>
            <w:r>
              <w:rPr>
                <w:noProof/>
                <w:webHidden/>
              </w:rPr>
              <w:fldChar w:fldCharType="begin"/>
            </w:r>
            <w:r>
              <w:rPr>
                <w:noProof/>
                <w:webHidden/>
              </w:rPr>
              <w:instrText xml:space="preserve"> PAGEREF _Toc185241458 \h </w:instrText>
            </w:r>
            <w:r>
              <w:rPr>
                <w:noProof/>
                <w:webHidden/>
              </w:rPr>
            </w:r>
            <w:r>
              <w:rPr>
                <w:noProof/>
                <w:webHidden/>
              </w:rPr>
              <w:fldChar w:fldCharType="separate"/>
            </w:r>
            <w:r>
              <w:rPr>
                <w:noProof/>
                <w:webHidden/>
              </w:rPr>
              <w:t>5</w:t>
            </w:r>
            <w:r>
              <w:rPr>
                <w:noProof/>
                <w:webHidden/>
              </w:rPr>
              <w:fldChar w:fldCharType="end"/>
            </w:r>
          </w:hyperlink>
        </w:p>
        <w:p w14:paraId="4D1242E4" w14:textId="3A912422" w:rsidR="00AE099D" w:rsidRDefault="00AE099D">
          <w:pPr>
            <w:pStyle w:val="Verzeichnis2"/>
            <w:rPr>
              <w:rFonts w:asciiTheme="minorHAnsi" w:eastAsiaTheme="minorEastAsia" w:hAnsiTheme="minorHAnsi" w:cstheme="minorBidi"/>
              <w:noProof/>
              <w:sz w:val="22"/>
              <w:szCs w:val="22"/>
              <w:lang w:eastAsia="de-CH"/>
            </w:rPr>
          </w:pPr>
          <w:hyperlink w:anchor="_Toc185241459" w:history="1">
            <w:r w:rsidRPr="001D2611">
              <w:rPr>
                <w:rStyle w:val="Hyperlink"/>
                <w:noProof/>
              </w:rPr>
              <w:t>2.3</w:t>
            </w:r>
            <w:r>
              <w:rPr>
                <w:rFonts w:asciiTheme="minorHAnsi" w:eastAsiaTheme="minorEastAsia" w:hAnsiTheme="minorHAnsi" w:cstheme="minorBidi"/>
                <w:noProof/>
                <w:sz w:val="22"/>
                <w:szCs w:val="22"/>
                <w:lang w:eastAsia="de-CH"/>
              </w:rPr>
              <w:tab/>
            </w:r>
            <w:r w:rsidRPr="001D2611">
              <w:rPr>
                <w:rStyle w:val="Hyperlink"/>
                <w:noProof/>
              </w:rPr>
              <w:t>Beanstandungen des Vorjahres</w:t>
            </w:r>
            <w:r>
              <w:rPr>
                <w:noProof/>
                <w:webHidden/>
              </w:rPr>
              <w:tab/>
            </w:r>
            <w:r>
              <w:rPr>
                <w:noProof/>
                <w:webHidden/>
              </w:rPr>
              <w:fldChar w:fldCharType="begin"/>
            </w:r>
            <w:r>
              <w:rPr>
                <w:noProof/>
                <w:webHidden/>
              </w:rPr>
              <w:instrText xml:space="preserve"> PAGEREF _Toc185241459 \h </w:instrText>
            </w:r>
            <w:r>
              <w:rPr>
                <w:noProof/>
                <w:webHidden/>
              </w:rPr>
            </w:r>
            <w:r>
              <w:rPr>
                <w:noProof/>
                <w:webHidden/>
              </w:rPr>
              <w:fldChar w:fldCharType="separate"/>
            </w:r>
            <w:r>
              <w:rPr>
                <w:noProof/>
                <w:webHidden/>
              </w:rPr>
              <w:t>6</w:t>
            </w:r>
            <w:r>
              <w:rPr>
                <w:noProof/>
                <w:webHidden/>
              </w:rPr>
              <w:fldChar w:fldCharType="end"/>
            </w:r>
          </w:hyperlink>
        </w:p>
        <w:p w14:paraId="509CFB25" w14:textId="5A2ED274" w:rsidR="00AE099D" w:rsidRDefault="00AE099D">
          <w:pPr>
            <w:pStyle w:val="Verzeichnis2"/>
            <w:rPr>
              <w:rFonts w:asciiTheme="minorHAnsi" w:eastAsiaTheme="minorEastAsia" w:hAnsiTheme="minorHAnsi" w:cstheme="minorBidi"/>
              <w:noProof/>
              <w:sz w:val="22"/>
              <w:szCs w:val="22"/>
              <w:lang w:eastAsia="de-CH"/>
            </w:rPr>
          </w:pPr>
          <w:hyperlink w:anchor="_Toc185241460" w:history="1">
            <w:r w:rsidRPr="001D2611">
              <w:rPr>
                <w:rStyle w:val="Hyperlink"/>
                <w:noProof/>
              </w:rPr>
              <w:t>2.4</w:t>
            </w:r>
            <w:r>
              <w:rPr>
                <w:rFonts w:asciiTheme="minorHAnsi" w:eastAsiaTheme="minorEastAsia" w:hAnsiTheme="minorHAnsi" w:cstheme="minorBidi"/>
                <w:noProof/>
                <w:sz w:val="22"/>
                <w:szCs w:val="22"/>
                <w:lang w:eastAsia="de-CH"/>
              </w:rPr>
              <w:tab/>
            </w:r>
            <w:r w:rsidRPr="001D2611">
              <w:rPr>
                <w:rStyle w:val="Hyperlink"/>
                <w:noProof/>
              </w:rPr>
              <w:t>Empfehlungen des Vorjahres</w:t>
            </w:r>
            <w:r>
              <w:rPr>
                <w:noProof/>
                <w:webHidden/>
              </w:rPr>
              <w:tab/>
            </w:r>
            <w:r>
              <w:rPr>
                <w:noProof/>
                <w:webHidden/>
              </w:rPr>
              <w:fldChar w:fldCharType="begin"/>
            </w:r>
            <w:r>
              <w:rPr>
                <w:noProof/>
                <w:webHidden/>
              </w:rPr>
              <w:instrText xml:space="preserve"> PAGEREF _Toc185241460 \h </w:instrText>
            </w:r>
            <w:r>
              <w:rPr>
                <w:noProof/>
                <w:webHidden/>
              </w:rPr>
            </w:r>
            <w:r>
              <w:rPr>
                <w:noProof/>
                <w:webHidden/>
              </w:rPr>
              <w:fldChar w:fldCharType="separate"/>
            </w:r>
            <w:r>
              <w:rPr>
                <w:noProof/>
                <w:webHidden/>
              </w:rPr>
              <w:t>6</w:t>
            </w:r>
            <w:r>
              <w:rPr>
                <w:noProof/>
                <w:webHidden/>
              </w:rPr>
              <w:fldChar w:fldCharType="end"/>
            </w:r>
          </w:hyperlink>
        </w:p>
        <w:p w14:paraId="315B9DDF" w14:textId="0445A54A" w:rsidR="00AE099D" w:rsidRDefault="00AE099D">
          <w:pPr>
            <w:pStyle w:val="Verzeichnis2"/>
            <w:rPr>
              <w:rFonts w:asciiTheme="minorHAnsi" w:eastAsiaTheme="minorEastAsia" w:hAnsiTheme="minorHAnsi" w:cstheme="minorBidi"/>
              <w:noProof/>
              <w:sz w:val="22"/>
              <w:szCs w:val="22"/>
              <w:lang w:eastAsia="de-CH"/>
            </w:rPr>
          </w:pPr>
          <w:hyperlink w:anchor="_Toc185241461" w:history="1">
            <w:r w:rsidRPr="001D2611">
              <w:rPr>
                <w:rStyle w:val="Hyperlink"/>
                <w:noProof/>
              </w:rPr>
              <w:t>2.5</w:t>
            </w:r>
            <w:r>
              <w:rPr>
                <w:rFonts w:asciiTheme="minorHAnsi" w:eastAsiaTheme="minorEastAsia" w:hAnsiTheme="minorHAnsi" w:cstheme="minorBidi"/>
                <w:noProof/>
                <w:sz w:val="22"/>
                <w:szCs w:val="22"/>
                <w:lang w:eastAsia="de-CH"/>
              </w:rPr>
              <w:tab/>
            </w:r>
            <w:r w:rsidRPr="001D2611">
              <w:rPr>
                <w:rStyle w:val="Hyperlink"/>
                <w:noProof/>
              </w:rPr>
              <w:t>Bestätigung zu aufsichtsrechtlichen Vorgaben der FMA</w:t>
            </w:r>
            <w:r>
              <w:rPr>
                <w:noProof/>
                <w:webHidden/>
              </w:rPr>
              <w:tab/>
            </w:r>
            <w:r>
              <w:rPr>
                <w:noProof/>
                <w:webHidden/>
              </w:rPr>
              <w:fldChar w:fldCharType="begin"/>
            </w:r>
            <w:r>
              <w:rPr>
                <w:noProof/>
                <w:webHidden/>
              </w:rPr>
              <w:instrText xml:space="preserve"> PAGEREF _Toc185241461 \h </w:instrText>
            </w:r>
            <w:r>
              <w:rPr>
                <w:noProof/>
                <w:webHidden/>
              </w:rPr>
            </w:r>
            <w:r>
              <w:rPr>
                <w:noProof/>
                <w:webHidden/>
              </w:rPr>
              <w:fldChar w:fldCharType="separate"/>
            </w:r>
            <w:r>
              <w:rPr>
                <w:noProof/>
                <w:webHidden/>
              </w:rPr>
              <w:t>6</w:t>
            </w:r>
            <w:r>
              <w:rPr>
                <w:noProof/>
                <w:webHidden/>
              </w:rPr>
              <w:fldChar w:fldCharType="end"/>
            </w:r>
          </w:hyperlink>
        </w:p>
        <w:p w14:paraId="22C44F47" w14:textId="03D395CB" w:rsidR="00AE099D" w:rsidRDefault="00AE099D">
          <w:pPr>
            <w:pStyle w:val="Verzeichnis2"/>
            <w:rPr>
              <w:rFonts w:asciiTheme="minorHAnsi" w:eastAsiaTheme="minorEastAsia" w:hAnsiTheme="minorHAnsi" w:cstheme="minorBidi"/>
              <w:noProof/>
              <w:sz w:val="22"/>
              <w:szCs w:val="22"/>
              <w:lang w:eastAsia="de-CH"/>
            </w:rPr>
          </w:pPr>
          <w:hyperlink w:anchor="_Toc185241462" w:history="1">
            <w:r w:rsidRPr="001D2611">
              <w:rPr>
                <w:rStyle w:val="Hyperlink"/>
                <w:noProof/>
              </w:rPr>
              <w:t>2.6</w:t>
            </w:r>
            <w:r>
              <w:rPr>
                <w:rFonts w:asciiTheme="minorHAnsi" w:eastAsiaTheme="minorEastAsia" w:hAnsiTheme="minorHAnsi" w:cstheme="minorBidi"/>
                <w:noProof/>
                <w:sz w:val="22"/>
                <w:szCs w:val="22"/>
                <w:lang w:eastAsia="de-CH"/>
              </w:rPr>
              <w:tab/>
            </w:r>
            <w:r w:rsidRPr="001D2611">
              <w:rPr>
                <w:rStyle w:val="Hyperlink"/>
                <w:noProof/>
              </w:rPr>
              <w:t>Wesentliche Feststellungen der Interne Revision</w:t>
            </w:r>
            <w:r>
              <w:rPr>
                <w:noProof/>
                <w:webHidden/>
              </w:rPr>
              <w:tab/>
            </w:r>
            <w:r>
              <w:rPr>
                <w:noProof/>
                <w:webHidden/>
              </w:rPr>
              <w:fldChar w:fldCharType="begin"/>
            </w:r>
            <w:r>
              <w:rPr>
                <w:noProof/>
                <w:webHidden/>
              </w:rPr>
              <w:instrText xml:space="preserve"> PAGEREF _Toc185241462 \h </w:instrText>
            </w:r>
            <w:r>
              <w:rPr>
                <w:noProof/>
                <w:webHidden/>
              </w:rPr>
            </w:r>
            <w:r>
              <w:rPr>
                <w:noProof/>
                <w:webHidden/>
              </w:rPr>
              <w:fldChar w:fldCharType="separate"/>
            </w:r>
            <w:r>
              <w:rPr>
                <w:noProof/>
                <w:webHidden/>
              </w:rPr>
              <w:t>6</w:t>
            </w:r>
            <w:r>
              <w:rPr>
                <w:noProof/>
                <w:webHidden/>
              </w:rPr>
              <w:fldChar w:fldCharType="end"/>
            </w:r>
          </w:hyperlink>
        </w:p>
        <w:p w14:paraId="60221369" w14:textId="6FEA10F2" w:rsidR="00AE099D" w:rsidRDefault="00AE099D">
          <w:pPr>
            <w:pStyle w:val="Verzeichnis2"/>
            <w:rPr>
              <w:rFonts w:asciiTheme="minorHAnsi" w:eastAsiaTheme="minorEastAsia" w:hAnsiTheme="minorHAnsi" w:cstheme="minorBidi"/>
              <w:noProof/>
              <w:sz w:val="22"/>
              <w:szCs w:val="22"/>
              <w:lang w:eastAsia="de-CH"/>
            </w:rPr>
          </w:pPr>
          <w:hyperlink w:anchor="_Toc185241463" w:history="1">
            <w:r w:rsidRPr="001D2611">
              <w:rPr>
                <w:rStyle w:val="Hyperlink"/>
                <w:noProof/>
              </w:rPr>
              <w:t>2.7</w:t>
            </w:r>
            <w:r>
              <w:rPr>
                <w:rFonts w:asciiTheme="minorHAnsi" w:eastAsiaTheme="minorEastAsia" w:hAnsiTheme="minorHAnsi" w:cstheme="minorBidi"/>
                <w:noProof/>
                <w:sz w:val="22"/>
                <w:szCs w:val="22"/>
                <w:lang w:eastAsia="de-CH"/>
              </w:rPr>
              <w:tab/>
            </w:r>
            <w:r w:rsidRPr="001D2611">
              <w:rPr>
                <w:rStyle w:val="Hyperlink"/>
                <w:noProof/>
              </w:rPr>
              <w:t>Wesentliche Feststellungen durch Dritte</w:t>
            </w:r>
            <w:r>
              <w:rPr>
                <w:noProof/>
                <w:webHidden/>
              </w:rPr>
              <w:tab/>
            </w:r>
            <w:r>
              <w:rPr>
                <w:noProof/>
                <w:webHidden/>
              </w:rPr>
              <w:fldChar w:fldCharType="begin"/>
            </w:r>
            <w:r>
              <w:rPr>
                <w:noProof/>
                <w:webHidden/>
              </w:rPr>
              <w:instrText xml:space="preserve"> PAGEREF _Toc185241463 \h </w:instrText>
            </w:r>
            <w:r>
              <w:rPr>
                <w:noProof/>
                <w:webHidden/>
              </w:rPr>
            </w:r>
            <w:r>
              <w:rPr>
                <w:noProof/>
                <w:webHidden/>
              </w:rPr>
              <w:fldChar w:fldCharType="separate"/>
            </w:r>
            <w:r>
              <w:rPr>
                <w:noProof/>
                <w:webHidden/>
              </w:rPr>
              <w:t>6</w:t>
            </w:r>
            <w:r>
              <w:rPr>
                <w:noProof/>
                <w:webHidden/>
              </w:rPr>
              <w:fldChar w:fldCharType="end"/>
            </w:r>
          </w:hyperlink>
        </w:p>
        <w:p w14:paraId="164F7AF7" w14:textId="28AD870F" w:rsidR="00AE099D" w:rsidRDefault="00AE099D">
          <w:pPr>
            <w:pStyle w:val="Verzeichnis1"/>
            <w:rPr>
              <w:rFonts w:asciiTheme="minorHAnsi" w:eastAsiaTheme="minorEastAsia" w:hAnsiTheme="minorHAnsi" w:cstheme="minorBidi"/>
              <w:b w:val="0"/>
              <w:bCs w:val="0"/>
              <w:sz w:val="22"/>
              <w:szCs w:val="22"/>
              <w:lang w:eastAsia="de-CH"/>
            </w:rPr>
          </w:pPr>
          <w:hyperlink w:anchor="_Toc185241464" w:history="1">
            <w:r w:rsidRPr="001D2611">
              <w:rPr>
                <w:rStyle w:val="Hyperlink"/>
              </w:rPr>
              <w:t>3.</w:t>
            </w:r>
            <w:r>
              <w:rPr>
                <w:rFonts w:asciiTheme="minorHAnsi" w:eastAsiaTheme="minorEastAsia" w:hAnsiTheme="minorHAnsi" w:cstheme="minorBidi"/>
                <w:b w:val="0"/>
                <w:bCs w:val="0"/>
                <w:sz w:val="22"/>
                <w:szCs w:val="22"/>
                <w:lang w:eastAsia="de-CH"/>
              </w:rPr>
              <w:tab/>
            </w:r>
            <w:r w:rsidRPr="001D2611">
              <w:rPr>
                <w:rStyle w:val="Hyperlink"/>
              </w:rPr>
              <w:t>Wichtige Informationen zu der geprüften Verwahrstelle / Darstellung bedeutender Änderungen</w:t>
            </w:r>
            <w:r>
              <w:rPr>
                <w:webHidden/>
              </w:rPr>
              <w:tab/>
            </w:r>
            <w:r>
              <w:rPr>
                <w:webHidden/>
              </w:rPr>
              <w:fldChar w:fldCharType="begin"/>
            </w:r>
            <w:r>
              <w:rPr>
                <w:webHidden/>
              </w:rPr>
              <w:instrText xml:space="preserve"> PAGEREF _Toc185241464 \h </w:instrText>
            </w:r>
            <w:r>
              <w:rPr>
                <w:webHidden/>
              </w:rPr>
            </w:r>
            <w:r>
              <w:rPr>
                <w:webHidden/>
              </w:rPr>
              <w:fldChar w:fldCharType="separate"/>
            </w:r>
            <w:r>
              <w:rPr>
                <w:webHidden/>
              </w:rPr>
              <w:t>6</w:t>
            </w:r>
            <w:r>
              <w:rPr>
                <w:webHidden/>
              </w:rPr>
              <w:fldChar w:fldCharType="end"/>
            </w:r>
          </w:hyperlink>
        </w:p>
        <w:p w14:paraId="022D04B7" w14:textId="2E959BF2" w:rsidR="00AE099D" w:rsidRDefault="00AE099D">
          <w:pPr>
            <w:pStyle w:val="Verzeichnis2"/>
            <w:rPr>
              <w:rFonts w:asciiTheme="minorHAnsi" w:eastAsiaTheme="minorEastAsia" w:hAnsiTheme="minorHAnsi" w:cstheme="minorBidi"/>
              <w:noProof/>
              <w:sz w:val="22"/>
              <w:szCs w:val="22"/>
              <w:lang w:eastAsia="de-CH"/>
            </w:rPr>
          </w:pPr>
          <w:hyperlink w:anchor="_Toc185241465" w:history="1">
            <w:r w:rsidRPr="001D2611">
              <w:rPr>
                <w:rStyle w:val="Hyperlink"/>
                <w:noProof/>
              </w:rPr>
              <w:t>3.1</w:t>
            </w:r>
            <w:r>
              <w:rPr>
                <w:rFonts w:asciiTheme="minorHAnsi" w:eastAsiaTheme="minorEastAsia" w:hAnsiTheme="minorHAnsi" w:cstheme="minorBidi"/>
                <w:noProof/>
                <w:sz w:val="22"/>
                <w:szCs w:val="22"/>
                <w:lang w:eastAsia="de-CH"/>
              </w:rPr>
              <w:tab/>
            </w:r>
            <w:r w:rsidRPr="001D2611">
              <w:rPr>
                <w:rStyle w:val="Hyperlink"/>
                <w:noProof/>
              </w:rPr>
              <w:t>Betriebs- und Aufbauorganisation</w:t>
            </w:r>
            <w:r>
              <w:rPr>
                <w:noProof/>
                <w:webHidden/>
              </w:rPr>
              <w:tab/>
            </w:r>
            <w:r>
              <w:rPr>
                <w:noProof/>
                <w:webHidden/>
              </w:rPr>
              <w:fldChar w:fldCharType="begin"/>
            </w:r>
            <w:r>
              <w:rPr>
                <w:noProof/>
                <w:webHidden/>
              </w:rPr>
              <w:instrText xml:space="preserve"> PAGEREF _Toc185241465 \h </w:instrText>
            </w:r>
            <w:r>
              <w:rPr>
                <w:noProof/>
                <w:webHidden/>
              </w:rPr>
            </w:r>
            <w:r>
              <w:rPr>
                <w:noProof/>
                <w:webHidden/>
              </w:rPr>
              <w:fldChar w:fldCharType="separate"/>
            </w:r>
            <w:r>
              <w:rPr>
                <w:noProof/>
                <w:webHidden/>
              </w:rPr>
              <w:t>6</w:t>
            </w:r>
            <w:r>
              <w:rPr>
                <w:noProof/>
                <w:webHidden/>
              </w:rPr>
              <w:fldChar w:fldCharType="end"/>
            </w:r>
          </w:hyperlink>
        </w:p>
        <w:p w14:paraId="141A8FB0" w14:textId="49F0511F" w:rsidR="00AE099D" w:rsidRDefault="00AE099D">
          <w:pPr>
            <w:pStyle w:val="Verzeichnis2"/>
            <w:rPr>
              <w:rFonts w:asciiTheme="minorHAnsi" w:eastAsiaTheme="minorEastAsia" w:hAnsiTheme="minorHAnsi" w:cstheme="minorBidi"/>
              <w:noProof/>
              <w:sz w:val="22"/>
              <w:szCs w:val="22"/>
              <w:lang w:eastAsia="de-CH"/>
            </w:rPr>
          </w:pPr>
          <w:hyperlink w:anchor="_Toc185241466" w:history="1">
            <w:r w:rsidRPr="001D2611">
              <w:rPr>
                <w:rStyle w:val="Hyperlink"/>
                <w:noProof/>
              </w:rPr>
              <w:t>3.2</w:t>
            </w:r>
            <w:r>
              <w:rPr>
                <w:rFonts w:asciiTheme="minorHAnsi" w:eastAsiaTheme="minorEastAsia" w:hAnsiTheme="minorHAnsi" w:cstheme="minorBidi"/>
                <w:noProof/>
                <w:sz w:val="22"/>
                <w:szCs w:val="22"/>
                <w:lang w:eastAsia="de-CH"/>
              </w:rPr>
              <w:tab/>
            </w:r>
            <w:r w:rsidRPr="001D2611">
              <w:rPr>
                <w:rStyle w:val="Hyperlink"/>
                <w:noProof/>
              </w:rPr>
              <w:t>Wesentliche Änderungen bei der beaufsichtigten Verwahrstelle</w:t>
            </w:r>
            <w:r>
              <w:rPr>
                <w:noProof/>
                <w:webHidden/>
              </w:rPr>
              <w:tab/>
            </w:r>
            <w:r>
              <w:rPr>
                <w:noProof/>
                <w:webHidden/>
              </w:rPr>
              <w:fldChar w:fldCharType="begin"/>
            </w:r>
            <w:r>
              <w:rPr>
                <w:noProof/>
                <w:webHidden/>
              </w:rPr>
              <w:instrText xml:space="preserve"> PAGEREF _Toc185241466 \h </w:instrText>
            </w:r>
            <w:r>
              <w:rPr>
                <w:noProof/>
                <w:webHidden/>
              </w:rPr>
            </w:r>
            <w:r>
              <w:rPr>
                <w:noProof/>
                <w:webHidden/>
              </w:rPr>
              <w:fldChar w:fldCharType="separate"/>
            </w:r>
            <w:r>
              <w:rPr>
                <w:noProof/>
                <w:webHidden/>
              </w:rPr>
              <w:t>7</w:t>
            </w:r>
            <w:r>
              <w:rPr>
                <w:noProof/>
                <w:webHidden/>
              </w:rPr>
              <w:fldChar w:fldCharType="end"/>
            </w:r>
          </w:hyperlink>
        </w:p>
        <w:p w14:paraId="5A07170C" w14:textId="75861D00" w:rsidR="00AE099D" w:rsidRDefault="00AE099D">
          <w:pPr>
            <w:pStyle w:val="Verzeichnis1"/>
            <w:rPr>
              <w:rFonts w:asciiTheme="minorHAnsi" w:eastAsiaTheme="minorEastAsia" w:hAnsiTheme="minorHAnsi" w:cstheme="minorBidi"/>
              <w:b w:val="0"/>
              <w:bCs w:val="0"/>
              <w:sz w:val="22"/>
              <w:szCs w:val="22"/>
              <w:lang w:eastAsia="de-CH"/>
            </w:rPr>
          </w:pPr>
          <w:hyperlink w:anchor="_Toc185241467" w:history="1">
            <w:r w:rsidRPr="001D2611">
              <w:rPr>
                <w:rStyle w:val="Hyperlink"/>
              </w:rPr>
              <w:t>4.</w:t>
            </w:r>
            <w:r>
              <w:rPr>
                <w:rFonts w:asciiTheme="minorHAnsi" w:eastAsiaTheme="minorEastAsia" w:hAnsiTheme="minorHAnsi" w:cstheme="minorBidi"/>
                <w:b w:val="0"/>
                <w:bCs w:val="0"/>
                <w:sz w:val="22"/>
                <w:szCs w:val="22"/>
                <w:lang w:eastAsia="de-CH"/>
              </w:rPr>
              <w:tab/>
            </w:r>
            <w:r w:rsidRPr="001D2611">
              <w:rPr>
                <w:rStyle w:val="Hyperlink"/>
              </w:rPr>
              <w:t>Prüfresultate</w:t>
            </w:r>
            <w:r>
              <w:rPr>
                <w:webHidden/>
              </w:rPr>
              <w:tab/>
            </w:r>
            <w:r>
              <w:rPr>
                <w:webHidden/>
              </w:rPr>
              <w:fldChar w:fldCharType="begin"/>
            </w:r>
            <w:r>
              <w:rPr>
                <w:webHidden/>
              </w:rPr>
              <w:instrText xml:space="preserve"> PAGEREF _Toc185241467 \h </w:instrText>
            </w:r>
            <w:r>
              <w:rPr>
                <w:webHidden/>
              </w:rPr>
            </w:r>
            <w:r>
              <w:rPr>
                <w:webHidden/>
              </w:rPr>
              <w:fldChar w:fldCharType="separate"/>
            </w:r>
            <w:r>
              <w:rPr>
                <w:webHidden/>
              </w:rPr>
              <w:t>7</w:t>
            </w:r>
            <w:r>
              <w:rPr>
                <w:webHidden/>
              </w:rPr>
              <w:fldChar w:fldCharType="end"/>
            </w:r>
          </w:hyperlink>
        </w:p>
        <w:p w14:paraId="5D0C1C79" w14:textId="7EDA0083" w:rsidR="00AE099D" w:rsidRDefault="00AE099D">
          <w:pPr>
            <w:pStyle w:val="Verzeichnis2"/>
            <w:rPr>
              <w:rFonts w:asciiTheme="minorHAnsi" w:eastAsiaTheme="minorEastAsia" w:hAnsiTheme="minorHAnsi" w:cstheme="minorBidi"/>
              <w:noProof/>
              <w:sz w:val="22"/>
              <w:szCs w:val="22"/>
              <w:lang w:eastAsia="de-CH"/>
            </w:rPr>
          </w:pPr>
          <w:hyperlink w:anchor="_Toc185241468" w:history="1">
            <w:r w:rsidRPr="001D2611">
              <w:rPr>
                <w:rStyle w:val="Hyperlink"/>
                <w:noProof/>
              </w:rPr>
              <w:t>4.1</w:t>
            </w:r>
            <w:r>
              <w:rPr>
                <w:rFonts w:asciiTheme="minorHAnsi" w:eastAsiaTheme="minorEastAsia" w:hAnsiTheme="minorHAnsi" w:cstheme="minorBidi"/>
                <w:noProof/>
                <w:sz w:val="22"/>
                <w:szCs w:val="22"/>
                <w:lang w:eastAsia="de-CH"/>
              </w:rPr>
              <w:tab/>
            </w:r>
            <w:r w:rsidRPr="001D2611">
              <w:rPr>
                <w:rStyle w:val="Hyperlink"/>
                <w:noProof/>
              </w:rPr>
              <w:t>Governance</w:t>
            </w:r>
            <w:r>
              <w:rPr>
                <w:noProof/>
                <w:webHidden/>
              </w:rPr>
              <w:tab/>
            </w:r>
            <w:r>
              <w:rPr>
                <w:noProof/>
                <w:webHidden/>
              </w:rPr>
              <w:fldChar w:fldCharType="begin"/>
            </w:r>
            <w:r>
              <w:rPr>
                <w:noProof/>
                <w:webHidden/>
              </w:rPr>
              <w:instrText xml:space="preserve"> PAGEREF _Toc185241468 \h </w:instrText>
            </w:r>
            <w:r>
              <w:rPr>
                <w:noProof/>
                <w:webHidden/>
              </w:rPr>
            </w:r>
            <w:r>
              <w:rPr>
                <w:noProof/>
                <w:webHidden/>
              </w:rPr>
              <w:fldChar w:fldCharType="separate"/>
            </w:r>
            <w:r>
              <w:rPr>
                <w:noProof/>
                <w:webHidden/>
              </w:rPr>
              <w:t>9</w:t>
            </w:r>
            <w:r>
              <w:rPr>
                <w:noProof/>
                <w:webHidden/>
              </w:rPr>
              <w:fldChar w:fldCharType="end"/>
            </w:r>
          </w:hyperlink>
        </w:p>
        <w:p w14:paraId="34AD2420" w14:textId="6828AFA8"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69" w:history="1">
            <w:r w:rsidRPr="001D2611">
              <w:rPr>
                <w:rStyle w:val="Hyperlink"/>
                <w:noProof/>
                <w:lang w:val="x-none" w:eastAsia="x-none" w:bidi="x-none"/>
              </w:rPr>
              <w:t>4.1.1</w:t>
            </w:r>
            <w:r>
              <w:rPr>
                <w:rFonts w:asciiTheme="minorHAnsi" w:eastAsiaTheme="minorEastAsia" w:hAnsiTheme="minorHAnsi" w:cstheme="minorBidi"/>
                <w:noProof/>
                <w:sz w:val="22"/>
                <w:szCs w:val="22"/>
                <w:lang w:eastAsia="de-CH"/>
              </w:rPr>
              <w:tab/>
            </w:r>
            <w:r w:rsidRPr="001D2611">
              <w:rPr>
                <w:rStyle w:val="Hyperlink"/>
                <w:noProof/>
              </w:rPr>
              <w:t>Geschäftsleitung der Verwahrstelle (GOV-1)*</w:t>
            </w:r>
            <w:r>
              <w:rPr>
                <w:noProof/>
                <w:webHidden/>
              </w:rPr>
              <w:tab/>
            </w:r>
            <w:r>
              <w:rPr>
                <w:noProof/>
                <w:webHidden/>
              </w:rPr>
              <w:fldChar w:fldCharType="begin"/>
            </w:r>
            <w:r>
              <w:rPr>
                <w:noProof/>
                <w:webHidden/>
              </w:rPr>
              <w:instrText xml:space="preserve"> PAGEREF _Toc185241469 \h </w:instrText>
            </w:r>
            <w:r>
              <w:rPr>
                <w:noProof/>
                <w:webHidden/>
              </w:rPr>
            </w:r>
            <w:r>
              <w:rPr>
                <w:noProof/>
                <w:webHidden/>
              </w:rPr>
              <w:fldChar w:fldCharType="separate"/>
            </w:r>
            <w:r>
              <w:rPr>
                <w:noProof/>
                <w:webHidden/>
              </w:rPr>
              <w:t>9</w:t>
            </w:r>
            <w:r>
              <w:rPr>
                <w:noProof/>
                <w:webHidden/>
              </w:rPr>
              <w:fldChar w:fldCharType="end"/>
            </w:r>
          </w:hyperlink>
        </w:p>
        <w:p w14:paraId="714FB51E" w14:textId="685F1030"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0" w:history="1">
            <w:r w:rsidRPr="001D2611">
              <w:rPr>
                <w:rStyle w:val="Hyperlink"/>
                <w:noProof/>
                <w:lang w:val="x-none" w:eastAsia="x-none" w:bidi="x-none"/>
              </w:rPr>
              <w:t>4.1.2</w:t>
            </w:r>
            <w:r>
              <w:rPr>
                <w:rFonts w:asciiTheme="minorHAnsi" w:eastAsiaTheme="minorEastAsia" w:hAnsiTheme="minorHAnsi" w:cstheme="minorBidi"/>
                <w:noProof/>
                <w:sz w:val="22"/>
                <w:szCs w:val="22"/>
                <w:lang w:eastAsia="de-CH"/>
              </w:rPr>
              <w:tab/>
            </w:r>
            <w:r w:rsidRPr="001D2611">
              <w:rPr>
                <w:rStyle w:val="Hyperlink"/>
                <w:noProof/>
              </w:rPr>
              <w:t>Unabhängigkeit der Verwahrstellenfunktion und Interessenskonflikte (GOV-2)</w:t>
            </w:r>
            <w:r>
              <w:rPr>
                <w:noProof/>
                <w:webHidden/>
              </w:rPr>
              <w:tab/>
            </w:r>
            <w:r>
              <w:rPr>
                <w:noProof/>
                <w:webHidden/>
              </w:rPr>
              <w:fldChar w:fldCharType="begin"/>
            </w:r>
            <w:r>
              <w:rPr>
                <w:noProof/>
                <w:webHidden/>
              </w:rPr>
              <w:instrText xml:space="preserve"> PAGEREF _Toc185241470 \h </w:instrText>
            </w:r>
            <w:r>
              <w:rPr>
                <w:noProof/>
                <w:webHidden/>
              </w:rPr>
            </w:r>
            <w:r>
              <w:rPr>
                <w:noProof/>
                <w:webHidden/>
              </w:rPr>
              <w:fldChar w:fldCharType="separate"/>
            </w:r>
            <w:r>
              <w:rPr>
                <w:noProof/>
                <w:webHidden/>
              </w:rPr>
              <w:t>10</w:t>
            </w:r>
            <w:r>
              <w:rPr>
                <w:noProof/>
                <w:webHidden/>
              </w:rPr>
              <w:fldChar w:fldCharType="end"/>
            </w:r>
          </w:hyperlink>
        </w:p>
        <w:p w14:paraId="19E42368" w14:textId="572490EC"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1" w:history="1">
            <w:r w:rsidRPr="001D2611">
              <w:rPr>
                <w:rStyle w:val="Hyperlink"/>
                <w:noProof/>
                <w:lang w:val="x-none" w:eastAsia="x-none" w:bidi="x-none"/>
              </w:rPr>
              <w:t>4.1.3</w:t>
            </w:r>
            <w:r>
              <w:rPr>
                <w:rFonts w:asciiTheme="minorHAnsi" w:eastAsiaTheme="minorEastAsia" w:hAnsiTheme="minorHAnsi" w:cstheme="minorBidi"/>
                <w:noProof/>
                <w:sz w:val="22"/>
                <w:szCs w:val="22"/>
                <w:lang w:eastAsia="de-CH"/>
              </w:rPr>
              <w:tab/>
            </w:r>
            <w:r w:rsidRPr="001D2611">
              <w:rPr>
                <w:rStyle w:val="Hyperlink"/>
                <w:noProof/>
              </w:rPr>
              <w:t>Fondsannahmeprozess (GOV-3)</w:t>
            </w:r>
            <w:r>
              <w:rPr>
                <w:noProof/>
                <w:webHidden/>
              </w:rPr>
              <w:tab/>
            </w:r>
            <w:r>
              <w:rPr>
                <w:noProof/>
                <w:webHidden/>
              </w:rPr>
              <w:fldChar w:fldCharType="begin"/>
            </w:r>
            <w:r>
              <w:rPr>
                <w:noProof/>
                <w:webHidden/>
              </w:rPr>
              <w:instrText xml:space="preserve"> PAGEREF _Toc185241471 \h </w:instrText>
            </w:r>
            <w:r>
              <w:rPr>
                <w:noProof/>
                <w:webHidden/>
              </w:rPr>
            </w:r>
            <w:r>
              <w:rPr>
                <w:noProof/>
                <w:webHidden/>
              </w:rPr>
              <w:fldChar w:fldCharType="separate"/>
            </w:r>
            <w:r>
              <w:rPr>
                <w:noProof/>
                <w:webHidden/>
              </w:rPr>
              <w:t>11</w:t>
            </w:r>
            <w:r>
              <w:rPr>
                <w:noProof/>
                <w:webHidden/>
              </w:rPr>
              <w:fldChar w:fldCharType="end"/>
            </w:r>
          </w:hyperlink>
        </w:p>
        <w:p w14:paraId="602F08A6" w14:textId="0055C9C0"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2" w:history="1">
            <w:r w:rsidRPr="001D2611">
              <w:rPr>
                <w:rStyle w:val="Hyperlink"/>
                <w:noProof/>
                <w:lang w:val="x-none" w:eastAsia="x-none" w:bidi="x-none"/>
              </w:rPr>
              <w:t>4.1.4</w:t>
            </w:r>
            <w:r>
              <w:rPr>
                <w:rFonts w:asciiTheme="minorHAnsi" w:eastAsiaTheme="minorEastAsia" w:hAnsiTheme="minorHAnsi" w:cstheme="minorBidi"/>
                <w:noProof/>
                <w:sz w:val="22"/>
                <w:szCs w:val="22"/>
                <w:lang w:eastAsia="de-CH"/>
              </w:rPr>
              <w:tab/>
            </w:r>
            <w:r w:rsidRPr="001D2611">
              <w:rPr>
                <w:rStyle w:val="Hyperlink"/>
                <w:noProof/>
              </w:rPr>
              <w:t>Delegation von Aufgaben an Dritte (GOV-4)</w:t>
            </w:r>
            <w:r>
              <w:rPr>
                <w:noProof/>
                <w:webHidden/>
              </w:rPr>
              <w:tab/>
            </w:r>
            <w:r>
              <w:rPr>
                <w:noProof/>
                <w:webHidden/>
              </w:rPr>
              <w:fldChar w:fldCharType="begin"/>
            </w:r>
            <w:r>
              <w:rPr>
                <w:noProof/>
                <w:webHidden/>
              </w:rPr>
              <w:instrText xml:space="preserve"> PAGEREF _Toc185241472 \h </w:instrText>
            </w:r>
            <w:r>
              <w:rPr>
                <w:noProof/>
                <w:webHidden/>
              </w:rPr>
            </w:r>
            <w:r>
              <w:rPr>
                <w:noProof/>
                <w:webHidden/>
              </w:rPr>
              <w:fldChar w:fldCharType="separate"/>
            </w:r>
            <w:r>
              <w:rPr>
                <w:noProof/>
                <w:webHidden/>
              </w:rPr>
              <w:t>13</w:t>
            </w:r>
            <w:r>
              <w:rPr>
                <w:noProof/>
                <w:webHidden/>
              </w:rPr>
              <w:fldChar w:fldCharType="end"/>
            </w:r>
          </w:hyperlink>
        </w:p>
        <w:p w14:paraId="076BA72B" w14:textId="7AD22944"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3" w:history="1">
            <w:r w:rsidRPr="001D2611">
              <w:rPr>
                <w:rStyle w:val="Hyperlink"/>
                <w:noProof/>
                <w:lang w:val="x-none" w:eastAsia="x-none" w:bidi="x-none"/>
              </w:rPr>
              <w:t>4.1.5</w:t>
            </w:r>
            <w:r>
              <w:rPr>
                <w:rFonts w:asciiTheme="minorHAnsi" w:eastAsiaTheme="minorEastAsia" w:hAnsiTheme="minorHAnsi" w:cstheme="minorBidi"/>
                <w:noProof/>
                <w:sz w:val="22"/>
                <w:szCs w:val="22"/>
                <w:lang w:eastAsia="de-CH"/>
              </w:rPr>
              <w:tab/>
            </w:r>
            <w:r w:rsidRPr="001D2611">
              <w:rPr>
                <w:rStyle w:val="Hyperlink"/>
                <w:noProof/>
              </w:rPr>
              <w:t>Pflichten hinsichtlich der Ausführung von Anweisungen (GOV-5)</w:t>
            </w:r>
            <w:r>
              <w:rPr>
                <w:noProof/>
                <w:webHidden/>
              </w:rPr>
              <w:tab/>
            </w:r>
            <w:r>
              <w:rPr>
                <w:noProof/>
                <w:webHidden/>
              </w:rPr>
              <w:fldChar w:fldCharType="begin"/>
            </w:r>
            <w:r>
              <w:rPr>
                <w:noProof/>
                <w:webHidden/>
              </w:rPr>
              <w:instrText xml:space="preserve"> PAGEREF _Toc185241473 \h </w:instrText>
            </w:r>
            <w:r>
              <w:rPr>
                <w:noProof/>
                <w:webHidden/>
              </w:rPr>
            </w:r>
            <w:r>
              <w:rPr>
                <w:noProof/>
                <w:webHidden/>
              </w:rPr>
              <w:fldChar w:fldCharType="separate"/>
            </w:r>
            <w:r>
              <w:rPr>
                <w:noProof/>
                <w:webHidden/>
              </w:rPr>
              <w:t>14</w:t>
            </w:r>
            <w:r>
              <w:rPr>
                <w:noProof/>
                <w:webHidden/>
              </w:rPr>
              <w:fldChar w:fldCharType="end"/>
            </w:r>
          </w:hyperlink>
        </w:p>
        <w:p w14:paraId="47F8CE73" w14:textId="16804CFA" w:rsidR="00AE099D" w:rsidRDefault="00AE099D">
          <w:pPr>
            <w:pStyle w:val="Verzeichnis2"/>
            <w:rPr>
              <w:rFonts w:asciiTheme="minorHAnsi" w:eastAsiaTheme="minorEastAsia" w:hAnsiTheme="minorHAnsi" w:cstheme="minorBidi"/>
              <w:noProof/>
              <w:sz w:val="22"/>
              <w:szCs w:val="22"/>
              <w:lang w:eastAsia="de-CH"/>
            </w:rPr>
          </w:pPr>
          <w:hyperlink w:anchor="_Toc185241474" w:history="1">
            <w:r w:rsidRPr="001D2611">
              <w:rPr>
                <w:rStyle w:val="Hyperlink"/>
                <w:noProof/>
              </w:rPr>
              <w:t>4.2</w:t>
            </w:r>
            <w:r>
              <w:rPr>
                <w:rFonts w:asciiTheme="minorHAnsi" w:eastAsiaTheme="minorEastAsia" w:hAnsiTheme="minorHAnsi" w:cstheme="minorBidi"/>
                <w:noProof/>
                <w:sz w:val="22"/>
                <w:szCs w:val="22"/>
                <w:lang w:eastAsia="de-CH"/>
              </w:rPr>
              <w:tab/>
            </w:r>
            <w:r w:rsidRPr="001D2611">
              <w:rPr>
                <w:rStyle w:val="Hyperlink"/>
                <w:noProof/>
              </w:rPr>
              <w:t>Besondere Aufgaben (BA)</w:t>
            </w:r>
            <w:r>
              <w:rPr>
                <w:noProof/>
                <w:webHidden/>
              </w:rPr>
              <w:tab/>
            </w:r>
            <w:r>
              <w:rPr>
                <w:noProof/>
                <w:webHidden/>
              </w:rPr>
              <w:fldChar w:fldCharType="begin"/>
            </w:r>
            <w:r>
              <w:rPr>
                <w:noProof/>
                <w:webHidden/>
              </w:rPr>
              <w:instrText xml:space="preserve"> PAGEREF _Toc185241474 \h </w:instrText>
            </w:r>
            <w:r>
              <w:rPr>
                <w:noProof/>
                <w:webHidden/>
              </w:rPr>
            </w:r>
            <w:r>
              <w:rPr>
                <w:noProof/>
                <w:webHidden/>
              </w:rPr>
              <w:fldChar w:fldCharType="separate"/>
            </w:r>
            <w:r>
              <w:rPr>
                <w:noProof/>
                <w:webHidden/>
              </w:rPr>
              <w:t>15</w:t>
            </w:r>
            <w:r>
              <w:rPr>
                <w:noProof/>
                <w:webHidden/>
              </w:rPr>
              <w:fldChar w:fldCharType="end"/>
            </w:r>
          </w:hyperlink>
        </w:p>
        <w:p w14:paraId="2F14E39A" w14:textId="7C8E76B7"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5" w:history="1">
            <w:r w:rsidRPr="001D2611">
              <w:rPr>
                <w:rStyle w:val="Hyperlink"/>
                <w:noProof/>
                <w:lang w:val="x-none" w:eastAsia="x-none" w:bidi="x-none"/>
              </w:rPr>
              <w:t>4.2.1</w:t>
            </w:r>
            <w:r>
              <w:rPr>
                <w:rFonts w:asciiTheme="minorHAnsi" w:eastAsiaTheme="minorEastAsia" w:hAnsiTheme="minorHAnsi" w:cstheme="minorBidi"/>
                <w:noProof/>
                <w:sz w:val="22"/>
                <w:szCs w:val="22"/>
                <w:lang w:eastAsia="de-CH"/>
              </w:rPr>
              <w:tab/>
            </w:r>
            <w:r w:rsidRPr="001D2611">
              <w:rPr>
                <w:rStyle w:val="Hyperlink"/>
                <w:noProof/>
              </w:rPr>
              <w:t>Aufbewahrung des Vermögens der kollektiven Kapitalanlagen sowie Verwahrung der Sicherheiten (BA-1)</w:t>
            </w:r>
            <w:r>
              <w:rPr>
                <w:noProof/>
                <w:webHidden/>
              </w:rPr>
              <w:tab/>
            </w:r>
            <w:r>
              <w:rPr>
                <w:noProof/>
                <w:webHidden/>
              </w:rPr>
              <w:fldChar w:fldCharType="begin"/>
            </w:r>
            <w:r>
              <w:rPr>
                <w:noProof/>
                <w:webHidden/>
              </w:rPr>
              <w:instrText xml:space="preserve"> PAGEREF _Toc185241475 \h </w:instrText>
            </w:r>
            <w:r>
              <w:rPr>
                <w:noProof/>
                <w:webHidden/>
              </w:rPr>
            </w:r>
            <w:r>
              <w:rPr>
                <w:noProof/>
                <w:webHidden/>
              </w:rPr>
              <w:fldChar w:fldCharType="separate"/>
            </w:r>
            <w:r>
              <w:rPr>
                <w:noProof/>
                <w:webHidden/>
              </w:rPr>
              <w:t>15</w:t>
            </w:r>
            <w:r>
              <w:rPr>
                <w:noProof/>
                <w:webHidden/>
              </w:rPr>
              <w:fldChar w:fldCharType="end"/>
            </w:r>
          </w:hyperlink>
        </w:p>
        <w:p w14:paraId="4F6C4BE8" w14:textId="43F476C7"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6" w:history="1">
            <w:r w:rsidRPr="001D2611">
              <w:rPr>
                <w:rStyle w:val="Hyperlink"/>
                <w:noProof/>
                <w:lang w:val="x-none" w:eastAsia="x-none" w:bidi="x-none"/>
              </w:rPr>
              <w:t>4.2.2</w:t>
            </w:r>
            <w:r>
              <w:rPr>
                <w:rFonts w:asciiTheme="minorHAnsi" w:eastAsiaTheme="minorEastAsia" w:hAnsiTheme="minorHAnsi" w:cstheme="minorBidi"/>
                <w:noProof/>
                <w:sz w:val="22"/>
                <w:szCs w:val="22"/>
                <w:lang w:eastAsia="de-CH"/>
              </w:rPr>
              <w:tab/>
            </w:r>
            <w:r w:rsidRPr="001D2611">
              <w:rPr>
                <w:rStyle w:val="Hyperlink"/>
                <w:noProof/>
              </w:rPr>
              <w:t>Ausgabe und Rücknahme der Anteile (BA-2)</w:t>
            </w:r>
            <w:r>
              <w:rPr>
                <w:noProof/>
                <w:webHidden/>
              </w:rPr>
              <w:tab/>
            </w:r>
            <w:r>
              <w:rPr>
                <w:noProof/>
                <w:webHidden/>
              </w:rPr>
              <w:fldChar w:fldCharType="begin"/>
            </w:r>
            <w:r>
              <w:rPr>
                <w:noProof/>
                <w:webHidden/>
              </w:rPr>
              <w:instrText xml:space="preserve"> PAGEREF _Toc185241476 \h </w:instrText>
            </w:r>
            <w:r>
              <w:rPr>
                <w:noProof/>
                <w:webHidden/>
              </w:rPr>
            </w:r>
            <w:r>
              <w:rPr>
                <w:noProof/>
                <w:webHidden/>
              </w:rPr>
              <w:fldChar w:fldCharType="separate"/>
            </w:r>
            <w:r>
              <w:rPr>
                <w:noProof/>
                <w:webHidden/>
              </w:rPr>
              <w:t>17</w:t>
            </w:r>
            <w:r>
              <w:rPr>
                <w:noProof/>
                <w:webHidden/>
              </w:rPr>
              <w:fldChar w:fldCharType="end"/>
            </w:r>
          </w:hyperlink>
        </w:p>
        <w:p w14:paraId="08A8EFA2" w14:textId="47B19994"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7" w:history="1">
            <w:r w:rsidRPr="001D2611">
              <w:rPr>
                <w:rStyle w:val="Hyperlink"/>
                <w:noProof/>
                <w:lang w:val="x-none" w:eastAsia="x-none" w:bidi="x-none"/>
              </w:rPr>
              <w:t>4.2.3</w:t>
            </w:r>
            <w:r>
              <w:rPr>
                <w:rFonts w:asciiTheme="minorHAnsi" w:eastAsiaTheme="minorEastAsia" w:hAnsiTheme="minorHAnsi" w:cstheme="minorBidi"/>
                <w:noProof/>
                <w:sz w:val="22"/>
                <w:szCs w:val="22"/>
                <w:lang w:eastAsia="de-CH"/>
              </w:rPr>
              <w:tab/>
            </w:r>
            <w:r w:rsidRPr="001D2611">
              <w:rPr>
                <w:rStyle w:val="Hyperlink"/>
                <w:noProof/>
              </w:rPr>
              <w:t>Besorgung des Zahlungsverkehrs (BA-3)</w:t>
            </w:r>
            <w:r>
              <w:rPr>
                <w:noProof/>
                <w:webHidden/>
              </w:rPr>
              <w:tab/>
            </w:r>
            <w:r>
              <w:rPr>
                <w:noProof/>
                <w:webHidden/>
              </w:rPr>
              <w:fldChar w:fldCharType="begin"/>
            </w:r>
            <w:r>
              <w:rPr>
                <w:noProof/>
                <w:webHidden/>
              </w:rPr>
              <w:instrText xml:space="preserve"> PAGEREF _Toc185241477 \h </w:instrText>
            </w:r>
            <w:r>
              <w:rPr>
                <w:noProof/>
                <w:webHidden/>
              </w:rPr>
            </w:r>
            <w:r>
              <w:rPr>
                <w:noProof/>
                <w:webHidden/>
              </w:rPr>
              <w:fldChar w:fldCharType="separate"/>
            </w:r>
            <w:r>
              <w:rPr>
                <w:noProof/>
                <w:webHidden/>
              </w:rPr>
              <w:t>18</w:t>
            </w:r>
            <w:r>
              <w:rPr>
                <w:noProof/>
                <w:webHidden/>
              </w:rPr>
              <w:fldChar w:fldCharType="end"/>
            </w:r>
          </w:hyperlink>
        </w:p>
        <w:p w14:paraId="53FDBFFD" w14:textId="2BCA492C" w:rsidR="00AE099D" w:rsidRDefault="00AE099D">
          <w:pPr>
            <w:pStyle w:val="Verzeichnis2"/>
            <w:rPr>
              <w:rFonts w:asciiTheme="minorHAnsi" w:eastAsiaTheme="minorEastAsia" w:hAnsiTheme="minorHAnsi" w:cstheme="minorBidi"/>
              <w:noProof/>
              <w:sz w:val="22"/>
              <w:szCs w:val="22"/>
              <w:lang w:eastAsia="de-CH"/>
            </w:rPr>
          </w:pPr>
          <w:hyperlink w:anchor="_Toc185241478" w:history="1">
            <w:r w:rsidRPr="001D2611">
              <w:rPr>
                <w:rStyle w:val="Hyperlink"/>
                <w:noProof/>
              </w:rPr>
              <w:t>4.3</w:t>
            </w:r>
            <w:r>
              <w:rPr>
                <w:rFonts w:asciiTheme="minorHAnsi" w:eastAsiaTheme="minorEastAsia" w:hAnsiTheme="minorHAnsi" w:cstheme="minorBidi"/>
                <w:noProof/>
                <w:sz w:val="22"/>
                <w:szCs w:val="22"/>
                <w:lang w:eastAsia="de-CH"/>
              </w:rPr>
              <w:tab/>
            </w:r>
            <w:r w:rsidRPr="001D2611">
              <w:rPr>
                <w:rStyle w:val="Hyperlink"/>
                <w:noProof/>
              </w:rPr>
              <w:t>Kontrollaufgaben</w:t>
            </w:r>
            <w:r>
              <w:rPr>
                <w:noProof/>
                <w:webHidden/>
              </w:rPr>
              <w:tab/>
            </w:r>
            <w:r>
              <w:rPr>
                <w:noProof/>
                <w:webHidden/>
              </w:rPr>
              <w:fldChar w:fldCharType="begin"/>
            </w:r>
            <w:r>
              <w:rPr>
                <w:noProof/>
                <w:webHidden/>
              </w:rPr>
              <w:instrText xml:space="preserve"> PAGEREF _Toc185241478 \h </w:instrText>
            </w:r>
            <w:r>
              <w:rPr>
                <w:noProof/>
                <w:webHidden/>
              </w:rPr>
            </w:r>
            <w:r>
              <w:rPr>
                <w:noProof/>
                <w:webHidden/>
              </w:rPr>
              <w:fldChar w:fldCharType="separate"/>
            </w:r>
            <w:r>
              <w:rPr>
                <w:noProof/>
                <w:webHidden/>
              </w:rPr>
              <w:t>19</w:t>
            </w:r>
            <w:r>
              <w:rPr>
                <w:noProof/>
                <w:webHidden/>
              </w:rPr>
              <w:fldChar w:fldCharType="end"/>
            </w:r>
          </w:hyperlink>
        </w:p>
        <w:p w14:paraId="48BB3835" w14:textId="6C97CC77"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79" w:history="1">
            <w:r w:rsidRPr="001D2611">
              <w:rPr>
                <w:rStyle w:val="Hyperlink"/>
                <w:noProof/>
                <w:lang w:val="x-none" w:eastAsia="x-none" w:bidi="x-none"/>
              </w:rPr>
              <w:t>4.3.1</w:t>
            </w:r>
            <w:r>
              <w:rPr>
                <w:rFonts w:asciiTheme="minorHAnsi" w:eastAsiaTheme="minorEastAsia" w:hAnsiTheme="minorHAnsi" w:cstheme="minorBidi"/>
                <w:noProof/>
                <w:sz w:val="22"/>
                <w:szCs w:val="22"/>
                <w:lang w:eastAsia="de-CH"/>
              </w:rPr>
              <w:tab/>
            </w:r>
            <w:r w:rsidRPr="001D2611">
              <w:rPr>
                <w:rStyle w:val="Hyperlink"/>
                <w:noProof/>
              </w:rPr>
              <w:t>Berechnung des Nettoinventarwertes und der Ausgabe und Rücknahmepreise der Anteile (KA-1)</w:t>
            </w:r>
            <w:r>
              <w:rPr>
                <w:noProof/>
                <w:webHidden/>
              </w:rPr>
              <w:tab/>
            </w:r>
            <w:r>
              <w:rPr>
                <w:noProof/>
                <w:webHidden/>
              </w:rPr>
              <w:fldChar w:fldCharType="begin"/>
            </w:r>
            <w:r>
              <w:rPr>
                <w:noProof/>
                <w:webHidden/>
              </w:rPr>
              <w:instrText xml:space="preserve"> PAGEREF _Toc185241479 \h </w:instrText>
            </w:r>
            <w:r>
              <w:rPr>
                <w:noProof/>
                <w:webHidden/>
              </w:rPr>
            </w:r>
            <w:r>
              <w:rPr>
                <w:noProof/>
                <w:webHidden/>
              </w:rPr>
              <w:fldChar w:fldCharType="separate"/>
            </w:r>
            <w:r>
              <w:rPr>
                <w:noProof/>
                <w:webHidden/>
              </w:rPr>
              <w:t>19</w:t>
            </w:r>
            <w:r>
              <w:rPr>
                <w:noProof/>
                <w:webHidden/>
              </w:rPr>
              <w:fldChar w:fldCharType="end"/>
            </w:r>
          </w:hyperlink>
        </w:p>
        <w:p w14:paraId="5168274A" w14:textId="30860A48"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80" w:history="1">
            <w:r w:rsidRPr="001D2611">
              <w:rPr>
                <w:rStyle w:val="Hyperlink"/>
                <w:noProof/>
                <w:lang w:val="x-none" w:eastAsia="x-none" w:bidi="x-none"/>
              </w:rPr>
              <w:t>4.3.2</w:t>
            </w:r>
            <w:r>
              <w:rPr>
                <w:rFonts w:asciiTheme="minorHAnsi" w:eastAsiaTheme="minorEastAsia" w:hAnsiTheme="minorHAnsi" w:cstheme="minorBidi"/>
                <w:noProof/>
                <w:sz w:val="22"/>
                <w:szCs w:val="22"/>
                <w:lang w:eastAsia="de-CH"/>
              </w:rPr>
              <w:tab/>
            </w:r>
            <w:r w:rsidRPr="001D2611">
              <w:rPr>
                <w:rStyle w:val="Hyperlink"/>
                <w:noProof/>
              </w:rPr>
              <w:t>Überwachung der Anlageentscheide (KA-2)</w:t>
            </w:r>
            <w:r>
              <w:rPr>
                <w:noProof/>
                <w:webHidden/>
              </w:rPr>
              <w:tab/>
            </w:r>
            <w:r>
              <w:rPr>
                <w:noProof/>
                <w:webHidden/>
              </w:rPr>
              <w:fldChar w:fldCharType="begin"/>
            </w:r>
            <w:r>
              <w:rPr>
                <w:noProof/>
                <w:webHidden/>
              </w:rPr>
              <w:instrText xml:space="preserve"> PAGEREF _Toc185241480 \h </w:instrText>
            </w:r>
            <w:r>
              <w:rPr>
                <w:noProof/>
                <w:webHidden/>
              </w:rPr>
            </w:r>
            <w:r>
              <w:rPr>
                <w:noProof/>
                <w:webHidden/>
              </w:rPr>
              <w:fldChar w:fldCharType="separate"/>
            </w:r>
            <w:r>
              <w:rPr>
                <w:noProof/>
                <w:webHidden/>
              </w:rPr>
              <w:t>21</w:t>
            </w:r>
            <w:r>
              <w:rPr>
                <w:noProof/>
                <w:webHidden/>
              </w:rPr>
              <w:fldChar w:fldCharType="end"/>
            </w:r>
          </w:hyperlink>
        </w:p>
        <w:p w14:paraId="23B81A27" w14:textId="2489D890" w:rsidR="00AE099D" w:rsidRDefault="00AE099D">
          <w:pPr>
            <w:pStyle w:val="Verzeichnis3"/>
            <w:tabs>
              <w:tab w:val="left" w:pos="1440"/>
            </w:tabs>
            <w:rPr>
              <w:rFonts w:asciiTheme="minorHAnsi" w:eastAsiaTheme="minorEastAsia" w:hAnsiTheme="minorHAnsi" w:cstheme="minorBidi"/>
              <w:noProof/>
              <w:sz w:val="22"/>
              <w:szCs w:val="22"/>
              <w:lang w:eastAsia="de-CH"/>
            </w:rPr>
          </w:pPr>
          <w:hyperlink w:anchor="_Toc185241481" w:history="1">
            <w:r w:rsidRPr="001D2611">
              <w:rPr>
                <w:rStyle w:val="Hyperlink"/>
                <w:noProof/>
                <w:lang w:val="x-none" w:eastAsia="x-none" w:bidi="x-none"/>
              </w:rPr>
              <w:t>4.3.3</w:t>
            </w:r>
            <w:r>
              <w:rPr>
                <w:rFonts w:asciiTheme="minorHAnsi" w:eastAsiaTheme="minorEastAsia" w:hAnsiTheme="minorHAnsi" w:cstheme="minorBidi"/>
                <w:noProof/>
                <w:sz w:val="22"/>
                <w:szCs w:val="22"/>
                <w:lang w:eastAsia="de-CH"/>
              </w:rPr>
              <w:tab/>
            </w:r>
            <w:r w:rsidRPr="001D2611">
              <w:rPr>
                <w:rStyle w:val="Hyperlink"/>
                <w:noProof/>
              </w:rPr>
              <w:t>Verwendung des Erfolgs (KA-3)</w:t>
            </w:r>
            <w:r>
              <w:rPr>
                <w:noProof/>
                <w:webHidden/>
              </w:rPr>
              <w:tab/>
            </w:r>
            <w:r>
              <w:rPr>
                <w:noProof/>
                <w:webHidden/>
              </w:rPr>
              <w:fldChar w:fldCharType="begin"/>
            </w:r>
            <w:r>
              <w:rPr>
                <w:noProof/>
                <w:webHidden/>
              </w:rPr>
              <w:instrText xml:space="preserve"> PAGEREF _Toc185241481 \h </w:instrText>
            </w:r>
            <w:r>
              <w:rPr>
                <w:noProof/>
                <w:webHidden/>
              </w:rPr>
            </w:r>
            <w:r>
              <w:rPr>
                <w:noProof/>
                <w:webHidden/>
              </w:rPr>
              <w:fldChar w:fldCharType="separate"/>
            </w:r>
            <w:r>
              <w:rPr>
                <w:noProof/>
                <w:webHidden/>
              </w:rPr>
              <w:t>22</w:t>
            </w:r>
            <w:r>
              <w:rPr>
                <w:noProof/>
                <w:webHidden/>
              </w:rPr>
              <w:fldChar w:fldCharType="end"/>
            </w:r>
          </w:hyperlink>
        </w:p>
        <w:p w14:paraId="68CFFC98" w14:textId="4D44398E" w:rsidR="00AE099D" w:rsidRDefault="00AE099D">
          <w:pPr>
            <w:pStyle w:val="Verzeichnis2"/>
            <w:rPr>
              <w:rFonts w:asciiTheme="minorHAnsi" w:eastAsiaTheme="minorEastAsia" w:hAnsiTheme="minorHAnsi" w:cstheme="minorBidi"/>
              <w:noProof/>
              <w:sz w:val="22"/>
              <w:szCs w:val="22"/>
              <w:lang w:eastAsia="de-CH"/>
            </w:rPr>
          </w:pPr>
          <w:hyperlink w:anchor="_Toc185241482" w:history="1">
            <w:r w:rsidRPr="001D2611">
              <w:rPr>
                <w:rStyle w:val="Hyperlink"/>
                <w:noProof/>
              </w:rPr>
              <w:t>4.4</w:t>
            </w:r>
            <w:r>
              <w:rPr>
                <w:rFonts w:asciiTheme="minorHAnsi" w:eastAsiaTheme="minorEastAsia" w:hAnsiTheme="minorHAnsi" w:cstheme="minorBidi"/>
                <w:noProof/>
                <w:sz w:val="22"/>
                <w:szCs w:val="22"/>
                <w:lang w:eastAsia="de-CH"/>
              </w:rPr>
              <w:tab/>
            </w:r>
            <w:r w:rsidRPr="001D2611">
              <w:rPr>
                <w:rStyle w:val="Hyperlink"/>
                <w:noProof/>
              </w:rPr>
              <w:t>Weitere Pflichten (WP-1)</w:t>
            </w:r>
            <w:r>
              <w:rPr>
                <w:noProof/>
                <w:webHidden/>
              </w:rPr>
              <w:tab/>
            </w:r>
            <w:r>
              <w:rPr>
                <w:noProof/>
                <w:webHidden/>
              </w:rPr>
              <w:fldChar w:fldCharType="begin"/>
            </w:r>
            <w:r>
              <w:rPr>
                <w:noProof/>
                <w:webHidden/>
              </w:rPr>
              <w:instrText xml:space="preserve"> PAGEREF _Toc185241482 \h </w:instrText>
            </w:r>
            <w:r>
              <w:rPr>
                <w:noProof/>
                <w:webHidden/>
              </w:rPr>
            </w:r>
            <w:r>
              <w:rPr>
                <w:noProof/>
                <w:webHidden/>
              </w:rPr>
              <w:fldChar w:fldCharType="separate"/>
            </w:r>
            <w:r>
              <w:rPr>
                <w:noProof/>
                <w:webHidden/>
              </w:rPr>
              <w:t>23</w:t>
            </w:r>
            <w:r>
              <w:rPr>
                <w:noProof/>
                <w:webHidden/>
              </w:rPr>
              <w:fldChar w:fldCharType="end"/>
            </w:r>
          </w:hyperlink>
        </w:p>
        <w:p w14:paraId="0E1A366D" w14:textId="6B577DFB" w:rsidR="00AE099D" w:rsidRDefault="00AE099D">
          <w:pPr>
            <w:pStyle w:val="Verzeichnis2"/>
            <w:rPr>
              <w:rFonts w:asciiTheme="minorHAnsi" w:eastAsiaTheme="minorEastAsia" w:hAnsiTheme="minorHAnsi" w:cstheme="minorBidi"/>
              <w:noProof/>
              <w:sz w:val="22"/>
              <w:szCs w:val="22"/>
              <w:lang w:eastAsia="de-CH"/>
            </w:rPr>
          </w:pPr>
          <w:hyperlink w:anchor="_Toc185241483" w:history="1">
            <w:r w:rsidRPr="001D2611">
              <w:rPr>
                <w:rStyle w:val="Hyperlink"/>
                <w:noProof/>
              </w:rPr>
              <w:t>4.5</w:t>
            </w:r>
            <w:r>
              <w:rPr>
                <w:rFonts w:asciiTheme="minorHAnsi" w:eastAsiaTheme="minorEastAsia" w:hAnsiTheme="minorHAnsi" w:cstheme="minorBidi"/>
                <w:noProof/>
                <w:sz w:val="22"/>
                <w:szCs w:val="22"/>
                <w:lang w:eastAsia="de-CH"/>
              </w:rPr>
              <w:tab/>
            </w:r>
            <w:r w:rsidRPr="001D2611">
              <w:rPr>
                <w:rStyle w:val="Hyperlink"/>
                <w:noProof/>
              </w:rPr>
              <w:t>Prüfresultate aus von der FMA zusätzlich festgelegten Prüfgebieten bzw. Prüffelder</w:t>
            </w:r>
            <w:r>
              <w:rPr>
                <w:noProof/>
                <w:webHidden/>
              </w:rPr>
              <w:tab/>
            </w:r>
            <w:r>
              <w:rPr>
                <w:noProof/>
                <w:webHidden/>
              </w:rPr>
              <w:fldChar w:fldCharType="begin"/>
            </w:r>
            <w:r>
              <w:rPr>
                <w:noProof/>
                <w:webHidden/>
              </w:rPr>
              <w:instrText xml:space="preserve"> PAGEREF _Toc185241483 \h </w:instrText>
            </w:r>
            <w:r>
              <w:rPr>
                <w:noProof/>
                <w:webHidden/>
              </w:rPr>
            </w:r>
            <w:r>
              <w:rPr>
                <w:noProof/>
                <w:webHidden/>
              </w:rPr>
              <w:fldChar w:fldCharType="separate"/>
            </w:r>
            <w:r>
              <w:rPr>
                <w:noProof/>
                <w:webHidden/>
              </w:rPr>
              <w:t>26</w:t>
            </w:r>
            <w:r>
              <w:rPr>
                <w:noProof/>
                <w:webHidden/>
              </w:rPr>
              <w:fldChar w:fldCharType="end"/>
            </w:r>
          </w:hyperlink>
        </w:p>
        <w:p w14:paraId="1EA6B9F5" w14:textId="7AABFE3F" w:rsidR="00AE099D" w:rsidRDefault="00AE099D">
          <w:pPr>
            <w:pStyle w:val="Verzeichnis1"/>
            <w:rPr>
              <w:rFonts w:asciiTheme="minorHAnsi" w:eastAsiaTheme="minorEastAsia" w:hAnsiTheme="minorHAnsi" w:cstheme="minorBidi"/>
              <w:b w:val="0"/>
              <w:bCs w:val="0"/>
              <w:sz w:val="22"/>
              <w:szCs w:val="22"/>
              <w:lang w:eastAsia="de-CH"/>
            </w:rPr>
          </w:pPr>
          <w:hyperlink w:anchor="_Toc185241484" w:history="1">
            <w:r w:rsidRPr="001D2611">
              <w:rPr>
                <w:rStyle w:val="Hyperlink"/>
              </w:rPr>
              <w:t>5.</w:t>
            </w:r>
            <w:r>
              <w:rPr>
                <w:rFonts w:asciiTheme="minorHAnsi" w:eastAsiaTheme="minorEastAsia" w:hAnsiTheme="minorHAnsi" w:cstheme="minorBidi"/>
                <w:b w:val="0"/>
                <w:bCs w:val="0"/>
                <w:sz w:val="22"/>
                <w:szCs w:val="22"/>
                <w:lang w:eastAsia="de-CH"/>
              </w:rPr>
              <w:tab/>
            </w:r>
            <w:r w:rsidRPr="001D2611">
              <w:rPr>
                <w:rStyle w:val="Hyperlink"/>
              </w:rPr>
              <w:t>Weitere Bemerkungen</w:t>
            </w:r>
            <w:r>
              <w:rPr>
                <w:webHidden/>
              </w:rPr>
              <w:tab/>
            </w:r>
            <w:r>
              <w:rPr>
                <w:webHidden/>
              </w:rPr>
              <w:fldChar w:fldCharType="begin"/>
            </w:r>
            <w:r>
              <w:rPr>
                <w:webHidden/>
              </w:rPr>
              <w:instrText xml:space="preserve"> PAGEREF _Toc185241484 \h </w:instrText>
            </w:r>
            <w:r>
              <w:rPr>
                <w:webHidden/>
              </w:rPr>
            </w:r>
            <w:r>
              <w:rPr>
                <w:webHidden/>
              </w:rPr>
              <w:fldChar w:fldCharType="separate"/>
            </w:r>
            <w:r>
              <w:rPr>
                <w:webHidden/>
              </w:rPr>
              <w:t>26</w:t>
            </w:r>
            <w:r>
              <w:rPr>
                <w:webHidden/>
              </w:rPr>
              <w:fldChar w:fldCharType="end"/>
            </w:r>
          </w:hyperlink>
        </w:p>
        <w:p w14:paraId="7D38B4FB" w14:textId="0B506D61" w:rsidR="00AE099D" w:rsidRDefault="00AE099D">
          <w:pPr>
            <w:pStyle w:val="Verzeichnis1"/>
            <w:rPr>
              <w:rFonts w:asciiTheme="minorHAnsi" w:eastAsiaTheme="minorEastAsia" w:hAnsiTheme="minorHAnsi" w:cstheme="minorBidi"/>
              <w:b w:val="0"/>
              <w:bCs w:val="0"/>
              <w:sz w:val="22"/>
              <w:szCs w:val="22"/>
              <w:lang w:eastAsia="de-CH"/>
            </w:rPr>
          </w:pPr>
          <w:hyperlink w:anchor="_Toc185241485" w:history="1">
            <w:r w:rsidRPr="001D2611">
              <w:rPr>
                <w:rStyle w:val="Hyperlink"/>
              </w:rPr>
              <w:t>6.</w:t>
            </w:r>
            <w:r>
              <w:rPr>
                <w:rFonts w:asciiTheme="minorHAnsi" w:eastAsiaTheme="minorEastAsia" w:hAnsiTheme="minorHAnsi" w:cstheme="minorBidi"/>
                <w:b w:val="0"/>
                <w:bCs w:val="0"/>
                <w:sz w:val="22"/>
                <w:szCs w:val="22"/>
                <w:lang w:eastAsia="de-CH"/>
              </w:rPr>
              <w:tab/>
            </w:r>
            <w:r w:rsidRPr="001D2611">
              <w:rPr>
                <w:rStyle w:val="Hyperlink"/>
              </w:rPr>
              <w:t>Unterschrift / Bestätigung der Revisionsstelle</w:t>
            </w:r>
            <w:r>
              <w:rPr>
                <w:webHidden/>
              </w:rPr>
              <w:tab/>
            </w:r>
            <w:r>
              <w:rPr>
                <w:webHidden/>
              </w:rPr>
              <w:fldChar w:fldCharType="begin"/>
            </w:r>
            <w:r>
              <w:rPr>
                <w:webHidden/>
              </w:rPr>
              <w:instrText xml:space="preserve"> PAGEREF _Toc185241485 \h </w:instrText>
            </w:r>
            <w:r>
              <w:rPr>
                <w:webHidden/>
              </w:rPr>
            </w:r>
            <w:r>
              <w:rPr>
                <w:webHidden/>
              </w:rPr>
              <w:fldChar w:fldCharType="separate"/>
            </w:r>
            <w:r>
              <w:rPr>
                <w:webHidden/>
              </w:rPr>
              <w:t>26</w:t>
            </w:r>
            <w:r>
              <w:rPr>
                <w:webHidden/>
              </w:rPr>
              <w:fldChar w:fldCharType="end"/>
            </w:r>
          </w:hyperlink>
        </w:p>
        <w:p w14:paraId="0383FE3E" w14:textId="60D015BD" w:rsidR="00AE099D" w:rsidRDefault="00AE099D">
          <w:pPr>
            <w:pStyle w:val="Verzeichnis1"/>
            <w:rPr>
              <w:rFonts w:asciiTheme="minorHAnsi" w:eastAsiaTheme="minorEastAsia" w:hAnsiTheme="minorHAnsi" w:cstheme="minorBidi"/>
              <w:b w:val="0"/>
              <w:bCs w:val="0"/>
              <w:sz w:val="22"/>
              <w:szCs w:val="22"/>
              <w:lang w:eastAsia="de-CH"/>
            </w:rPr>
          </w:pPr>
          <w:hyperlink w:anchor="_Toc185241486" w:history="1">
            <w:r w:rsidRPr="001D2611">
              <w:rPr>
                <w:rStyle w:val="Hyperlink"/>
              </w:rPr>
              <w:t>7.</w:t>
            </w:r>
            <w:r>
              <w:rPr>
                <w:rFonts w:asciiTheme="minorHAnsi" w:eastAsiaTheme="minorEastAsia" w:hAnsiTheme="minorHAnsi" w:cstheme="minorBidi"/>
                <w:b w:val="0"/>
                <w:bCs w:val="0"/>
                <w:sz w:val="22"/>
                <w:szCs w:val="22"/>
                <w:lang w:eastAsia="de-CH"/>
              </w:rPr>
              <w:tab/>
            </w:r>
            <w:r w:rsidRPr="001D2611">
              <w:rPr>
                <w:rStyle w:val="Hyperlink"/>
              </w:rPr>
              <w:t>Anhang</w:t>
            </w:r>
            <w:r>
              <w:rPr>
                <w:webHidden/>
              </w:rPr>
              <w:tab/>
            </w:r>
            <w:r>
              <w:rPr>
                <w:webHidden/>
              </w:rPr>
              <w:fldChar w:fldCharType="begin"/>
            </w:r>
            <w:r>
              <w:rPr>
                <w:webHidden/>
              </w:rPr>
              <w:instrText xml:space="preserve"> PAGEREF _Toc185241486 \h </w:instrText>
            </w:r>
            <w:r>
              <w:rPr>
                <w:webHidden/>
              </w:rPr>
            </w:r>
            <w:r>
              <w:rPr>
                <w:webHidden/>
              </w:rPr>
              <w:fldChar w:fldCharType="separate"/>
            </w:r>
            <w:r>
              <w:rPr>
                <w:webHidden/>
              </w:rPr>
              <w:t>27</w:t>
            </w:r>
            <w:r>
              <w:rPr>
                <w:webHidden/>
              </w:rPr>
              <w:fldChar w:fldCharType="end"/>
            </w:r>
          </w:hyperlink>
        </w:p>
        <w:p w14:paraId="40272320" w14:textId="51922863"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30FA3029" w:rsidR="00DD5846" w:rsidRPr="00897AEF" w:rsidRDefault="0049142B" w:rsidP="003A65D2">
      <w:pPr>
        <w:jc w:val="both"/>
        <w:rPr>
          <w:rFonts w:ascii="Arial" w:hAnsi="Arial" w:cs="Arial"/>
          <w:b/>
          <w:i/>
        </w:rPr>
      </w:pPr>
      <w:r w:rsidRPr="00897AEF">
        <w:rPr>
          <w:rFonts w:ascii="Arial" w:hAnsi="Arial" w:cs="Arial"/>
          <w:b/>
          <w:i/>
          <w:highlight w:val="yellow"/>
        </w:rPr>
        <w:lastRenderedPageBreak/>
        <w:t xml:space="preserve">Beaufsichtigte </w:t>
      </w:r>
      <w:r w:rsidR="005B38C6">
        <w:rPr>
          <w:rFonts w:ascii="Arial" w:hAnsi="Arial" w:cs="Arial"/>
          <w:b/>
          <w:i/>
          <w:highlight w:val="yellow"/>
        </w:rPr>
        <w:t>Verwahrstelle</w:t>
      </w:r>
    </w:p>
    <w:p w14:paraId="6A7C0CF5" w14:textId="77777777" w:rsidR="003A65D2" w:rsidRPr="00897AEF" w:rsidRDefault="003A65D2" w:rsidP="003A65D2">
      <w:pPr>
        <w:jc w:val="both"/>
        <w:rPr>
          <w:rFonts w:ascii="Arial" w:hAnsi="Arial" w:cs="Arial"/>
          <w:b/>
        </w:rPr>
      </w:pPr>
    </w:p>
    <w:p w14:paraId="340A13CF" w14:textId="0AC4B031" w:rsidR="003A65D2" w:rsidRPr="005C2405" w:rsidRDefault="003A65D2" w:rsidP="003A65D2">
      <w:pPr>
        <w:jc w:val="both"/>
        <w:rPr>
          <w:rFonts w:ascii="Arial" w:hAnsi="Arial" w:cs="Arial"/>
        </w:rPr>
      </w:pPr>
      <w:r w:rsidRPr="00897AEF">
        <w:rPr>
          <w:rFonts w:ascii="Arial" w:hAnsi="Arial" w:cs="Arial"/>
        </w:rPr>
        <w:t xml:space="preserve">Bericht der Revisionsstelle über die Aufsichtsprüfung </w:t>
      </w:r>
      <w:r w:rsidRPr="00897AEF">
        <w:rPr>
          <w:rFonts w:ascii="Arial" w:hAnsi="Arial" w:cs="Arial"/>
          <w:i/>
          <w:highlight w:val="yellow"/>
        </w:rPr>
        <w:t>Berichtsjahr</w:t>
      </w:r>
      <w:r w:rsidR="005C2405">
        <w:rPr>
          <w:rFonts w:ascii="Arial" w:hAnsi="Arial" w:cs="Arial"/>
          <w:i/>
          <w:highlight w:val="yellow"/>
        </w:rPr>
        <w:t xml:space="preserve"> </w:t>
      </w:r>
      <w:r w:rsidR="005C2405" w:rsidRPr="005C2405">
        <w:rPr>
          <w:rFonts w:ascii="Arial" w:hAnsi="Arial" w:cs="Arial"/>
        </w:rPr>
        <w:t xml:space="preserve">für </w:t>
      </w:r>
      <w:r w:rsidR="005C2405">
        <w:rPr>
          <w:rFonts w:ascii="Arial" w:hAnsi="Arial" w:cs="Arial"/>
        </w:rPr>
        <w:t xml:space="preserve">die </w:t>
      </w:r>
      <w:r w:rsidR="005B38C6">
        <w:rPr>
          <w:rFonts w:ascii="Arial" w:hAnsi="Arial" w:cs="Arial"/>
        </w:rPr>
        <w:t>Verwahrstellen</w:t>
      </w:r>
      <w:r w:rsidR="005C2405">
        <w:rPr>
          <w:rFonts w:ascii="Arial" w:hAnsi="Arial" w:cs="Arial"/>
        </w:rPr>
        <w:t>funktion</w:t>
      </w:r>
    </w:p>
    <w:p w14:paraId="01A6A8E5" w14:textId="77777777" w:rsidR="00625CFC" w:rsidRPr="00897AEF" w:rsidRDefault="00625CFC" w:rsidP="003A65D2">
      <w:pPr>
        <w:jc w:val="both"/>
        <w:rPr>
          <w:rFonts w:ascii="Arial" w:hAnsi="Arial" w:cs="Arial"/>
        </w:rPr>
      </w:pPr>
    </w:p>
    <w:p w14:paraId="11531F63" w14:textId="084A6E8E" w:rsidR="00CF0F98" w:rsidRPr="00FC6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 xml:space="preserve">eile sind als Anleitung, jene in kursiv und gelb als beispielshafte Vorgabe zu verstehen. Nicht kursiv gehaltene Textvorgaben sind zwingend einzuhalten. </w:t>
      </w:r>
      <w:r w:rsidR="00FC6CFC">
        <w:rPr>
          <w:rFonts w:ascii="Arial" w:hAnsi="Arial" w:cs="Arial"/>
          <w:i/>
          <w:sz w:val="20"/>
          <w:szCs w:val="20"/>
          <w:highlight w:val="lightGray"/>
        </w:rPr>
        <w:t xml:space="preserve">Aus Gründen der Lesbarkeit werden Investmentunternehmen (IU) nach dem IUG, Organismen für gemeinsame Anlagen in Wertpapieren (OGAW) nach dem UCITSG und alternative Investmentfonds (AIF) nach dem </w:t>
      </w:r>
      <w:r w:rsidR="00D701D6">
        <w:rPr>
          <w:rFonts w:ascii="Arial" w:hAnsi="Arial" w:cs="Arial"/>
          <w:i/>
          <w:sz w:val="20"/>
          <w:szCs w:val="20"/>
          <w:highlight w:val="lightGray"/>
        </w:rPr>
        <w:t>A</w:t>
      </w:r>
      <w:r w:rsidR="00FC6CFC">
        <w:rPr>
          <w:rFonts w:ascii="Arial" w:hAnsi="Arial" w:cs="Arial"/>
          <w:i/>
          <w:sz w:val="20"/>
          <w:szCs w:val="20"/>
          <w:highlight w:val="lightGray"/>
        </w:rPr>
        <w:t xml:space="preserve">IFMG unter dem Begriff «Fonds» zusammengefasst. </w:t>
      </w:r>
      <w:r w:rsidRPr="00897AEF">
        <w:rPr>
          <w:rFonts w:ascii="Arial" w:hAnsi="Arial" w:cs="Arial"/>
          <w:i/>
          <w:sz w:val="20"/>
          <w:szCs w:val="20"/>
          <w:highlight w:val="lightGray"/>
        </w:rPr>
        <w:t>Die Vorlage ist ab 20</w:t>
      </w:r>
      <w:r w:rsidR="00881418">
        <w:rPr>
          <w:rFonts w:ascii="Arial" w:hAnsi="Arial" w:cs="Arial"/>
          <w:i/>
          <w:sz w:val="20"/>
          <w:szCs w:val="20"/>
          <w:highlight w:val="lightGray"/>
        </w:rPr>
        <w:t>2</w:t>
      </w:r>
      <w:r w:rsidR="00CB2027">
        <w:rPr>
          <w:rFonts w:ascii="Arial" w:hAnsi="Arial" w:cs="Arial"/>
          <w:i/>
          <w:sz w:val="20"/>
          <w:szCs w:val="20"/>
          <w:highlight w:val="lightGray"/>
        </w:rPr>
        <w:t>4</w:t>
      </w:r>
      <w:r w:rsidRPr="00897AEF">
        <w:rPr>
          <w:rFonts w:ascii="Arial" w:hAnsi="Arial" w:cs="Arial"/>
          <w:i/>
          <w:sz w:val="20"/>
          <w:szCs w:val="20"/>
          <w:highlight w:val="lightGray"/>
        </w:rPr>
        <w:t xml:space="preserve"> anwendbar </w:t>
      </w:r>
      <w:r w:rsidR="00D701D6">
        <w:rPr>
          <w:rFonts w:ascii="Arial" w:hAnsi="Arial" w:cs="Arial"/>
          <w:i/>
          <w:sz w:val="20"/>
          <w:szCs w:val="20"/>
          <w:highlight w:val="lightGray"/>
        </w:rPr>
        <w:t>(</w:t>
      </w:r>
      <w:r w:rsidRPr="00897AEF">
        <w:rPr>
          <w:rFonts w:ascii="Arial" w:hAnsi="Arial" w:cs="Arial"/>
          <w:i/>
          <w:sz w:val="20"/>
          <w:szCs w:val="20"/>
          <w:highlight w:val="lightGray"/>
        </w:rPr>
        <w:t>aufsichtsrechtliche Berichterstattung für Prüfperioden beginnend am 1. Januar 20</w:t>
      </w:r>
      <w:r w:rsidR="00881418">
        <w:rPr>
          <w:rFonts w:ascii="Arial" w:hAnsi="Arial" w:cs="Arial"/>
          <w:i/>
          <w:sz w:val="20"/>
          <w:szCs w:val="20"/>
          <w:highlight w:val="lightGray"/>
        </w:rPr>
        <w:t>2</w:t>
      </w:r>
      <w:r w:rsidR="00DB3594">
        <w:rPr>
          <w:rFonts w:ascii="Arial" w:hAnsi="Arial" w:cs="Arial"/>
          <w:i/>
          <w:sz w:val="20"/>
          <w:szCs w:val="20"/>
          <w:highlight w:val="lightGray"/>
        </w:rPr>
        <w:t>5</w:t>
      </w:r>
      <w:r w:rsidR="00D701D6">
        <w:rPr>
          <w:rFonts w:ascii="Arial" w:hAnsi="Arial" w:cs="Arial"/>
          <w:i/>
          <w:sz w:val="20"/>
          <w:szCs w:val="20"/>
          <w:highlight w:val="lightGray"/>
        </w:rPr>
        <w:t>)</w:t>
      </w:r>
      <w:r w:rsidR="00CF0F98">
        <w:rPr>
          <w:rFonts w:ascii="Arial" w:hAnsi="Arial" w:cs="Arial"/>
          <w:i/>
          <w:sz w:val="20"/>
          <w:szCs w:val="20"/>
          <w:highlight w:val="lightGray"/>
        </w:rPr>
        <w:t>.</w:t>
      </w:r>
      <w:r w:rsidR="00FC6CFC">
        <w:rPr>
          <w:rFonts w:ascii="Arial" w:hAnsi="Arial" w:cs="Arial"/>
          <w:i/>
          <w:sz w:val="20"/>
          <w:szCs w:val="20"/>
          <w:highlight w:val="lightGray"/>
        </w:rPr>
        <w:t>]</w:t>
      </w:r>
    </w:p>
    <w:p w14:paraId="2369FEEC" w14:textId="77777777" w:rsidR="00CF0F98" w:rsidRDefault="00CF0F98" w:rsidP="003A65D2">
      <w:pPr>
        <w:jc w:val="both"/>
        <w:rPr>
          <w:rFonts w:ascii="Arial" w:hAnsi="Arial" w:cs="Arial"/>
          <w:i/>
          <w:sz w:val="20"/>
          <w:szCs w:val="20"/>
          <w:highlight w:val="lightGray"/>
        </w:rPr>
      </w:pP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1" w:name="_Toc185241455"/>
      <w:r>
        <w:lastRenderedPageBreak/>
        <w:t>Rahmenbedingungen der Aufsichtsprüfung</w:t>
      </w:r>
      <w:bookmarkEnd w:id="1"/>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327C831F" w14:textId="515BEB44" w:rsidR="00130ACE" w:rsidRPr="00A93CD4" w:rsidRDefault="004F737B" w:rsidP="00A93CD4">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59637A99"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usw.)</w:t>
      </w:r>
    </w:p>
    <w:p w14:paraId="2A5DD52C" w14:textId="53C149D9"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Ausmass der Abstützung auf bzw. Verwendung von Arbeiten Dritter</w:t>
      </w:r>
      <w:r w:rsidR="006A4F97">
        <w:rPr>
          <w:rFonts w:cs="Arial"/>
          <w:szCs w:val="20"/>
          <w:highlight w:val="lightGray"/>
        </w:rPr>
        <w:t xml:space="preserve"> (inkl. Innenrevision</w:t>
      </w:r>
      <w:r w:rsidR="00303577">
        <w:rPr>
          <w:rFonts w:cs="Arial"/>
          <w:szCs w:val="20"/>
          <w:highlight w:val="lightGray"/>
        </w:rPr>
        <w:t xml:space="preserve"> der Verwahrstelle)</w:t>
      </w:r>
      <w:r w:rsidRPr="00954411">
        <w:rPr>
          <w:rFonts w:cs="Arial"/>
          <w:szCs w:val="20"/>
          <w:highlight w:val="lightGray"/>
        </w:rPr>
        <w:t xml:space="preserve">, eines Experten oder eines anderen Wirtschaftsprüfers </w:t>
      </w:r>
    </w:p>
    <w:p w14:paraId="6CC7C974" w14:textId="40D0F530" w:rsidR="00624857" w:rsidRPr="00193A84"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(z.B. Abwesenheit von Entscheidungsträgern; unvollständige/qualitativ mangelhafte Dokumentation durch d</w:t>
      </w:r>
      <w:r w:rsidR="00885CE4">
        <w:rPr>
          <w:rFonts w:cs="Arial"/>
          <w:szCs w:val="20"/>
          <w:highlight w:val="lightGray"/>
        </w:rPr>
        <w:t>ie</w:t>
      </w:r>
      <w:r w:rsidR="009464E8">
        <w:rPr>
          <w:rFonts w:cs="Arial"/>
          <w:szCs w:val="20"/>
          <w:highlight w:val="lightGray"/>
        </w:rPr>
        <w:t xml:space="preserve"> </w:t>
      </w:r>
      <w:r w:rsidR="00C13335">
        <w:rPr>
          <w:rFonts w:cs="Arial"/>
          <w:szCs w:val="20"/>
          <w:highlight w:val="lightGray"/>
        </w:rPr>
        <w:t>Verwahrstellen</w:t>
      </w:r>
      <w:r w:rsidR="005C2405">
        <w:rPr>
          <w:rFonts w:cs="Arial"/>
          <w:szCs w:val="20"/>
          <w:highlight w:val="lightGray"/>
        </w:rPr>
        <w:t>funktion</w:t>
      </w:r>
      <w:r w:rsidR="009464E8">
        <w:rPr>
          <w:rFonts w:cs="Arial"/>
          <w:szCs w:val="20"/>
          <w:highlight w:val="lightGray"/>
        </w:rPr>
        <w:t>; Restriktionen bei den Prüfungen z.B. reduzierter Prüfungsumfang infolge von durch d</w:t>
      </w:r>
      <w:r w:rsidR="00AA63DD">
        <w:rPr>
          <w:rFonts w:cs="Arial"/>
          <w:szCs w:val="20"/>
          <w:highlight w:val="lightGray"/>
        </w:rPr>
        <w:t>ie</w:t>
      </w:r>
      <w:r w:rsidR="009464E8">
        <w:rPr>
          <w:rFonts w:cs="Arial"/>
          <w:szCs w:val="20"/>
          <w:highlight w:val="lightGray"/>
        </w:rPr>
        <w:t xml:space="preserve"> </w:t>
      </w:r>
      <w:r w:rsidR="00C13335">
        <w:rPr>
          <w:rFonts w:cs="Arial"/>
          <w:szCs w:val="20"/>
          <w:highlight w:val="lightGray"/>
        </w:rPr>
        <w:t>Verwahrstellenf</w:t>
      </w:r>
      <w:r w:rsidR="005C2405">
        <w:rPr>
          <w:rFonts w:cs="Arial"/>
          <w:szCs w:val="20"/>
          <w:highlight w:val="lightGray"/>
        </w:rPr>
        <w:t>unktion</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47886A7D" w14:textId="640E9B2E"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p>
    <w:p w14:paraId="576A2748" w14:textId="79D9DC25" w:rsidR="00433F12"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Revisionsstelle </w:t>
      </w:r>
      <w:r w:rsidRPr="00DC07CB">
        <w:rPr>
          <w:rFonts w:cs="Arial"/>
          <w:szCs w:val="20"/>
          <w:highlight w:val="lightGray"/>
        </w:rPr>
        <w:t xml:space="preserve">gemäss Art. </w:t>
      </w:r>
      <w:r w:rsidR="0068569B" w:rsidRPr="00DC07CB">
        <w:rPr>
          <w:rFonts w:cs="Arial"/>
          <w:szCs w:val="20"/>
          <w:highlight w:val="lightGray"/>
        </w:rPr>
        <w:t xml:space="preserve">93 Abs. 3 UCITSG, Art. </w:t>
      </w:r>
      <w:r w:rsidR="00DC07CB" w:rsidRPr="00DC07CB">
        <w:rPr>
          <w:rFonts w:cs="Arial"/>
          <w:szCs w:val="20"/>
          <w:highlight w:val="lightGray"/>
        </w:rPr>
        <w:t>109 Abs. 3 AIFMG und Art. 50 Abs. 3 IUG</w:t>
      </w:r>
      <w:r w:rsidRPr="00DC07CB">
        <w:rPr>
          <w:rFonts w:cs="Arial"/>
          <w:szCs w:val="20"/>
          <w:highlight w:val="lightGray"/>
        </w:rPr>
        <w:t xml:space="preserve"> </w:t>
      </w:r>
    </w:p>
    <w:p w14:paraId="21EF9E29" w14:textId="1F642647" w:rsidR="00303577" w:rsidRPr="00F21B0D" w:rsidRDefault="00303577" w:rsidP="00F21B0D">
      <w:pPr>
        <w:pStyle w:val="Listenabsatz"/>
        <w:numPr>
          <w:ilvl w:val="0"/>
          <w:numId w:val="5"/>
        </w:numPr>
        <w:jc w:val="both"/>
        <w:rPr>
          <w:rFonts w:cs="Arial"/>
          <w:szCs w:val="20"/>
          <w:highlight w:val="lightGray"/>
        </w:rPr>
      </w:pPr>
      <w:r w:rsidRPr="00F21B0D">
        <w:rPr>
          <w:rFonts w:cs="Arial"/>
          <w:szCs w:val="20"/>
          <w:highlight w:val="lightGray"/>
        </w:rPr>
        <w:t>Wesentliche Ereignisse nach dem Bilanzstichtag</w:t>
      </w:r>
    </w:p>
    <w:p w14:paraId="1E71E840" w14:textId="77777777" w:rsidR="00193A84" w:rsidRDefault="00193A84" w:rsidP="00193A84">
      <w:pPr>
        <w:jc w:val="both"/>
      </w:pPr>
    </w:p>
    <w:p w14:paraId="5FABEE8C" w14:textId="77777777" w:rsidR="00193A84" w:rsidRDefault="00193A84" w:rsidP="006F7AB5">
      <w:pPr>
        <w:pStyle w:val="FINMAGliederungEbene1"/>
      </w:pPr>
      <w:bookmarkStart w:id="2" w:name="_Toc185241456"/>
      <w:r>
        <w:t>Zusammenfassung der Prüfresultate</w:t>
      </w:r>
      <w:r w:rsidR="00433F12">
        <w:t xml:space="preserve"> aus der Aufsichtsprüfung</w:t>
      </w:r>
      <w:bookmarkEnd w:id="2"/>
    </w:p>
    <w:p w14:paraId="61EB6333" w14:textId="77777777" w:rsidR="00193A84" w:rsidRPr="00193A84" w:rsidRDefault="00193A84" w:rsidP="00193A84">
      <w:pPr>
        <w:jc w:val="both"/>
        <w:rPr>
          <w:rFonts w:cs="Arial"/>
          <w:szCs w:val="20"/>
        </w:rPr>
      </w:pPr>
    </w:p>
    <w:p w14:paraId="1E497C69" w14:textId="67754630"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w:t>
      </w:r>
      <w:r w:rsidR="00303577">
        <w:rPr>
          <w:rFonts w:ascii="Arial" w:hAnsi="Arial" w:cs="Arial"/>
          <w:i/>
          <w:sz w:val="20"/>
          <w:szCs w:val="20"/>
          <w:highlight w:val="lightGray"/>
        </w:rPr>
        <w:t>,</w:t>
      </w:r>
      <w:r w:rsidR="00303577" w:rsidRPr="00A56A95">
        <w:rPr>
          <w:rFonts w:ascii="Arial" w:hAnsi="Arial" w:cs="Arial"/>
          <w:i/>
          <w:sz w:val="20"/>
          <w:szCs w:val="20"/>
          <w:highlight w:val="lightGray"/>
        </w:rPr>
        <w:t xml:space="preserve"> die zum Berichtszeitpunkt des Vorjahres nicht erledigt waren</w:t>
      </w:r>
      <w:r w:rsidRPr="001469E9">
        <w:rPr>
          <w:rFonts w:ascii="Arial" w:hAnsi="Arial" w:cs="Arial"/>
          <w:i/>
          <w:sz w:val="20"/>
          <w:szCs w:val="20"/>
          <w:highlight w:val="lightGray"/>
        </w:rPr>
        <w:t xml:space="preserv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103E7585" w:rsidR="00A5682B" w:rsidRDefault="00D36D11" w:rsidP="00CB3EE6">
      <w:pPr>
        <w:jc w:val="both"/>
        <w:rPr>
          <w:rFonts w:ascii="Arial" w:hAnsi="Arial" w:cs="Arial"/>
          <w:i/>
          <w:sz w:val="20"/>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p>
    <w:p w14:paraId="78B06973" w14:textId="57A2133E" w:rsidR="00733478" w:rsidRPr="00DA4730" w:rsidRDefault="00FE2B1A" w:rsidP="00CB3EE6">
      <w:pPr>
        <w:jc w:val="both"/>
        <w:rPr>
          <w:rFonts w:ascii="Arial" w:hAnsi="Arial" w:cs="Arial"/>
          <w:i/>
          <w:sz w:val="20"/>
          <w:szCs w:val="20"/>
          <w:highlight w:val="lightGray"/>
        </w:rPr>
      </w:pPr>
      <w:r>
        <w:rPr>
          <w:rFonts w:ascii="Arial" w:hAnsi="Arial" w:cs="Arial"/>
          <w:i/>
          <w:sz w:val="20"/>
          <w:szCs w:val="20"/>
          <w:highlight w:val="lightGray"/>
        </w:rPr>
        <w:t xml:space="preserve">Stellungnahmen der Verwahrstelle sind jeweils bei Beanstandungen/Empfehlungen sowie bei noch nicht erledigten Beanstandungen und Empfehlungen des Vorjahres einzuholen und im Bericht darzulegen. </w:t>
      </w:r>
      <w:r w:rsidR="00733478" w:rsidRPr="00DA4730">
        <w:rPr>
          <w:rFonts w:ascii="Arial" w:hAnsi="Arial" w:cs="Arial"/>
          <w:i/>
          <w:sz w:val="20"/>
          <w:szCs w:val="20"/>
          <w:highlight w:val="lightGray"/>
        </w:rPr>
        <w:t xml:space="preserve">Es ist offenzulegen, wenn </w:t>
      </w:r>
      <w:r w:rsidR="00DA4730" w:rsidRPr="00DA4730">
        <w:rPr>
          <w:rFonts w:ascii="Arial" w:hAnsi="Arial" w:cs="Arial"/>
          <w:i/>
          <w:sz w:val="20"/>
          <w:szCs w:val="20"/>
          <w:highlight w:val="lightGray"/>
        </w:rPr>
        <w:t xml:space="preserve">die Verwahrstelle mit einer Beanstandung oder Empfehlung nicht einverstanden ist. </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3" w:name="_Toc185241457"/>
      <w:r w:rsidRPr="00A5682B">
        <w:t>Beanstandungen</w:t>
      </w:r>
      <w:bookmarkEnd w:id="3"/>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4" w:name="_Toc185241458"/>
      <w:r w:rsidRPr="00A5682B">
        <w:t>Empfehlungen</w:t>
      </w:r>
      <w:bookmarkEnd w:id="4"/>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5" w:name="_Toc185241459"/>
      <w:r w:rsidRPr="00A5682B">
        <w:lastRenderedPageBreak/>
        <w:t>Beanstandungen</w:t>
      </w:r>
      <w:r>
        <w:t xml:space="preserve"> des Vorjahres</w:t>
      </w:r>
      <w:bookmarkEnd w:id="5"/>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6" w:name="_Toc185241460"/>
      <w:r>
        <w:t>Empfehlungen des Vorjahres</w:t>
      </w:r>
      <w:bookmarkEnd w:id="6"/>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7" w:name="_Toc185241461"/>
      <w:r w:rsidRPr="00C44852">
        <w:t xml:space="preserve">Bestätigung zu </w:t>
      </w:r>
      <w:r w:rsidR="00885CE4" w:rsidRPr="00C44852">
        <w:t>aufsicht</w:t>
      </w:r>
      <w:r w:rsidR="00907A61" w:rsidRPr="00CB3EE6">
        <w:t xml:space="preserve">srechtlichen </w:t>
      </w:r>
      <w:r w:rsidR="00885CE4" w:rsidRPr="00C44852">
        <w:t>Vorgaben der FMA</w:t>
      </w:r>
      <w:bookmarkEnd w:id="7"/>
    </w:p>
    <w:p w14:paraId="56FFE960" w14:textId="77777777" w:rsidR="00885CE4" w:rsidRPr="00C44852" w:rsidRDefault="00885CE4" w:rsidP="00CB3EE6">
      <w:pPr>
        <w:jc w:val="both"/>
      </w:pPr>
    </w:p>
    <w:p w14:paraId="32A8F413" w14:textId="14190FC4"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die zu </w:t>
      </w:r>
      <w:r w:rsidRPr="00C44852">
        <w:rPr>
          <w:rFonts w:ascii="Arial" w:hAnsi="Arial" w:cs="Arial"/>
          <w:i/>
          <w:sz w:val="20"/>
          <w:szCs w:val="20"/>
          <w:highlight w:val="lightGray"/>
        </w:rPr>
        <w:t xml:space="preserve">prüfende </w:t>
      </w:r>
      <w:r w:rsidR="005B38C6">
        <w:rPr>
          <w:rFonts w:ascii="Arial" w:hAnsi="Arial" w:cs="Arial"/>
          <w:i/>
          <w:sz w:val="20"/>
          <w:szCs w:val="20"/>
          <w:highlight w:val="lightGray"/>
        </w:rPr>
        <w:t>Verwahrstellen</w:t>
      </w:r>
      <w:r w:rsidR="005C2405">
        <w:rPr>
          <w:rFonts w:ascii="Arial" w:hAnsi="Arial" w:cs="Arial"/>
          <w:i/>
          <w:sz w:val="20"/>
          <w:szCs w:val="20"/>
          <w:highlight w:val="lightGray"/>
        </w:rPr>
        <w:t>funktion</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r w:rsidR="00DA4730">
        <w:rPr>
          <w:rFonts w:ascii="Arial" w:hAnsi="Arial" w:cs="Arial"/>
          <w:i/>
          <w:sz w:val="20"/>
          <w:szCs w:val="20"/>
          <w:highlight w:val="lightGray"/>
        </w:rPr>
        <w:t xml:space="preserve"> Bestehen für den Berichtszeitraum keine gültigen aufsichtlichen Verwaltungsakte der FMA, hält die Revisionsstelle dies fest.</w:t>
      </w:r>
    </w:p>
    <w:p w14:paraId="16A83B78" w14:textId="77777777" w:rsidR="004B7B6C" w:rsidRDefault="004B7B6C" w:rsidP="00CB3EE6">
      <w:pPr>
        <w:jc w:val="both"/>
      </w:pPr>
    </w:p>
    <w:p w14:paraId="4EFE37C5" w14:textId="77777777" w:rsidR="00004C8E" w:rsidRDefault="00004C8E" w:rsidP="006F7AB5">
      <w:pPr>
        <w:pStyle w:val="FINMAGliederungEbene2"/>
      </w:pPr>
      <w:bookmarkStart w:id="8" w:name="_Toc185241462"/>
      <w:r>
        <w:t xml:space="preserve">Wesentliche Feststellungen </w:t>
      </w:r>
      <w:r w:rsidR="00892678">
        <w:t>der</w:t>
      </w:r>
      <w:r>
        <w:t xml:space="preserve"> Interne Revision</w:t>
      </w:r>
      <w:bookmarkEnd w:id="8"/>
    </w:p>
    <w:p w14:paraId="09AE5DDB" w14:textId="77777777" w:rsidR="00004C8E" w:rsidRDefault="00004C8E" w:rsidP="00CB3EE6">
      <w:pPr>
        <w:pStyle w:val="Listenabsatz"/>
        <w:ind w:left="0"/>
        <w:jc w:val="both"/>
        <w:rPr>
          <w:rFonts w:cs="Arial"/>
          <w:i/>
          <w:szCs w:val="20"/>
          <w:highlight w:val="lightGray"/>
        </w:rPr>
      </w:pPr>
    </w:p>
    <w:p w14:paraId="01535382" w14:textId="312ABB5F"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303577">
        <w:rPr>
          <w:rFonts w:cs="Arial"/>
          <w:i/>
          <w:szCs w:val="20"/>
          <w:highlight w:val="lightGray"/>
        </w:rPr>
        <w:t xml:space="preserve"> und aufsichtsrechtlicher Relevanz</w:t>
      </w:r>
      <w:r w:rsidR="00776C82">
        <w:rPr>
          <w:rFonts w:cs="Arial"/>
          <w:i/>
          <w:szCs w:val="20"/>
          <w:highlight w:val="lightGray"/>
        </w:rPr>
        <w:t>)</w:t>
      </w:r>
      <w:r w:rsidR="003528D5">
        <w:rPr>
          <w:rFonts w:cs="Arial"/>
          <w:i/>
          <w:szCs w:val="20"/>
          <w:highlight w:val="lightGray"/>
        </w:rPr>
        <w:t xml:space="preserve"> der </w:t>
      </w:r>
      <w:r w:rsidR="0005430B">
        <w:rPr>
          <w:rFonts w:cs="Arial"/>
          <w:i/>
          <w:szCs w:val="20"/>
          <w:highlight w:val="lightGray"/>
        </w:rPr>
        <w:t>I</w:t>
      </w:r>
      <w:r>
        <w:rPr>
          <w:rFonts w:cs="Arial"/>
          <w:i/>
          <w:szCs w:val="20"/>
          <w:highlight w:val="lightGray"/>
        </w:rPr>
        <w:t>nterne</w:t>
      </w:r>
      <w:r w:rsidR="00722E70">
        <w:rPr>
          <w:rFonts w:cs="Arial"/>
          <w:i/>
          <w:szCs w:val="20"/>
          <w:highlight w:val="lightGray"/>
        </w:rPr>
        <w:t>n</w:t>
      </w:r>
      <w:r>
        <w:rPr>
          <w:rFonts w:cs="Arial"/>
          <w:i/>
          <w:szCs w:val="20"/>
          <w:highlight w:val="lightGray"/>
        </w:rPr>
        <w:t xml:space="preserve"> Revision</w:t>
      </w:r>
      <w:r w:rsidR="005C2405">
        <w:rPr>
          <w:rFonts w:cs="Arial"/>
          <w:i/>
          <w:szCs w:val="20"/>
          <w:highlight w:val="lightGray"/>
        </w:rPr>
        <w:t xml:space="preserve"> im Zusammenhang mit der </w:t>
      </w:r>
      <w:r w:rsidR="005B38C6">
        <w:rPr>
          <w:rFonts w:cs="Arial"/>
          <w:i/>
          <w:szCs w:val="20"/>
          <w:highlight w:val="lightGray"/>
        </w:rPr>
        <w:t>Verwahrstellen</w:t>
      </w:r>
      <w:r w:rsidR="005C2405">
        <w:rPr>
          <w:rFonts w:cs="Arial"/>
          <w:i/>
          <w:szCs w:val="20"/>
          <w:highlight w:val="lightGray"/>
        </w:rPr>
        <w:t>funktion</w:t>
      </w:r>
      <w:r>
        <w:rPr>
          <w:rFonts w:cs="Arial"/>
          <w:i/>
          <w:szCs w:val="20"/>
          <w:highlight w:val="lightGray"/>
        </w:rPr>
        <w:t>.</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 xml:space="preserve">sowie deren Auswirkungen auf das Risikoprofil der </w:t>
      </w:r>
      <w:r w:rsidR="005B38C6">
        <w:rPr>
          <w:rFonts w:cs="Arial"/>
          <w:i/>
          <w:szCs w:val="20"/>
          <w:highlight w:val="lightGray"/>
        </w:rPr>
        <w:t>Verwahrstellen</w:t>
      </w:r>
      <w:r w:rsidR="005C2405">
        <w:rPr>
          <w:rFonts w:cs="Arial"/>
          <w:i/>
          <w:szCs w:val="20"/>
          <w:highlight w:val="lightGray"/>
        </w:rPr>
        <w:t>funktion</w:t>
      </w:r>
      <w:r w:rsidRPr="00004C8E">
        <w:rPr>
          <w:rFonts w:cs="Arial"/>
          <w:i/>
          <w:szCs w:val="20"/>
          <w:highlight w:val="lightGray"/>
        </w:rPr>
        <w:t xml:space="preserve"> angemessen zu würdigen. 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9" w:name="_Toc185241463"/>
      <w:r>
        <w:t xml:space="preserve">Wesentliche </w:t>
      </w:r>
      <w:r w:rsidR="00F1444D" w:rsidRPr="00F1444D">
        <w:t xml:space="preserve">Feststellungen </w:t>
      </w:r>
      <w:r w:rsidR="00F1444D">
        <w:t xml:space="preserve">durch </w:t>
      </w:r>
      <w:r w:rsidR="00F1444D" w:rsidRPr="00F1444D">
        <w:t>Dritte</w:t>
      </w:r>
      <w:bookmarkEnd w:id="9"/>
    </w:p>
    <w:p w14:paraId="1FF2B41E" w14:textId="77777777" w:rsidR="004B7B6C" w:rsidRDefault="004B7B6C" w:rsidP="00CB3EE6">
      <w:pPr>
        <w:jc w:val="both"/>
      </w:pPr>
    </w:p>
    <w:p w14:paraId="3204C5FC" w14:textId="131C246A" w:rsidR="00A30784" w:rsidRDefault="00EA0D88" w:rsidP="00F21B0D">
      <w:pPr>
        <w:jc w:val="both"/>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E3E72">
        <w:rPr>
          <w:rFonts w:ascii="Arial" w:hAnsi="Arial" w:cs="Arial"/>
          <w:i/>
          <w:sz w:val="20"/>
          <w:szCs w:val="20"/>
          <w:highlight w:val="lightGray"/>
        </w:rPr>
        <w:t xml:space="preserve">für die Verwahrstelle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Revisionsstellen</w:t>
      </w:r>
      <w:r w:rsidR="00A33E90">
        <w:rPr>
          <w:rFonts w:ascii="Arial" w:hAnsi="Arial" w:cs="Arial"/>
          <w:i/>
          <w:sz w:val="20"/>
          <w:szCs w:val="20"/>
          <w:highlight w:val="lightGray"/>
        </w:rPr>
        <w:t xml:space="preserve"> </w:t>
      </w:r>
      <w:r w:rsidR="00C74151">
        <w:rPr>
          <w:rFonts w:ascii="Arial" w:hAnsi="Arial" w:cs="Arial"/>
          <w:i/>
          <w:sz w:val="20"/>
          <w:szCs w:val="20"/>
          <w:highlight w:val="lightGray"/>
        </w:rPr>
        <w:t>der Fonds oder Verwaltungsgesellschaft/AIFM</w:t>
      </w:r>
      <w:r>
        <w:rPr>
          <w:rFonts w:ascii="Arial" w:hAnsi="Arial" w:cs="Arial"/>
          <w:i/>
          <w:sz w:val="20"/>
          <w:szCs w:val="20"/>
          <w:highlight w:val="lightGray"/>
        </w:rPr>
        <w:t>)</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 sowie deren Auswirkungen auf das Risikoprofil der </w:t>
      </w:r>
      <w:r w:rsidR="005B38C6">
        <w:rPr>
          <w:rFonts w:ascii="Arial" w:hAnsi="Arial" w:cs="Arial"/>
          <w:i/>
          <w:sz w:val="20"/>
          <w:szCs w:val="20"/>
          <w:highlight w:val="lightGray"/>
        </w:rPr>
        <w:t>Verwahrstellen</w:t>
      </w:r>
      <w:r w:rsidR="005C2405">
        <w:rPr>
          <w:rFonts w:ascii="Arial" w:hAnsi="Arial" w:cs="Arial"/>
          <w:i/>
          <w:sz w:val="20"/>
          <w:szCs w:val="20"/>
          <w:highlight w:val="lightGray"/>
        </w:rPr>
        <w:t>funktion</w:t>
      </w:r>
      <w:r w:rsidR="001A1A8F">
        <w:rPr>
          <w:rFonts w:ascii="Arial" w:hAnsi="Arial" w:cs="Arial"/>
          <w:i/>
          <w:sz w:val="20"/>
          <w:szCs w:val="20"/>
          <w:highlight w:val="lightGray"/>
        </w:rPr>
        <w:t xml:space="preserve"> 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0FF862A7" w14:textId="77777777" w:rsidR="00897AEF" w:rsidRDefault="00897AEF" w:rsidP="00A5682B">
      <w:pPr>
        <w:jc w:val="both"/>
        <w:rPr>
          <w:rFonts w:ascii="Arial" w:hAnsi="Arial" w:cs="Arial"/>
          <w:sz w:val="20"/>
          <w:szCs w:val="20"/>
        </w:rPr>
      </w:pPr>
    </w:p>
    <w:p w14:paraId="46ED533F" w14:textId="60F9C689" w:rsidR="00897AEF" w:rsidRDefault="00827C26" w:rsidP="006F7AB5">
      <w:pPr>
        <w:pStyle w:val="FINMAGliederungEbene1"/>
      </w:pPr>
      <w:bookmarkStart w:id="10" w:name="_Toc185241464"/>
      <w:r>
        <w:t xml:space="preserve">Wichtige Informationen zu der geprüften </w:t>
      </w:r>
      <w:r w:rsidR="002F4C75">
        <w:t xml:space="preserve">Verwahrstelle </w:t>
      </w:r>
      <w:r>
        <w:t>/ Darstellung bedeutender Änderungen</w:t>
      </w:r>
      <w:bookmarkEnd w:id="10"/>
    </w:p>
    <w:p w14:paraId="0BDABD60" w14:textId="77777777" w:rsidR="00827C26" w:rsidRPr="00FF6CBF" w:rsidRDefault="00827C26" w:rsidP="00CB3EE6">
      <w:pPr>
        <w:jc w:val="both"/>
        <w:rPr>
          <w:highlight w:val="cyan"/>
        </w:rPr>
      </w:pPr>
    </w:p>
    <w:p w14:paraId="619FCA24" w14:textId="77777777" w:rsidR="00827C26" w:rsidRPr="00331386" w:rsidRDefault="00827C26" w:rsidP="006F7AB5">
      <w:pPr>
        <w:pStyle w:val="FINMAGliederungEbene2"/>
      </w:pPr>
      <w:bookmarkStart w:id="11" w:name="_Toc185241465"/>
      <w:r w:rsidRPr="00331386">
        <w:t>Betriebs- und Aufbauorganisation</w:t>
      </w:r>
      <w:bookmarkEnd w:id="11"/>
    </w:p>
    <w:p w14:paraId="4A1A9EBE" w14:textId="77777777" w:rsidR="00827C26" w:rsidRPr="00CE611F" w:rsidRDefault="00827C26" w:rsidP="00CB3EE6">
      <w:pPr>
        <w:jc w:val="both"/>
        <w:rPr>
          <w:highlight w:val="lightGray"/>
        </w:rPr>
      </w:pPr>
    </w:p>
    <w:p w14:paraId="590FF357" w14:textId="77777777" w:rsidR="009F2C2F" w:rsidRDefault="00827C26" w:rsidP="00CB3EE6">
      <w:pPr>
        <w:jc w:val="both"/>
        <w:rPr>
          <w:rFonts w:ascii="Arial" w:hAnsi="Arial" w:cs="Arial"/>
          <w:i/>
          <w:sz w:val="20"/>
          <w:szCs w:val="20"/>
          <w:highlight w:val="lightGray"/>
        </w:rPr>
      </w:pPr>
      <w:r w:rsidRPr="00CE611F">
        <w:rPr>
          <w:rFonts w:ascii="Arial" w:hAnsi="Arial" w:cs="Arial"/>
          <w:i/>
          <w:sz w:val="20"/>
          <w:szCs w:val="20"/>
          <w:highlight w:val="lightGray"/>
        </w:rPr>
        <w:t xml:space="preserve">Die Revisionsstelle erläutert </w:t>
      </w:r>
    </w:p>
    <w:p w14:paraId="7A48CCCA" w14:textId="06667442" w:rsidR="00827C26" w:rsidRDefault="009F2C2F" w:rsidP="00CB3EE6">
      <w:pPr>
        <w:jc w:val="both"/>
        <w:rPr>
          <w:rFonts w:ascii="Arial" w:hAnsi="Arial" w:cs="Arial"/>
          <w:i/>
          <w:sz w:val="20"/>
          <w:szCs w:val="20"/>
          <w:highlight w:val="lightGray"/>
        </w:rPr>
      </w:pPr>
      <w:r>
        <w:rPr>
          <w:rFonts w:ascii="Arial" w:hAnsi="Arial" w:cs="Arial"/>
          <w:i/>
          <w:sz w:val="20"/>
          <w:szCs w:val="20"/>
          <w:highlight w:val="lightGray"/>
        </w:rPr>
        <w:t xml:space="preserve">- </w:t>
      </w:r>
      <w:r w:rsidR="00827C26" w:rsidRPr="00CE611F">
        <w:rPr>
          <w:rFonts w:ascii="Arial" w:hAnsi="Arial" w:cs="Arial"/>
          <w:i/>
          <w:sz w:val="20"/>
          <w:szCs w:val="20"/>
          <w:highlight w:val="lightGray"/>
        </w:rPr>
        <w:t>die generelle Organisation</w:t>
      </w:r>
      <w:r w:rsidR="00CE611F" w:rsidRPr="00CE611F">
        <w:rPr>
          <w:rFonts w:ascii="Arial" w:hAnsi="Arial" w:cs="Arial"/>
          <w:i/>
          <w:sz w:val="20"/>
          <w:szCs w:val="20"/>
          <w:highlight w:val="lightGray"/>
        </w:rPr>
        <w:t xml:space="preserve"> der Verwahrstellenfunktion</w:t>
      </w:r>
      <w:r w:rsidR="00827C26" w:rsidRPr="00CE611F">
        <w:rPr>
          <w:rFonts w:ascii="Arial" w:hAnsi="Arial" w:cs="Arial"/>
          <w:i/>
          <w:sz w:val="20"/>
          <w:szCs w:val="20"/>
          <w:highlight w:val="lightGray"/>
        </w:rPr>
        <w:t xml:space="preserve"> </w:t>
      </w:r>
      <w:r w:rsidR="00FB79F3">
        <w:rPr>
          <w:rFonts w:ascii="Arial" w:hAnsi="Arial" w:cs="Arial"/>
          <w:i/>
          <w:sz w:val="20"/>
          <w:szCs w:val="20"/>
          <w:highlight w:val="lightGray"/>
        </w:rPr>
        <w:t>(Aufbauorganisation, Personalbestand</w:t>
      </w:r>
      <w:r w:rsidR="00694F87">
        <w:rPr>
          <w:rFonts w:ascii="Arial" w:hAnsi="Arial" w:cs="Arial"/>
          <w:i/>
          <w:sz w:val="20"/>
          <w:szCs w:val="20"/>
          <w:highlight w:val="lightGray"/>
        </w:rPr>
        <w:t xml:space="preserve"> (qualitativ &amp; quantitativ</w:t>
      </w:r>
      <w:r w:rsidR="00967C02">
        <w:rPr>
          <w:rFonts w:ascii="Arial" w:hAnsi="Arial" w:cs="Arial"/>
          <w:i/>
          <w:sz w:val="20"/>
          <w:szCs w:val="20"/>
          <w:highlight w:val="lightGray"/>
        </w:rPr>
        <w:t>)</w:t>
      </w:r>
      <w:r w:rsidR="00883702">
        <w:rPr>
          <w:rFonts w:ascii="Arial" w:hAnsi="Arial" w:cs="Arial"/>
          <w:i/>
          <w:sz w:val="20"/>
          <w:szCs w:val="20"/>
          <w:highlight w:val="lightGray"/>
        </w:rPr>
        <w:t>;</w:t>
      </w:r>
      <w:r w:rsidR="009425BC">
        <w:rPr>
          <w:rFonts w:ascii="Arial" w:hAnsi="Arial" w:cs="Arial"/>
          <w:i/>
          <w:sz w:val="20"/>
          <w:szCs w:val="20"/>
          <w:highlight w:val="lightGray"/>
        </w:rPr>
        <w:t xml:space="preserve"> </w:t>
      </w:r>
      <w:r w:rsidR="009425BC" w:rsidRPr="00040732">
        <w:rPr>
          <w:rFonts w:ascii="Arial" w:hAnsi="Arial" w:cs="Arial"/>
          <w:i/>
          <w:sz w:val="20"/>
          <w:szCs w:val="20"/>
          <w:highlight w:val="lightGray"/>
        </w:rPr>
        <w:t>Angabe des zuständigen Geschäftsleitungsmitglieds für die Verwahrstellenfunktion</w:t>
      </w:r>
      <w:r w:rsidR="009425BC">
        <w:rPr>
          <w:rFonts w:ascii="Arial" w:hAnsi="Arial" w:cs="Arial"/>
          <w:i/>
          <w:sz w:val="20"/>
          <w:szCs w:val="20"/>
          <w:highlight w:val="lightGray"/>
        </w:rPr>
        <w:t xml:space="preserve"> sowie d</w:t>
      </w:r>
      <w:r w:rsidR="00667CFA">
        <w:rPr>
          <w:rFonts w:ascii="Arial" w:hAnsi="Arial" w:cs="Arial"/>
          <w:i/>
          <w:sz w:val="20"/>
          <w:szCs w:val="20"/>
          <w:highlight w:val="lightGray"/>
        </w:rPr>
        <w:t>ie</w:t>
      </w:r>
      <w:r w:rsidR="009425BC">
        <w:rPr>
          <w:rFonts w:ascii="Arial" w:hAnsi="Arial" w:cs="Arial"/>
          <w:i/>
          <w:sz w:val="20"/>
          <w:szCs w:val="20"/>
          <w:highlight w:val="lightGray"/>
        </w:rPr>
        <w:t xml:space="preserve"> für die Verwahrstellenfunktion verantwortliche Person gem. Art. 30 Abs. 4 IUG</w:t>
      </w:r>
      <w:r w:rsidR="00A0086E">
        <w:rPr>
          <w:rFonts w:ascii="Arial" w:hAnsi="Arial" w:cs="Arial"/>
          <w:i/>
          <w:sz w:val="20"/>
          <w:szCs w:val="20"/>
          <w:highlight w:val="lightGray"/>
        </w:rPr>
        <w:t xml:space="preserve"> </w:t>
      </w:r>
      <w:proofErr w:type="spellStart"/>
      <w:r w:rsidR="00A0086E">
        <w:rPr>
          <w:rFonts w:ascii="Arial" w:hAnsi="Arial" w:cs="Arial"/>
          <w:i/>
          <w:sz w:val="20"/>
          <w:szCs w:val="20"/>
          <w:highlight w:val="lightGray"/>
        </w:rPr>
        <w:t>iVm</w:t>
      </w:r>
      <w:proofErr w:type="spellEnd"/>
      <w:r w:rsidR="00AE469E">
        <w:rPr>
          <w:rFonts w:ascii="Arial" w:hAnsi="Arial" w:cs="Arial"/>
          <w:i/>
          <w:sz w:val="20"/>
          <w:szCs w:val="20"/>
          <w:highlight w:val="lightGray"/>
        </w:rPr>
        <w:t>.</w:t>
      </w:r>
      <w:r w:rsidR="00A0086E">
        <w:rPr>
          <w:rFonts w:ascii="Arial" w:hAnsi="Arial" w:cs="Arial"/>
          <w:i/>
          <w:sz w:val="20"/>
          <w:szCs w:val="20"/>
          <w:highlight w:val="lightGray"/>
        </w:rPr>
        <w:t xml:space="preserve"> FMA-Mitteilung 2016/1</w:t>
      </w:r>
      <w:r w:rsidR="00FB79F3">
        <w:rPr>
          <w:rFonts w:ascii="Arial" w:hAnsi="Arial" w:cs="Arial"/>
          <w:i/>
          <w:sz w:val="20"/>
          <w:szCs w:val="20"/>
          <w:highlight w:val="lightGray"/>
        </w:rPr>
        <w:t xml:space="preserve">) </w:t>
      </w:r>
      <w:r w:rsidR="00827C26" w:rsidRPr="00CE611F">
        <w:rPr>
          <w:rFonts w:ascii="Arial" w:hAnsi="Arial" w:cs="Arial"/>
          <w:i/>
          <w:sz w:val="20"/>
          <w:szCs w:val="20"/>
          <w:highlight w:val="lightGray"/>
        </w:rPr>
        <w:t>und allfällige entsprechende Veränderungen</w:t>
      </w:r>
      <w:r w:rsidR="005E18C5" w:rsidRPr="00CE611F">
        <w:rPr>
          <w:rFonts w:ascii="Arial" w:hAnsi="Arial" w:cs="Arial"/>
          <w:i/>
          <w:sz w:val="20"/>
          <w:szCs w:val="20"/>
          <w:highlight w:val="lightGray"/>
        </w:rPr>
        <w:t>. Dabei kann sich die Revisionsstelle auf das Organigramm abstützen</w:t>
      </w:r>
      <w:r>
        <w:rPr>
          <w:rFonts w:ascii="Arial" w:hAnsi="Arial" w:cs="Arial"/>
          <w:i/>
          <w:sz w:val="20"/>
          <w:szCs w:val="20"/>
          <w:highlight w:val="lightGray"/>
        </w:rPr>
        <w:t xml:space="preserve"> mit Kennzeichnung der für die Verwahrstellenfunktion relevanten Bereiche und Mitarbeiter</w:t>
      </w:r>
      <w:r w:rsidR="00967C02">
        <w:rPr>
          <w:rFonts w:ascii="Arial" w:hAnsi="Arial" w:cs="Arial"/>
          <w:i/>
          <w:sz w:val="20"/>
          <w:szCs w:val="20"/>
          <w:highlight w:val="lightGray"/>
        </w:rPr>
        <w:t>;</w:t>
      </w:r>
      <w:r w:rsidR="00827C26" w:rsidRPr="00CE611F">
        <w:rPr>
          <w:rFonts w:ascii="Arial" w:hAnsi="Arial" w:cs="Arial"/>
          <w:i/>
          <w:sz w:val="20"/>
          <w:szCs w:val="20"/>
          <w:highlight w:val="lightGray"/>
        </w:rPr>
        <w:t xml:space="preserve"> </w:t>
      </w:r>
    </w:p>
    <w:p w14:paraId="62DD2663" w14:textId="437271AB" w:rsidR="009F2C2F" w:rsidRDefault="009F2C2F" w:rsidP="00CB3EE6">
      <w:pPr>
        <w:jc w:val="both"/>
        <w:rPr>
          <w:rFonts w:ascii="Arial" w:hAnsi="Arial" w:cs="Arial"/>
          <w:i/>
          <w:sz w:val="20"/>
          <w:szCs w:val="20"/>
          <w:highlight w:val="lightGray"/>
        </w:rPr>
      </w:pPr>
      <w:r>
        <w:rPr>
          <w:rFonts w:ascii="Arial" w:hAnsi="Arial" w:cs="Arial"/>
          <w:i/>
          <w:sz w:val="20"/>
          <w:szCs w:val="20"/>
          <w:highlight w:val="lightGray"/>
        </w:rPr>
        <w:t xml:space="preserve">- die technischen </w:t>
      </w:r>
      <w:r w:rsidR="00484D37">
        <w:rPr>
          <w:rFonts w:ascii="Arial" w:hAnsi="Arial" w:cs="Arial"/>
          <w:i/>
          <w:sz w:val="20"/>
          <w:szCs w:val="20"/>
          <w:highlight w:val="lightGray"/>
        </w:rPr>
        <w:t>Mittel</w:t>
      </w:r>
      <w:r>
        <w:rPr>
          <w:rFonts w:ascii="Arial" w:hAnsi="Arial" w:cs="Arial"/>
          <w:i/>
          <w:sz w:val="20"/>
          <w:szCs w:val="20"/>
          <w:highlight w:val="lightGray"/>
        </w:rPr>
        <w:t>, welche für die ordnungsgemässe Abwicklung der Verwahrstellenfunktion eingesetzt werden inkl. Beschreibung des verwendeten Informationssystems</w:t>
      </w:r>
      <w:r w:rsidR="00484D37">
        <w:rPr>
          <w:rFonts w:ascii="Arial" w:hAnsi="Arial" w:cs="Arial"/>
          <w:i/>
          <w:sz w:val="20"/>
          <w:szCs w:val="20"/>
          <w:highlight w:val="lightGray"/>
        </w:rPr>
        <w:t xml:space="preserve"> und eine Liste des Netzwerks von bestellten </w:t>
      </w:r>
      <w:proofErr w:type="spellStart"/>
      <w:r w:rsidR="00484D37">
        <w:rPr>
          <w:rFonts w:ascii="Arial" w:hAnsi="Arial" w:cs="Arial"/>
          <w:i/>
          <w:sz w:val="20"/>
          <w:szCs w:val="20"/>
          <w:highlight w:val="lightGray"/>
        </w:rPr>
        <w:t>Unterverwahrer</w:t>
      </w:r>
      <w:r w:rsidR="001A6194">
        <w:rPr>
          <w:rFonts w:ascii="Arial" w:hAnsi="Arial" w:cs="Arial"/>
          <w:i/>
          <w:sz w:val="20"/>
          <w:szCs w:val="20"/>
          <w:highlight w:val="lightGray"/>
        </w:rPr>
        <w:t>n</w:t>
      </w:r>
      <w:proofErr w:type="spellEnd"/>
      <w:r w:rsidR="00967C02">
        <w:rPr>
          <w:rFonts w:ascii="Arial" w:hAnsi="Arial" w:cs="Arial"/>
          <w:i/>
          <w:sz w:val="20"/>
          <w:szCs w:val="20"/>
          <w:highlight w:val="lightGray"/>
        </w:rPr>
        <w:t>;</w:t>
      </w:r>
    </w:p>
    <w:p w14:paraId="665477E4" w14:textId="2386B17D" w:rsidR="00484D37" w:rsidRDefault="00484D37" w:rsidP="00CB3EE6">
      <w:pPr>
        <w:jc w:val="both"/>
        <w:rPr>
          <w:rFonts w:ascii="Arial" w:hAnsi="Arial" w:cs="Arial"/>
          <w:i/>
          <w:sz w:val="20"/>
          <w:szCs w:val="20"/>
          <w:highlight w:val="lightGray"/>
        </w:rPr>
      </w:pPr>
      <w:r>
        <w:rPr>
          <w:rFonts w:ascii="Arial" w:hAnsi="Arial" w:cs="Arial"/>
          <w:i/>
          <w:sz w:val="20"/>
          <w:szCs w:val="20"/>
          <w:highlight w:val="lightGray"/>
        </w:rPr>
        <w:t>- Details zur Aufgabenübertragung an Dritte (</w:t>
      </w:r>
      <w:r w:rsidR="00187FBB">
        <w:rPr>
          <w:rFonts w:ascii="Arial" w:hAnsi="Arial" w:cs="Arial"/>
          <w:i/>
          <w:sz w:val="20"/>
          <w:szCs w:val="20"/>
          <w:highlight w:val="lightGray"/>
        </w:rPr>
        <w:t xml:space="preserve">tabellarische </w:t>
      </w:r>
      <w:r>
        <w:rPr>
          <w:rFonts w:ascii="Arial" w:hAnsi="Arial" w:cs="Arial"/>
          <w:i/>
          <w:sz w:val="20"/>
          <w:szCs w:val="20"/>
          <w:highlight w:val="lightGray"/>
        </w:rPr>
        <w:t xml:space="preserve">Auflistung der delegierten Aufgaben </w:t>
      </w:r>
      <w:r w:rsidR="005D69E8">
        <w:rPr>
          <w:rFonts w:ascii="Arial" w:hAnsi="Arial" w:cs="Arial"/>
          <w:i/>
          <w:sz w:val="20"/>
          <w:szCs w:val="20"/>
          <w:highlight w:val="lightGray"/>
        </w:rPr>
        <w:t xml:space="preserve">und Nennung der Drittparteien (inkl. </w:t>
      </w:r>
      <w:proofErr w:type="spellStart"/>
      <w:r w:rsidR="005D69E8">
        <w:rPr>
          <w:rFonts w:ascii="Arial" w:hAnsi="Arial" w:cs="Arial"/>
          <w:i/>
          <w:sz w:val="20"/>
          <w:szCs w:val="20"/>
          <w:highlight w:val="lightGray"/>
        </w:rPr>
        <w:t>Unterverwahrer</w:t>
      </w:r>
      <w:proofErr w:type="spellEnd"/>
      <w:r w:rsidR="005D69E8">
        <w:rPr>
          <w:rFonts w:ascii="Arial" w:hAnsi="Arial" w:cs="Arial"/>
          <w:i/>
          <w:sz w:val="20"/>
          <w:szCs w:val="20"/>
          <w:highlight w:val="lightGray"/>
        </w:rPr>
        <w:t>), an welche die Aufgaben ausgelagert wurden)</w:t>
      </w:r>
      <w:r w:rsidR="00967C02">
        <w:rPr>
          <w:rFonts w:ascii="Arial" w:hAnsi="Arial" w:cs="Arial"/>
          <w:i/>
          <w:sz w:val="20"/>
          <w:szCs w:val="20"/>
          <w:highlight w:val="lightGray"/>
        </w:rPr>
        <w:t>;</w:t>
      </w:r>
    </w:p>
    <w:p w14:paraId="1F34727D" w14:textId="03A9C6DA" w:rsidR="00EC718C" w:rsidRDefault="00EC718C" w:rsidP="00CB3EE6">
      <w:pPr>
        <w:jc w:val="both"/>
        <w:rPr>
          <w:rFonts w:ascii="Arial" w:hAnsi="Arial" w:cs="Arial"/>
          <w:i/>
          <w:sz w:val="20"/>
          <w:szCs w:val="20"/>
          <w:highlight w:val="lightGray"/>
        </w:rPr>
      </w:pPr>
      <w:r>
        <w:rPr>
          <w:rFonts w:ascii="Arial" w:hAnsi="Arial" w:cs="Arial"/>
          <w:i/>
          <w:sz w:val="20"/>
          <w:szCs w:val="20"/>
          <w:highlight w:val="lightGray"/>
        </w:rPr>
        <w:lastRenderedPageBreak/>
        <w:t>- ob die Verpflichtung zur Einhaltung von Wohlverhaltensregeln im Rahmen einer aktuellen Weisung festgehalten wurden (inkl. Datum der letzten Aktualisierung)</w:t>
      </w:r>
    </w:p>
    <w:p w14:paraId="55E5658E" w14:textId="77777777" w:rsidR="00827C26" w:rsidRPr="00FF6CBF" w:rsidRDefault="00827C26" w:rsidP="00CB3EE6">
      <w:pPr>
        <w:jc w:val="both"/>
        <w:rPr>
          <w:highlight w:val="cyan"/>
        </w:rPr>
      </w:pPr>
    </w:p>
    <w:p w14:paraId="5C75E24F" w14:textId="6F10EED3" w:rsidR="00827C26" w:rsidRPr="00331386" w:rsidRDefault="00827C26" w:rsidP="006F7AB5">
      <w:pPr>
        <w:pStyle w:val="FINMAGliederungEbene2"/>
      </w:pPr>
      <w:bookmarkStart w:id="12" w:name="_Toc185241466"/>
      <w:r w:rsidRPr="00331386">
        <w:t xml:space="preserve">Wesentliche Änderungen bei der beaufsichtigten </w:t>
      </w:r>
      <w:r w:rsidR="00C13335" w:rsidRPr="00331386">
        <w:t>Verwahrstelle</w:t>
      </w:r>
      <w:bookmarkEnd w:id="12"/>
    </w:p>
    <w:p w14:paraId="3177D5DB" w14:textId="77777777" w:rsidR="00827C26" w:rsidRPr="00CE611F" w:rsidRDefault="00827C26" w:rsidP="00CB3EE6">
      <w:pPr>
        <w:jc w:val="both"/>
        <w:rPr>
          <w:highlight w:val="lightGray"/>
        </w:rPr>
      </w:pPr>
    </w:p>
    <w:p w14:paraId="5D53EE46" w14:textId="0153D404" w:rsidR="00A5682B" w:rsidRPr="00CE611F" w:rsidRDefault="00897AEF" w:rsidP="00A5682B">
      <w:pPr>
        <w:jc w:val="both"/>
        <w:rPr>
          <w:rFonts w:ascii="Arial" w:hAnsi="Arial" w:cs="Arial"/>
          <w:i/>
          <w:sz w:val="20"/>
          <w:szCs w:val="20"/>
          <w:highlight w:val="lightGray"/>
        </w:rPr>
      </w:pPr>
      <w:r w:rsidRPr="00CE611F">
        <w:rPr>
          <w:rFonts w:ascii="Arial" w:hAnsi="Arial" w:cs="Arial"/>
          <w:i/>
          <w:sz w:val="20"/>
          <w:szCs w:val="20"/>
          <w:highlight w:val="lightGray"/>
        </w:rPr>
        <w:t>Die Revisionsstelle erläutert, sofern noch nicht in den weiteren Kapiteln des Berichts aufgeführt,</w:t>
      </w:r>
      <w:r w:rsidR="000D36E0" w:rsidRPr="00CE611F">
        <w:rPr>
          <w:rFonts w:ascii="Arial" w:hAnsi="Arial" w:cs="Arial"/>
          <w:i/>
          <w:sz w:val="20"/>
          <w:szCs w:val="20"/>
          <w:highlight w:val="lightGray"/>
        </w:rPr>
        <w:t xml:space="preserve"> allfällige wesentliche Veränderungen während dem Berichtsjahr oder solche, die </w:t>
      </w:r>
      <w:r w:rsidR="00127590" w:rsidRPr="00CE611F">
        <w:rPr>
          <w:rFonts w:ascii="Arial" w:hAnsi="Arial" w:cs="Arial"/>
          <w:i/>
          <w:sz w:val="20"/>
          <w:szCs w:val="20"/>
          <w:highlight w:val="lightGray"/>
        </w:rPr>
        <w:t>bei der b</w:t>
      </w:r>
      <w:r w:rsidR="004F737B" w:rsidRPr="00CE611F">
        <w:rPr>
          <w:rFonts w:ascii="Arial" w:hAnsi="Arial" w:cs="Arial"/>
          <w:i/>
          <w:sz w:val="20"/>
          <w:szCs w:val="20"/>
          <w:highlight w:val="lightGray"/>
        </w:rPr>
        <w:t xml:space="preserve">eaufsichtigten </w:t>
      </w:r>
      <w:r w:rsidR="00C13335" w:rsidRPr="00CE611F">
        <w:rPr>
          <w:rFonts w:ascii="Arial" w:hAnsi="Arial" w:cs="Arial"/>
          <w:i/>
          <w:sz w:val="20"/>
          <w:szCs w:val="20"/>
          <w:highlight w:val="lightGray"/>
        </w:rPr>
        <w:t>Verwahrstelle</w:t>
      </w:r>
      <w:r w:rsidR="000D36E0" w:rsidRPr="00CE611F">
        <w:rPr>
          <w:rFonts w:ascii="Arial" w:hAnsi="Arial" w:cs="Arial"/>
          <w:i/>
          <w:sz w:val="20"/>
          <w:szCs w:val="20"/>
          <w:highlight w:val="lightGray"/>
        </w:rPr>
        <w:t xml:space="preserve"> noch bevorstehen;</w:t>
      </w:r>
      <w:r w:rsidRPr="00CE611F">
        <w:rPr>
          <w:rFonts w:ascii="Arial" w:hAnsi="Arial" w:cs="Arial"/>
          <w:i/>
          <w:sz w:val="20"/>
          <w:szCs w:val="20"/>
          <w:highlight w:val="lightGray"/>
        </w:rPr>
        <w:t xml:space="preserve"> insbesondere hinsichtlich:</w:t>
      </w:r>
    </w:p>
    <w:p w14:paraId="3D814EEA" w14:textId="77777777" w:rsidR="00897AEF" w:rsidRPr="00CE611F" w:rsidRDefault="00897AEF" w:rsidP="00897AEF">
      <w:pPr>
        <w:pStyle w:val="Listenabsatz"/>
        <w:numPr>
          <w:ilvl w:val="0"/>
          <w:numId w:val="13"/>
        </w:numPr>
        <w:jc w:val="both"/>
        <w:rPr>
          <w:rFonts w:cs="Arial"/>
          <w:i/>
          <w:szCs w:val="20"/>
          <w:highlight w:val="lightGray"/>
        </w:rPr>
      </w:pPr>
      <w:r w:rsidRPr="00CE611F">
        <w:rPr>
          <w:rFonts w:cs="Arial"/>
          <w:i/>
          <w:szCs w:val="20"/>
          <w:highlight w:val="lightGray"/>
        </w:rPr>
        <w:t>Organe</w:t>
      </w:r>
    </w:p>
    <w:p w14:paraId="24BD3828" w14:textId="48D2A28C" w:rsidR="00897AEF" w:rsidRPr="00CE611F" w:rsidRDefault="00897AEF" w:rsidP="00897AEF">
      <w:pPr>
        <w:pStyle w:val="Listenabsatz"/>
        <w:numPr>
          <w:ilvl w:val="0"/>
          <w:numId w:val="13"/>
        </w:numPr>
        <w:jc w:val="both"/>
        <w:rPr>
          <w:rFonts w:cs="Arial"/>
          <w:i/>
          <w:szCs w:val="20"/>
          <w:highlight w:val="lightGray"/>
        </w:rPr>
      </w:pPr>
      <w:r w:rsidRPr="00CE611F">
        <w:rPr>
          <w:rFonts w:cs="Arial"/>
          <w:i/>
          <w:szCs w:val="20"/>
          <w:highlight w:val="lightGray"/>
        </w:rPr>
        <w:t>Beziehungen zu anderen Unternehmen</w:t>
      </w:r>
      <w:r w:rsidR="009C0737">
        <w:rPr>
          <w:rFonts w:cs="Arial"/>
          <w:i/>
          <w:szCs w:val="20"/>
          <w:highlight w:val="lightGray"/>
        </w:rPr>
        <w:t xml:space="preserve"> (z.B. durch die Übertragung von Aufgaben)</w:t>
      </w:r>
    </w:p>
    <w:p w14:paraId="20FC3641" w14:textId="77777777" w:rsidR="00F54280" w:rsidRDefault="00F54280" w:rsidP="00F54280">
      <w:pPr>
        <w:pStyle w:val="Listenabsatz"/>
        <w:numPr>
          <w:ilvl w:val="0"/>
          <w:numId w:val="13"/>
        </w:numPr>
        <w:jc w:val="both"/>
        <w:rPr>
          <w:rFonts w:cs="Arial"/>
          <w:i/>
          <w:szCs w:val="20"/>
          <w:highlight w:val="lightGray"/>
        </w:rPr>
      </w:pPr>
      <w:r w:rsidRPr="0014711A">
        <w:rPr>
          <w:rFonts w:cs="Arial"/>
          <w:i/>
          <w:szCs w:val="20"/>
          <w:highlight w:val="lightGray"/>
        </w:rPr>
        <w:t>Abhängigkeiten wie von Kunden, Aktionären, nahestehenden Personen, Mitarbeitern, die einen wesentlichen Einfluss auf die Geschäftstätigkeit oder Auswirkungen auf die Einhaltung der Zulassungsvoraussetzungen haben</w:t>
      </w:r>
    </w:p>
    <w:p w14:paraId="2488BAB3" w14:textId="0EA7C06E" w:rsidR="00D809D1" w:rsidRPr="00CE611F" w:rsidRDefault="00FB79F3" w:rsidP="00836F15">
      <w:pPr>
        <w:pStyle w:val="Listenabsatz"/>
        <w:numPr>
          <w:ilvl w:val="0"/>
          <w:numId w:val="13"/>
        </w:numPr>
        <w:jc w:val="both"/>
        <w:rPr>
          <w:rFonts w:cs="Arial"/>
          <w:i/>
          <w:szCs w:val="20"/>
          <w:highlight w:val="lightGray"/>
        </w:rPr>
      </w:pPr>
      <w:r>
        <w:rPr>
          <w:rFonts w:cs="Arial"/>
          <w:i/>
          <w:szCs w:val="20"/>
          <w:highlight w:val="lightGray"/>
        </w:rPr>
        <w:t xml:space="preserve">personelle Vakanzen </w:t>
      </w:r>
    </w:p>
    <w:p w14:paraId="28B9AA2A" w14:textId="77777777" w:rsidR="00AB459F" w:rsidRDefault="00127590" w:rsidP="00F54280">
      <w:pPr>
        <w:pStyle w:val="Listenabsatz"/>
        <w:numPr>
          <w:ilvl w:val="0"/>
          <w:numId w:val="13"/>
        </w:numPr>
        <w:jc w:val="both"/>
        <w:rPr>
          <w:rFonts w:cs="Arial"/>
          <w:i/>
          <w:szCs w:val="20"/>
          <w:highlight w:val="lightGray"/>
        </w:rPr>
      </w:pPr>
      <w:r w:rsidRPr="00CE611F">
        <w:rPr>
          <w:rFonts w:cs="Arial"/>
          <w:i/>
          <w:szCs w:val="20"/>
          <w:highlight w:val="lightGray"/>
        </w:rPr>
        <w:t>Geschäftsmodell</w:t>
      </w:r>
      <w:r w:rsidR="009C0737">
        <w:rPr>
          <w:rFonts w:cs="Arial"/>
          <w:i/>
          <w:szCs w:val="20"/>
          <w:highlight w:val="lightGray"/>
        </w:rPr>
        <w:t xml:space="preserve"> (Tätigkeit der Verwahrstelle</w:t>
      </w:r>
      <w:r w:rsidR="009F2C2F">
        <w:rPr>
          <w:rFonts w:cs="Arial"/>
          <w:i/>
          <w:szCs w:val="20"/>
          <w:highlight w:val="lightGray"/>
        </w:rPr>
        <w:t xml:space="preserve"> durch Darlegung von Details zur effektiven Ausübung der Verwahrstellenfunktion per 31.12: Anzahl Fonds; Fondskategorien (IUG, UCITSG, AIFMG); Fondsvolumen pro Fondskategorie; Veränderung Vorjahr inkl. Begründung</w:t>
      </w:r>
      <w:r w:rsidR="009C0737" w:rsidRPr="009F2C2F">
        <w:rPr>
          <w:rFonts w:cs="Arial"/>
          <w:i/>
          <w:szCs w:val="20"/>
          <w:highlight w:val="lightGray"/>
        </w:rPr>
        <w:t>)</w:t>
      </w:r>
      <w:r w:rsidR="00484D37">
        <w:rPr>
          <w:rFonts w:cs="Arial"/>
          <w:i/>
          <w:szCs w:val="20"/>
          <w:highlight w:val="lightGray"/>
        </w:rPr>
        <w:t>*</w:t>
      </w:r>
    </w:p>
    <w:p w14:paraId="3658D36E" w14:textId="07F95B7F" w:rsidR="00484D37" w:rsidRDefault="00F54280" w:rsidP="00F54280">
      <w:pPr>
        <w:pStyle w:val="Listenabsatz"/>
        <w:numPr>
          <w:ilvl w:val="0"/>
          <w:numId w:val="13"/>
        </w:numPr>
        <w:jc w:val="both"/>
        <w:rPr>
          <w:rFonts w:cs="Arial"/>
          <w:i/>
          <w:szCs w:val="20"/>
          <w:highlight w:val="lightGray"/>
        </w:rPr>
      </w:pPr>
      <w:r w:rsidRPr="00AB459F">
        <w:rPr>
          <w:rFonts w:cs="Arial"/>
          <w:i/>
          <w:szCs w:val="20"/>
          <w:highlight w:val="lightGray"/>
        </w:rPr>
        <w:t xml:space="preserve">Hängige Verfahren gegen die Gesellschaft, Mitglieder der Leitungsorgane und Aktionäre </w:t>
      </w:r>
    </w:p>
    <w:p w14:paraId="2841D8FC" w14:textId="77777777" w:rsidR="00AB459F" w:rsidRPr="00AB459F" w:rsidRDefault="00AB459F" w:rsidP="00AB459F">
      <w:pPr>
        <w:pStyle w:val="Listenabsatz"/>
        <w:jc w:val="both"/>
        <w:rPr>
          <w:rFonts w:cs="Arial"/>
          <w:i/>
          <w:szCs w:val="20"/>
          <w:highlight w:val="lightGray"/>
        </w:rPr>
      </w:pPr>
    </w:p>
    <w:p w14:paraId="4C5FCE15" w14:textId="38DB3CCE" w:rsidR="006B68AB" w:rsidRPr="006B68AB" w:rsidRDefault="006B68AB" w:rsidP="006B68AB">
      <w:pPr>
        <w:jc w:val="both"/>
        <w:rPr>
          <w:rFonts w:ascii="Arial" w:hAnsi="Arial" w:cs="Arial"/>
          <w:i/>
          <w:sz w:val="20"/>
          <w:szCs w:val="20"/>
          <w:highlight w:val="lightGray"/>
        </w:rPr>
      </w:pPr>
      <w:r>
        <w:rPr>
          <w:rFonts w:ascii="Arial" w:hAnsi="Arial" w:cs="Arial"/>
          <w:i/>
          <w:sz w:val="20"/>
          <w:szCs w:val="20"/>
          <w:highlight w:val="lightGray"/>
        </w:rPr>
        <w:t xml:space="preserve">Die Revisionsstelle erläutert diesbezüglich, ob sämtliche mitteilungspflichtigen Änderungen in Bezug auf die der Bestellung zugrundeliegenden Informationen der Verwahrstellenfunktion des Berichtsjahrs zeitnah und vollständig an die FMA gemeldet wurden. </w:t>
      </w:r>
    </w:p>
    <w:p w14:paraId="633F683D" w14:textId="77777777" w:rsidR="006B68AB" w:rsidRDefault="006B68AB" w:rsidP="00484D37">
      <w:pPr>
        <w:jc w:val="both"/>
        <w:rPr>
          <w:rFonts w:cs="Arial"/>
          <w:i/>
          <w:szCs w:val="20"/>
          <w:highlight w:val="lightGray"/>
        </w:rPr>
      </w:pPr>
    </w:p>
    <w:p w14:paraId="0ADFB03E" w14:textId="50A3C915" w:rsidR="00484D37" w:rsidRPr="00484D37" w:rsidRDefault="00484D37" w:rsidP="00484D37">
      <w:pPr>
        <w:jc w:val="both"/>
        <w:rPr>
          <w:rFonts w:ascii="Arial" w:hAnsi="Arial" w:cs="Arial"/>
          <w:i/>
          <w:sz w:val="20"/>
          <w:szCs w:val="20"/>
          <w:highlight w:val="lightGray"/>
        </w:rPr>
      </w:pPr>
      <w:r w:rsidRPr="00484D37">
        <w:rPr>
          <w:rFonts w:ascii="Arial" w:hAnsi="Arial" w:cs="Arial"/>
          <w:i/>
          <w:sz w:val="20"/>
          <w:szCs w:val="20"/>
          <w:highlight w:val="lightGray"/>
        </w:rPr>
        <w:t>*</w:t>
      </w:r>
      <w:r>
        <w:rPr>
          <w:rFonts w:ascii="Arial" w:hAnsi="Arial" w:cs="Arial"/>
          <w:i/>
          <w:sz w:val="20"/>
          <w:szCs w:val="20"/>
          <w:highlight w:val="lightGray"/>
        </w:rPr>
        <w:t xml:space="preserve">Angaben zum Geschäftsmodell sind </w:t>
      </w:r>
      <w:r w:rsidRPr="00484D37">
        <w:rPr>
          <w:rFonts w:ascii="Arial" w:hAnsi="Arial" w:cs="Arial"/>
          <w:i/>
          <w:sz w:val="20"/>
          <w:szCs w:val="20"/>
          <w:highlight w:val="lightGray"/>
        </w:rPr>
        <w:t>jährlich auszuführen</w:t>
      </w:r>
    </w:p>
    <w:p w14:paraId="443BFD71" w14:textId="77777777" w:rsidR="009C0737" w:rsidRPr="00CE611F" w:rsidRDefault="009C0737" w:rsidP="009C0737">
      <w:pPr>
        <w:pStyle w:val="Listenabsatz"/>
        <w:jc w:val="both"/>
        <w:rPr>
          <w:rFonts w:cs="Arial"/>
          <w:i/>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3" w:name="_Toc185241467"/>
      <w:r>
        <w:t>Prüfresultate</w:t>
      </w:r>
      <w:bookmarkEnd w:id="13"/>
    </w:p>
    <w:p w14:paraId="5E549B85" w14:textId="77777777" w:rsidR="007A36D2" w:rsidRDefault="007A36D2" w:rsidP="007A36D2">
      <w:pPr>
        <w:jc w:val="both"/>
      </w:pPr>
    </w:p>
    <w:p w14:paraId="6EDF1B20" w14:textId="0437D9E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w:t>
      </w:r>
      <w:proofErr w:type="spellStart"/>
      <w:r w:rsidR="004805B6" w:rsidRPr="00CB3EE6">
        <w:rPr>
          <w:rFonts w:ascii="Arial" w:hAnsi="Arial" w:cs="Arial"/>
          <w:i/>
          <w:sz w:val="20"/>
          <w:szCs w:val="20"/>
          <w:highlight w:val="lightGray"/>
        </w:rPr>
        <w:t>assurance</w:t>
      </w:r>
      <w:proofErr w:type="spellEnd"/>
      <w:r w:rsidR="004805B6" w:rsidRPr="00CB3EE6">
        <w:rPr>
          <w:rFonts w:ascii="Arial" w:hAnsi="Arial" w:cs="Arial"/>
          <w:i/>
          <w:sz w:val="20"/>
          <w:szCs w:val="20"/>
          <w:highlight w:val="lightGray"/>
        </w:rPr>
        <w:t xml:space="preserv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0D34A492"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3EB5D686" w14:textId="5A3E21FA" w:rsidR="00047F52" w:rsidRDefault="00047F52" w:rsidP="00047F52">
      <w:pPr>
        <w:jc w:val="both"/>
        <w:rPr>
          <w:rFonts w:ascii="Arial" w:hAnsi="Arial" w:cs="Arial"/>
          <w:i/>
          <w:sz w:val="20"/>
          <w:szCs w:val="20"/>
          <w:highlight w:val="lightGray"/>
        </w:rPr>
      </w:pPr>
    </w:p>
    <w:p w14:paraId="1CAA608B" w14:textId="1A363453" w:rsidR="00D85FBA" w:rsidRDefault="00D85FBA"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 (Zeitraum), Zuständigkeit innerhalb der Bank/Wertpapierfirma und zugrundeliegende Quellen für die resultierende Beanstandung (Nachweise).</w:t>
      </w:r>
    </w:p>
    <w:p w14:paraId="5E488803" w14:textId="77777777" w:rsidR="00D85FBA" w:rsidRPr="00047F52" w:rsidRDefault="00D85FBA" w:rsidP="00047F52">
      <w:pPr>
        <w:jc w:val="both"/>
        <w:rPr>
          <w:rFonts w:ascii="Arial" w:hAnsi="Arial" w:cs="Arial"/>
          <w:i/>
          <w:sz w:val="20"/>
          <w:szCs w:val="20"/>
          <w:highlight w:val="lightGray"/>
        </w:rPr>
      </w:pPr>
    </w:p>
    <w:p w14:paraId="60F3B5A9" w14:textId="6DAF2BD3"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w:t>
      </w:r>
      <w:r w:rsidR="009371DD">
        <w:rPr>
          <w:rFonts w:ascii="Arial" w:hAnsi="Arial" w:cs="Arial"/>
          <w:i/>
          <w:sz w:val="20"/>
          <w:szCs w:val="20"/>
          <w:highlight w:val="lightGray"/>
        </w:rPr>
        <w:t>I</w:t>
      </w:r>
      <w:r w:rsidRPr="00047F52">
        <w:rPr>
          <w:rFonts w:ascii="Arial" w:hAnsi="Arial" w:cs="Arial"/>
          <w:i/>
          <w:sz w:val="20"/>
          <w:szCs w:val="20"/>
          <w:highlight w:val="lightGray"/>
        </w:rPr>
        <w:t xml:space="preserve">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379A2B96"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4F453206"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wobei die entsprechende Berichtsziffer inkl. den Formatvorlagen gelöscht werden kann.</w:t>
      </w:r>
    </w:p>
    <w:p w14:paraId="1B7E06EF" w14:textId="77777777" w:rsidR="00EC06B1" w:rsidRDefault="00EC06B1" w:rsidP="00047F52">
      <w:pPr>
        <w:jc w:val="both"/>
        <w:rPr>
          <w:rFonts w:ascii="Arial" w:hAnsi="Arial" w:cs="Arial"/>
          <w:i/>
          <w:sz w:val="20"/>
          <w:szCs w:val="20"/>
          <w:highlight w:val="lightGray"/>
        </w:rPr>
      </w:pPr>
    </w:p>
    <w:p w14:paraId="4CDCCD59" w14:textId="60F7EA27"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proofErr w:type="spellStart"/>
      <w:r w:rsidR="00734D1D">
        <w:rPr>
          <w:rFonts w:ascii="Arial" w:hAnsi="Arial" w:cs="Arial"/>
          <w:i/>
          <w:sz w:val="20"/>
          <w:szCs w:val="20"/>
          <w:highlight w:val="lightGray"/>
        </w:rPr>
        <w:t>zu</w:t>
      </w:r>
      <w:r w:rsidR="00EC06B1">
        <w:rPr>
          <w:rFonts w:ascii="Arial" w:hAnsi="Arial" w:cs="Arial"/>
          <w:i/>
          <w:sz w:val="20"/>
          <w:szCs w:val="20"/>
          <w:highlight w:val="lightGray"/>
        </w:rPr>
        <w:t>welche</w:t>
      </w:r>
      <w:r w:rsidR="00734D1D">
        <w:rPr>
          <w:rFonts w:ascii="Arial" w:hAnsi="Arial" w:cs="Arial"/>
          <w:i/>
          <w:sz w:val="20"/>
          <w:szCs w:val="20"/>
          <w:highlight w:val="lightGray"/>
        </w:rPr>
        <w:t>n</w:t>
      </w:r>
      <w:proofErr w:type="spellEnd"/>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w:t>
      </w:r>
      <w:r w:rsidR="00A960BC">
        <w:rPr>
          <w:rFonts w:ascii="Arial" w:hAnsi="Arial" w:cs="Arial"/>
          <w:i/>
          <w:sz w:val="20"/>
          <w:szCs w:val="20"/>
          <w:highlight w:val="lightGray"/>
        </w:rPr>
        <w:t>ren</w:t>
      </w:r>
      <w:r w:rsidR="00EC06B1">
        <w:rPr>
          <w:rFonts w:ascii="Arial" w:hAnsi="Arial" w:cs="Arial"/>
          <w:i/>
          <w:sz w:val="20"/>
          <w:szCs w:val="20"/>
          <w:highlight w:val="lightGray"/>
        </w:rPr>
        <w:t xml:space="preserve">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287DB6DD" w14:textId="21DEC71E" w:rsidR="002E51D3" w:rsidRDefault="004F6209" w:rsidP="00047F52">
      <w:pPr>
        <w:jc w:val="both"/>
        <w:rPr>
          <w:rFonts w:ascii="Arial" w:hAnsi="Arial" w:cs="Arial"/>
          <w:i/>
          <w:sz w:val="20"/>
          <w:szCs w:val="20"/>
          <w:highlight w:val="lightGray"/>
        </w:rPr>
      </w:pPr>
      <w:r>
        <w:rPr>
          <w:rFonts w:ascii="Arial" w:hAnsi="Arial" w:cs="Arial"/>
          <w:i/>
          <w:sz w:val="20"/>
          <w:szCs w:val="20"/>
          <w:highlight w:val="lightGray"/>
        </w:rPr>
        <w:t xml:space="preserve">Die Revisionsstelle </w:t>
      </w:r>
      <w:r w:rsidRPr="00AB459F">
        <w:rPr>
          <w:rFonts w:ascii="Arial" w:hAnsi="Arial" w:cs="Arial"/>
          <w:i/>
          <w:sz w:val="20"/>
          <w:szCs w:val="20"/>
          <w:highlight w:val="lightGray"/>
        </w:rPr>
        <w:t xml:space="preserve">hat den Umfang und </w:t>
      </w:r>
      <w:r w:rsidR="000612C5">
        <w:rPr>
          <w:rFonts w:ascii="Arial" w:hAnsi="Arial" w:cs="Arial"/>
          <w:i/>
          <w:sz w:val="20"/>
          <w:szCs w:val="20"/>
          <w:highlight w:val="lightGray"/>
        </w:rPr>
        <w:t xml:space="preserve">die </w:t>
      </w:r>
      <w:r w:rsidRPr="00AB459F">
        <w:rPr>
          <w:rFonts w:ascii="Arial" w:hAnsi="Arial" w:cs="Arial"/>
          <w:i/>
          <w:sz w:val="20"/>
          <w:szCs w:val="20"/>
          <w:highlight w:val="lightGray"/>
        </w:rPr>
        <w:t xml:space="preserve">Tiefe der Erläuterungen so auszugestalten, dass sich </w:t>
      </w:r>
      <w:r w:rsidR="002E51D3" w:rsidRPr="00AB459F">
        <w:rPr>
          <w:rFonts w:ascii="Arial" w:hAnsi="Arial" w:cs="Arial"/>
          <w:i/>
          <w:sz w:val="20"/>
          <w:szCs w:val="20"/>
          <w:highlight w:val="lightGray"/>
        </w:rPr>
        <w:t xml:space="preserve">der Verwaltungsrat der </w:t>
      </w:r>
      <w:r w:rsidR="00B43D69" w:rsidRPr="00AB459F">
        <w:rPr>
          <w:rFonts w:ascii="Arial" w:hAnsi="Arial" w:cs="Arial"/>
          <w:i/>
          <w:sz w:val="20"/>
          <w:szCs w:val="20"/>
          <w:highlight w:val="lightGray"/>
        </w:rPr>
        <w:t>Verwahrstelle</w:t>
      </w:r>
      <w:r w:rsidR="002E51D3" w:rsidRPr="00AB459F">
        <w:rPr>
          <w:rFonts w:ascii="Arial" w:hAnsi="Arial" w:cs="Arial"/>
          <w:i/>
          <w:sz w:val="20"/>
          <w:szCs w:val="20"/>
          <w:highlight w:val="lightGray"/>
        </w:rPr>
        <w:t xml:space="preserve"> sowie die FMA ein angemessenes Bild über das jeweilige </w:t>
      </w:r>
      <w:r w:rsidR="00373E08" w:rsidRPr="00AB459F">
        <w:rPr>
          <w:rFonts w:ascii="Arial" w:hAnsi="Arial" w:cs="Arial"/>
          <w:i/>
          <w:sz w:val="20"/>
          <w:szCs w:val="20"/>
          <w:highlight w:val="lightGray"/>
        </w:rPr>
        <w:t xml:space="preserve">mit der Prüftiefe „Detailprüfung“ </w:t>
      </w:r>
      <w:r w:rsidR="00F77736" w:rsidRPr="00AB459F">
        <w:rPr>
          <w:rFonts w:ascii="Arial" w:hAnsi="Arial" w:cs="Arial"/>
          <w:i/>
          <w:sz w:val="20"/>
          <w:szCs w:val="20"/>
          <w:highlight w:val="lightGray"/>
        </w:rPr>
        <w:t xml:space="preserve">abgedeckte Prüffeld </w:t>
      </w:r>
      <w:r w:rsidR="002E51D3">
        <w:rPr>
          <w:rFonts w:ascii="Arial" w:hAnsi="Arial" w:cs="Arial"/>
          <w:i/>
          <w:sz w:val="20"/>
          <w:szCs w:val="20"/>
          <w:highlight w:val="lightGray"/>
        </w:rPr>
        <w:t>bilden k</w:t>
      </w:r>
      <w:r w:rsidR="000612C5">
        <w:rPr>
          <w:rFonts w:ascii="Arial" w:hAnsi="Arial" w:cs="Arial"/>
          <w:i/>
          <w:sz w:val="20"/>
          <w:szCs w:val="20"/>
          <w:highlight w:val="lightGray"/>
        </w:rPr>
        <w:t>önnen</w:t>
      </w:r>
      <w:r w:rsidR="002E51D3">
        <w:rPr>
          <w:rFonts w:ascii="Arial" w:hAnsi="Arial" w:cs="Arial"/>
          <w:i/>
          <w:sz w:val="20"/>
          <w:szCs w:val="20"/>
          <w:highlight w:val="lightGray"/>
        </w:rPr>
        <w:t xml:space="preserve">.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Mindestprüfinhalte bzw. Prüfelemente geben. </w:t>
      </w:r>
    </w:p>
    <w:p w14:paraId="79DCF84D" w14:textId="77777777" w:rsidR="0030349B" w:rsidRDefault="0030349B" w:rsidP="00047F52">
      <w:pPr>
        <w:jc w:val="both"/>
        <w:rPr>
          <w:rFonts w:ascii="Arial" w:hAnsi="Arial" w:cs="Arial"/>
          <w:i/>
          <w:sz w:val="20"/>
          <w:szCs w:val="20"/>
          <w:highlight w:val="lightGray"/>
        </w:rPr>
      </w:pPr>
    </w:p>
    <w:p w14:paraId="2D2E8EC5" w14:textId="4FC40517"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w:t>
      </w:r>
      <w:r w:rsidR="00134CC1">
        <w:rPr>
          <w:rFonts w:ascii="Arial" w:hAnsi="Arial" w:cs="Arial"/>
          <w:i/>
          <w:sz w:val="20"/>
          <w:szCs w:val="20"/>
          <w:highlight w:val="lightGray"/>
        </w:rPr>
        <w:t>,</w:t>
      </w:r>
      <w:r>
        <w:rPr>
          <w:rFonts w:ascii="Arial" w:hAnsi="Arial" w:cs="Arial"/>
          <w:i/>
          <w:sz w:val="20"/>
          <w:szCs w:val="20"/>
          <w:highlight w:val="lightGray"/>
        </w:rPr>
        <w:t xml:space="preserv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DD1307">
        <w:rPr>
          <w:rFonts w:ascii="Arial" w:hAnsi="Arial" w:cs="Arial"/>
          <w:i/>
          <w:sz w:val="20"/>
          <w:szCs w:val="20"/>
          <w:highlight w:val="lightGray"/>
        </w:rPr>
        <w:t>r</w:t>
      </w:r>
      <w:r>
        <w:rPr>
          <w:rFonts w:ascii="Arial" w:hAnsi="Arial" w:cs="Arial"/>
          <w:i/>
          <w:sz w:val="20"/>
          <w:szCs w:val="20"/>
          <w:highlight w:val="lightGray"/>
        </w:rPr>
        <w:t xml:space="preserve"> zu prüfenden </w:t>
      </w:r>
      <w:r w:rsidR="00C13335">
        <w:rPr>
          <w:rFonts w:ascii="Arial" w:hAnsi="Arial" w:cs="Arial"/>
          <w:i/>
          <w:sz w:val="20"/>
          <w:szCs w:val="20"/>
          <w:highlight w:val="lightGray"/>
        </w:rPr>
        <w:t>Verwahrstelle</w:t>
      </w:r>
      <w:r>
        <w:rPr>
          <w:rFonts w:ascii="Arial" w:hAnsi="Arial" w:cs="Arial"/>
          <w:i/>
          <w:sz w:val="20"/>
          <w:szCs w:val="20"/>
          <w:highlight w:val="lightGray"/>
        </w:rPr>
        <w:t xml:space="preserve"> 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6E27EB83" w14:textId="77777777" w:rsidR="002309A6" w:rsidRDefault="002309A6" w:rsidP="00515AB5">
      <w:pPr>
        <w:jc w:val="both"/>
        <w:rPr>
          <w:rFonts w:ascii="Arial" w:hAnsi="Arial" w:cs="Arial"/>
          <w:i/>
          <w:sz w:val="20"/>
          <w:szCs w:val="20"/>
          <w:highlight w:val="lightGray"/>
        </w:rPr>
      </w:pPr>
    </w:p>
    <w:p w14:paraId="0C82F987" w14:textId="77777777" w:rsidR="006819F9" w:rsidRDefault="006819F9">
      <w:pPr>
        <w:rPr>
          <w:rFonts w:ascii="Arial" w:hAnsi="Arial" w:cs="Arial"/>
          <w:sz w:val="20"/>
          <w:szCs w:val="22"/>
        </w:rPr>
      </w:pPr>
      <w:r>
        <w:br w:type="page"/>
      </w:r>
    </w:p>
    <w:p w14:paraId="2F9C4E2C" w14:textId="0AD754AD" w:rsidR="00F60909" w:rsidRDefault="00F60909" w:rsidP="008C30D1">
      <w:pPr>
        <w:jc w:val="both"/>
      </w:pPr>
    </w:p>
    <w:p w14:paraId="3C1DD796" w14:textId="77777777" w:rsidR="007A36D2" w:rsidRDefault="007A36D2" w:rsidP="000D36E0">
      <w:pPr>
        <w:jc w:val="both"/>
        <w:rPr>
          <w:rFonts w:ascii="Arial" w:hAnsi="Arial" w:cs="Arial"/>
          <w:i/>
          <w:sz w:val="20"/>
          <w:szCs w:val="20"/>
          <w:highlight w:val="lightGray"/>
        </w:rPr>
      </w:pPr>
    </w:p>
    <w:p w14:paraId="5FE47805" w14:textId="71221C21" w:rsidR="008C30D1" w:rsidRDefault="008C30D1" w:rsidP="006F7AB5">
      <w:pPr>
        <w:pStyle w:val="FINMAGliederungEbene2"/>
      </w:pPr>
      <w:bookmarkStart w:id="14" w:name="_Toc185241468"/>
      <w:proofErr w:type="spellStart"/>
      <w:r>
        <w:t>Governance</w:t>
      </w:r>
      <w:bookmarkEnd w:id="14"/>
      <w:proofErr w:type="spellEnd"/>
      <w:r w:rsidR="006939E1">
        <w:t xml:space="preserve"> </w:t>
      </w:r>
    </w:p>
    <w:p w14:paraId="5ADD528C" w14:textId="77777777" w:rsidR="0097312C" w:rsidRDefault="0097312C" w:rsidP="00CB3EE6">
      <w:pPr>
        <w:pStyle w:val="Listenabsatz"/>
        <w:ind w:left="792"/>
        <w:jc w:val="both"/>
      </w:pPr>
    </w:p>
    <w:p w14:paraId="77B4B2ED" w14:textId="3035E1F3" w:rsidR="00E864F2" w:rsidRPr="003033DB" w:rsidRDefault="008C30D1" w:rsidP="006F7AB5">
      <w:pPr>
        <w:pStyle w:val="FINMAGliederungEbene3"/>
      </w:pPr>
      <w:bookmarkStart w:id="15" w:name="_Toc185241469"/>
      <w:r w:rsidRPr="003033DB">
        <w:t>Geschäftsleitung</w:t>
      </w:r>
      <w:r w:rsidR="003033DB" w:rsidRPr="003033DB">
        <w:t xml:space="preserve"> der Verwahrstelle</w:t>
      </w:r>
      <w:r w:rsidR="00543DCA" w:rsidRPr="003033DB">
        <w:t xml:space="preserve"> (GOV-1)</w:t>
      </w:r>
      <w:r w:rsidR="003E42EA">
        <w:t>*</w:t>
      </w:r>
      <w:bookmarkEnd w:id="15"/>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62B4F8DE"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9872F3"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Pr="00F60909"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EEBC9A" w14:textId="32EA741D" w:rsidR="00E864F2" w:rsidRPr="009872F3" w:rsidRDefault="00E864F2" w:rsidP="006A378B">
            <w:pPr>
              <w:jc w:val="both"/>
              <w:rPr>
                <w:rFonts w:ascii="Arial" w:hAnsi="Arial" w:cs="Arial"/>
                <w:sz w:val="18"/>
                <w:szCs w:val="18"/>
              </w:rPr>
            </w:pPr>
            <w:r w:rsidRPr="009867F8">
              <w:rPr>
                <w:rFonts w:ascii="Arial" w:hAnsi="Arial" w:cs="Arial"/>
                <w:sz w:val="18"/>
                <w:szCs w:val="18"/>
                <w:highlight w:val="yellow"/>
              </w:rPr>
              <w:t xml:space="preserve">Art. </w:t>
            </w:r>
            <w:r w:rsidR="003033DB" w:rsidRPr="009867F8">
              <w:rPr>
                <w:rFonts w:ascii="Arial" w:hAnsi="Arial" w:cs="Arial"/>
                <w:sz w:val="18"/>
                <w:szCs w:val="18"/>
                <w:highlight w:val="yellow"/>
              </w:rPr>
              <w:t>9 Abs. 1 Bst. b UCITSG; FMA-Mitteilung 2016/1</w:t>
            </w:r>
            <w:r w:rsidR="004D3F4A">
              <w:rPr>
                <w:rFonts w:ascii="Arial" w:hAnsi="Arial" w:cs="Arial"/>
                <w:sz w:val="18"/>
                <w:szCs w:val="18"/>
                <w:highlight w:val="yellow"/>
              </w:rPr>
              <w:t>;</w:t>
            </w:r>
            <w:r w:rsidR="00E75E03">
              <w:rPr>
                <w:rFonts w:ascii="Arial" w:hAnsi="Arial" w:cs="Arial"/>
                <w:sz w:val="18"/>
                <w:szCs w:val="18"/>
                <w:highlight w:val="yellow"/>
              </w:rPr>
              <w:t xml:space="preserve"> FMA-Richtlinie 2015/2</w:t>
            </w:r>
          </w:p>
        </w:tc>
      </w:tr>
      <w:tr w:rsidR="00E864F2" w:rsidRPr="009872F3" w14:paraId="26932264" w14:textId="77777777" w:rsidTr="006A378B">
        <w:trPr>
          <w:trHeight w:val="294"/>
        </w:trPr>
        <w:tc>
          <w:tcPr>
            <w:tcW w:w="9180" w:type="dxa"/>
            <w:gridSpan w:val="4"/>
          </w:tcPr>
          <w:p w14:paraId="2A5F56D6" w14:textId="77777777" w:rsidR="00E864F2" w:rsidRPr="009872F3"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2D115071" w:rsidR="00E864F2" w:rsidRPr="006939E1" w:rsidRDefault="00E864F2" w:rsidP="00E864F2">
            <w:pPr>
              <w:jc w:val="both"/>
              <w:rPr>
                <w:rFonts w:ascii="Arial" w:hAnsi="Arial" w:cs="Arial"/>
                <w:sz w:val="18"/>
                <w:szCs w:val="18"/>
                <w:highlight w:val="cyan"/>
              </w:rPr>
            </w:pPr>
            <w:r w:rsidRPr="003033DB">
              <w:rPr>
                <w:rFonts w:ascii="Arial" w:hAnsi="Arial" w:cs="Arial"/>
                <w:sz w:val="18"/>
                <w:szCs w:val="18"/>
              </w:rPr>
              <w:t xml:space="preserve">Bestätigung, dass die </w:t>
            </w:r>
            <w:r w:rsidR="0052155F" w:rsidRPr="003033DB">
              <w:rPr>
                <w:rFonts w:ascii="Arial" w:hAnsi="Arial" w:cs="Arial"/>
                <w:sz w:val="18"/>
                <w:szCs w:val="18"/>
              </w:rPr>
              <w:t>Verantwortlichkeiten und Kompetenzen de</w:t>
            </w:r>
            <w:r w:rsidR="003033DB">
              <w:rPr>
                <w:rFonts w:ascii="Arial" w:hAnsi="Arial" w:cs="Arial"/>
                <w:sz w:val="18"/>
                <w:szCs w:val="18"/>
              </w:rPr>
              <w:t>r</w:t>
            </w:r>
            <w:r w:rsidR="003033DB" w:rsidRPr="003033DB">
              <w:rPr>
                <w:rFonts w:ascii="Arial" w:hAnsi="Arial" w:cs="Arial"/>
                <w:sz w:val="18"/>
                <w:szCs w:val="18"/>
              </w:rPr>
              <w:t xml:space="preserve"> Geschäftsleiter der Verwahrstelle </w:t>
            </w:r>
            <w:r w:rsidR="0052155F" w:rsidRPr="003033DB">
              <w:rPr>
                <w:rFonts w:ascii="Arial" w:hAnsi="Arial" w:cs="Arial"/>
                <w:sz w:val="18"/>
                <w:szCs w:val="18"/>
              </w:rPr>
              <w:t>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33E8692C" w14:textId="77777777" w:rsidTr="006A378B">
        <w:tc>
          <w:tcPr>
            <w:tcW w:w="5798" w:type="dxa"/>
            <w:gridSpan w:val="3"/>
          </w:tcPr>
          <w:p w14:paraId="4D0650CA" w14:textId="3C0ACE6E" w:rsidR="00E864F2" w:rsidRPr="006939E1" w:rsidRDefault="0052155F" w:rsidP="006A378B">
            <w:pPr>
              <w:jc w:val="both"/>
              <w:rPr>
                <w:rFonts w:ascii="Arial" w:hAnsi="Arial" w:cs="Arial"/>
                <w:sz w:val="18"/>
                <w:szCs w:val="18"/>
                <w:highlight w:val="cyan"/>
              </w:rPr>
            </w:pPr>
            <w:r w:rsidRPr="00AE3FD3">
              <w:rPr>
                <w:rFonts w:ascii="Arial" w:hAnsi="Arial" w:cs="Arial"/>
                <w:sz w:val="18"/>
                <w:szCs w:val="18"/>
              </w:rPr>
              <w:t xml:space="preserve">Bestätigung, dass die </w:t>
            </w:r>
            <w:r w:rsidR="003033DB" w:rsidRPr="00AE3FD3">
              <w:rPr>
                <w:rFonts w:ascii="Arial" w:hAnsi="Arial" w:cs="Arial"/>
                <w:sz w:val="18"/>
                <w:szCs w:val="18"/>
              </w:rPr>
              <w:t xml:space="preserve">Geschäftsleiter der Verwahrstelle </w:t>
            </w:r>
            <w:r w:rsidRPr="00AE3FD3">
              <w:rPr>
                <w:rFonts w:ascii="Arial" w:hAnsi="Arial" w:cs="Arial"/>
                <w:sz w:val="18"/>
                <w:szCs w:val="18"/>
              </w:rPr>
              <w:t>sowohl individuell als auch kollektiv geeignet sind</w:t>
            </w:r>
            <w:r w:rsidR="00C1307E" w:rsidRPr="00AE3FD3">
              <w:rPr>
                <w:rFonts w:ascii="Arial" w:hAnsi="Arial" w:cs="Arial"/>
                <w:sz w:val="18"/>
                <w:szCs w:val="18"/>
              </w:rPr>
              <w:t xml:space="preserve"> und ihre fachliche Eignung regelmässig </w:t>
            </w:r>
            <w:r w:rsidR="006A378B" w:rsidRPr="00AE3FD3">
              <w:rPr>
                <w:rFonts w:ascii="Arial" w:hAnsi="Arial" w:cs="Arial"/>
                <w:sz w:val="18"/>
                <w:szCs w:val="18"/>
              </w:rPr>
              <w:t xml:space="preserve">intern </w:t>
            </w:r>
            <w:r w:rsidR="00C1307E" w:rsidRPr="00AE3FD3">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79E5D670" w:rsidR="00E864F2" w:rsidRPr="00AE3FD3" w:rsidRDefault="00AE3FD3" w:rsidP="00C1307E">
            <w:pPr>
              <w:jc w:val="both"/>
              <w:rPr>
                <w:rFonts w:ascii="Arial" w:hAnsi="Arial" w:cs="Arial"/>
                <w:sz w:val="18"/>
                <w:szCs w:val="18"/>
              </w:rPr>
            </w:pPr>
            <w:r w:rsidRPr="00AE3FD3">
              <w:rPr>
                <w:rFonts w:ascii="Arial" w:hAnsi="Arial" w:cs="Arial"/>
                <w:sz w:val="18"/>
                <w:szCs w:val="18"/>
              </w:rPr>
              <w:t>Bestätigung, dass die Geschäftsleiter der Verwahrstelle sich regelmässig fachlich einschlägig weiterbilden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5227DF1A" w:rsidR="00C1307E" w:rsidRPr="00AE3FD3" w:rsidRDefault="00AE3FD3" w:rsidP="006A378B">
            <w:pPr>
              <w:jc w:val="both"/>
              <w:rPr>
                <w:rFonts w:ascii="Arial" w:hAnsi="Arial" w:cs="Arial"/>
                <w:sz w:val="18"/>
                <w:szCs w:val="18"/>
              </w:rPr>
            </w:pPr>
            <w:r w:rsidRPr="00AE3FD3">
              <w:rPr>
                <w:rFonts w:ascii="Arial" w:hAnsi="Arial" w:cs="Arial"/>
                <w:sz w:val="18"/>
                <w:szCs w:val="18"/>
              </w:rPr>
              <w:t xml:space="preserve">Bestätigung, dass </w:t>
            </w:r>
            <w:r>
              <w:rPr>
                <w:rFonts w:ascii="Arial" w:hAnsi="Arial" w:cs="Arial"/>
                <w:sz w:val="18"/>
                <w:szCs w:val="18"/>
              </w:rPr>
              <w:t xml:space="preserve">die </w:t>
            </w:r>
            <w:r w:rsidRPr="00AE3FD3">
              <w:rPr>
                <w:rFonts w:ascii="Arial" w:hAnsi="Arial" w:cs="Arial"/>
                <w:sz w:val="18"/>
                <w:szCs w:val="18"/>
              </w:rPr>
              <w:t>Geschäftsleiter der Verwahrstelle regelmässig Kontrollen vornehmen zur Überprüfung des gesetzeskonformen Gebaren</w:t>
            </w:r>
            <w:r>
              <w:rPr>
                <w:rFonts w:ascii="Arial" w:hAnsi="Arial" w:cs="Arial"/>
                <w:sz w:val="18"/>
                <w:szCs w:val="18"/>
              </w:rPr>
              <w:t>s</w:t>
            </w:r>
            <w:r w:rsidRPr="00AE3FD3">
              <w:rPr>
                <w:rFonts w:ascii="Arial" w:hAnsi="Arial" w:cs="Arial"/>
                <w:sz w:val="18"/>
                <w:szCs w:val="18"/>
              </w:rPr>
              <w:t xml:space="preserve"> der Verwahrstelle</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14166" w:rsidRPr="009872F3" w14:paraId="32FE6BB6" w14:textId="77777777" w:rsidTr="006A378B">
        <w:tc>
          <w:tcPr>
            <w:tcW w:w="5798" w:type="dxa"/>
            <w:gridSpan w:val="3"/>
          </w:tcPr>
          <w:p w14:paraId="17BAC3C3" w14:textId="4F62F82A" w:rsidR="00314166" w:rsidRPr="00AE3FD3" w:rsidRDefault="00314166" w:rsidP="006A378B">
            <w:pPr>
              <w:jc w:val="both"/>
              <w:rPr>
                <w:rFonts w:ascii="Arial" w:hAnsi="Arial" w:cs="Arial"/>
                <w:sz w:val="18"/>
                <w:szCs w:val="18"/>
              </w:rPr>
            </w:pPr>
            <w:r w:rsidRPr="00314166">
              <w:rPr>
                <w:rFonts w:ascii="Arial" w:hAnsi="Arial" w:cs="Arial"/>
                <w:sz w:val="18"/>
                <w:szCs w:val="18"/>
              </w:rPr>
              <w:t xml:space="preserve">Bestätigung, dass die internen Verfahren ein angemessenes Berichterstattungswesen </w:t>
            </w:r>
            <w:r>
              <w:rPr>
                <w:rFonts w:ascii="Arial" w:hAnsi="Arial" w:cs="Arial"/>
                <w:sz w:val="18"/>
                <w:szCs w:val="18"/>
              </w:rPr>
              <w:t xml:space="preserve">zu </w:t>
            </w:r>
            <w:r w:rsidR="004F0022">
              <w:rPr>
                <w:rFonts w:ascii="Arial" w:hAnsi="Arial" w:cs="Arial"/>
                <w:sz w:val="18"/>
                <w:szCs w:val="18"/>
              </w:rPr>
              <w:t>Händen</w:t>
            </w:r>
            <w:r>
              <w:rPr>
                <w:rFonts w:ascii="Arial" w:hAnsi="Arial" w:cs="Arial"/>
                <w:sz w:val="18"/>
                <w:szCs w:val="18"/>
              </w:rPr>
              <w:t xml:space="preserve"> des Geschäftsleiters der Verwahrstellenfunktion </w:t>
            </w:r>
            <w:r w:rsidRPr="00314166">
              <w:rPr>
                <w:rFonts w:ascii="Arial" w:hAnsi="Arial" w:cs="Arial"/>
                <w:sz w:val="18"/>
                <w:szCs w:val="18"/>
              </w:rPr>
              <w:t>sicherstellen</w:t>
            </w:r>
          </w:p>
        </w:tc>
        <w:tc>
          <w:tcPr>
            <w:tcW w:w="3382" w:type="dxa"/>
          </w:tcPr>
          <w:p w14:paraId="72F4C38A" w14:textId="11738F77" w:rsidR="00314166" w:rsidRPr="00E109DF" w:rsidRDefault="00314166" w:rsidP="006A378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0CEA12FF" w14:textId="77777777" w:rsidTr="006A378B">
        <w:tc>
          <w:tcPr>
            <w:tcW w:w="5798" w:type="dxa"/>
            <w:gridSpan w:val="3"/>
          </w:tcPr>
          <w:p w14:paraId="353EE7B8" w14:textId="77777777" w:rsidR="00AB459F" w:rsidRPr="00314166" w:rsidRDefault="00AB459F" w:rsidP="006A378B">
            <w:pPr>
              <w:jc w:val="both"/>
              <w:rPr>
                <w:rFonts w:ascii="Arial" w:hAnsi="Arial" w:cs="Arial"/>
                <w:sz w:val="18"/>
                <w:szCs w:val="18"/>
              </w:rPr>
            </w:pPr>
          </w:p>
        </w:tc>
        <w:tc>
          <w:tcPr>
            <w:tcW w:w="3382" w:type="dxa"/>
          </w:tcPr>
          <w:p w14:paraId="494C3DC2" w14:textId="77777777" w:rsidR="00AB459F" w:rsidRPr="00E109DF" w:rsidRDefault="00AB459F" w:rsidP="006A378B">
            <w:pPr>
              <w:jc w:val="both"/>
              <w:rPr>
                <w:rFonts w:ascii="Arial" w:hAnsi="Arial" w:cs="Arial"/>
                <w:i/>
                <w:sz w:val="18"/>
                <w:szCs w:val="18"/>
                <w:highlight w:val="yellow"/>
              </w:rPr>
            </w:pPr>
          </w:p>
        </w:tc>
      </w:tr>
      <w:tr w:rsidR="00AB459F" w:rsidRPr="009872F3" w14:paraId="0367F2D8" w14:textId="77777777" w:rsidTr="008034B7">
        <w:tc>
          <w:tcPr>
            <w:tcW w:w="9180" w:type="dxa"/>
            <w:gridSpan w:val="4"/>
          </w:tcPr>
          <w:p w14:paraId="4C882661" w14:textId="18ED6BDA" w:rsidR="00AB459F" w:rsidRDefault="00AB459F" w:rsidP="006A378B">
            <w:pPr>
              <w:jc w:val="both"/>
              <w:rPr>
                <w:rFonts w:ascii="Arial" w:hAnsi="Arial" w:cs="Arial"/>
                <w:sz w:val="18"/>
                <w:szCs w:val="18"/>
              </w:rPr>
            </w:pPr>
            <w:r>
              <w:rPr>
                <w:rFonts w:ascii="Arial" w:hAnsi="Arial" w:cs="Arial"/>
                <w:sz w:val="18"/>
                <w:szCs w:val="18"/>
              </w:rPr>
              <w:t>Auflistung der durchgeführten Prüfungshandlungen:</w:t>
            </w:r>
          </w:p>
          <w:p w14:paraId="77293876" w14:textId="70E6423E" w:rsidR="00AB459F" w:rsidRPr="00AB459F" w:rsidRDefault="00AB459F" w:rsidP="00AB459F">
            <w:pPr>
              <w:pStyle w:val="Listenabsatz"/>
              <w:numPr>
                <w:ilvl w:val="0"/>
                <w:numId w:val="43"/>
              </w:numPr>
              <w:jc w:val="both"/>
              <w:rPr>
                <w:rFonts w:cs="Arial"/>
                <w:i/>
                <w:sz w:val="18"/>
                <w:szCs w:val="18"/>
                <w:highlight w:val="yellow"/>
              </w:rPr>
            </w:pPr>
          </w:p>
        </w:tc>
      </w:tr>
    </w:tbl>
    <w:p w14:paraId="4E6B57F4" w14:textId="77777777" w:rsidR="003E42EA" w:rsidRDefault="003E42EA"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1BA48C0E" w14:textId="77777777" w:rsidTr="006A378B">
        <w:tc>
          <w:tcPr>
            <w:tcW w:w="2660" w:type="dxa"/>
          </w:tcPr>
          <w:p w14:paraId="4C3AEA94" w14:textId="192664A5" w:rsidR="00E864F2" w:rsidRPr="00AE3FD3" w:rsidRDefault="00AE3FD3" w:rsidP="006A378B">
            <w:pPr>
              <w:jc w:val="both"/>
              <w:rPr>
                <w:rFonts w:ascii="Arial" w:hAnsi="Arial" w:cs="Arial"/>
                <w:i/>
                <w:sz w:val="20"/>
                <w:szCs w:val="20"/>
                <w:highlight w:val="lightGray"/>
              </w:rPr>
            </w:pPr>
            <w:r w:rsidRPr="00AE3FD3">
              <w:rPr>
                <w:rFonts w:ascii="Arial" w:hAnsi="Arial" w:cs="Arial"/>
                <w:i/>
                <w:sz w:val="20"/>
                <w:szCs w:val="20"/>
                <w:highlight w:val="lightGray"/>
              </w:rPr>
              <w:t>Geschäftsleitung der Verwahrstelle</w:t>
            </w:r>
          </w:p>
        </w:tc>
        <w:tc>
          <w:tcPr>
            <w:tcW w:w="6520" w:type="dxa"/>
          </w:tcPr>
          <w:p w14:paraId="4A773307" w14:textId="045243EA" w:rsidR="00AE3FD3" w:rsidRPr="00AE3FD3" w:rsidRDefault="00AE3FD3" w:rsidP="00AE3FD3">
            <w:pPr>
              <w:pStyle w:val="Listenabsatz"/>
              <w:numPr>
                <w:ilvl w:val="1"/>
                <w:numId w:val="17"/>
              </w:numPr>
              <w:ind w:left="317" w:hanging="283"/>
              <w:jc w:val="both"/>
              <w:rPr>
                <w:rFonts w:cs="Arial"/>
                <w:i/>
                <w:szCs w:val="20"/>
                <w:highlight w:val="lightGray"/>
              </w:rPr>
            </w:pPr>
            <w:r w:rsidRPr="00AE3FD3">
              <w:rPr>
                <w:rFonts w:cs="Arial"/>
                <w:i/>
                <w:szCs w:val="20"/>
                <w:highlight w:val="lightGray"/>
              </w:rPr>
              <w:t>Es besteht eine klare und effektive Aufteilung von Verantwortlichkeiten und Kompetenzen</w:t>
            </w:r>
            <w:r w:rsidR="007C6440">
              <w:rPr>
                <w:rFonts w:cs="Arial"/>
                <w:i/>
                <w:szCs w:val="20"/>
                <w:highlight w:val="lightGray"/>
              </w:rPr>
              <w:t>.</w:t>
            </w:r>
          </w:p>
          <w:p w14:paraId="0B460FC1" w14:textId="0DDF0978" w:rsidR="00E864F2" w:rsidRPr="00AE3FD3" w:rsidRDefault="00E864F2" w:rsidP="00E864F2">
            <w:pPr>
              <w:pStyle w:val="Listenabsatz"/>
              <w:numPr>
                <w:ilvl w:val="1"/>
                <w:numId w:val="17"/>
              </w:numPr>
              <w:ind w:left="317" w:hanging="283"/>
              <w:jc w:val="both"/>
              <w:rPr>
                <w:rFonts w:cs="Arial"/>
                <w:i/>
                <w:szCs w:val="20"/>
                <w:highlight w:val="lightGray"/>
              </w:rPr>
            </w:pPr>
            <w:r w:rsidRPr="00AE3FD3">
              <w:rPr>
                <w:rFonts w:cs="Arial"/>
                <w:i/>
                <w:szCs w:val="20"/>
                <w:highlight w:val="lightGray"/>
              </w:rPr>
              <w:t xml:space="preserve">Die </w:t>
            </w:r>
            <w:r w:rsidR="00AE3FD3" w:rsidRPr="00AE3FD3">
              <w:rPr>
                <w:rFonts w:cs="Arial"/>
                <w:i/>
                <w:szCs w:val="20"/>
                <w:highlight w:val="lightGray"/>
              </w:rPr>
              <w:t>Geschäftsleiter der Verwahrstelle</w:t>
            </w:r>
            <w:r w:rsidRPr="00AE3FD3">
              <w:rPr>
                <w:rFonts w:cs="Arial"/>
                <w:i/>
                <w:szCs w:val="20"/>
                <w:highlight w:val="lightGray"/>
              </w:rPr>
              <w:t xml:space="preserve"> sind sowohl individuell als auch kollektiv geeignet</w:t>
            </w:r>
            <w:r w:rsidR="00AE3FD3" w:rsidRPr="00AE3FD3">
              <w:rPr>
                <w:rFonts w:cs="Arial"/>
                <w:i/>
                <w:szCs w:val="20"/>
                <w:highlight w:val="lightGray"/>
              </w:rPr>
              <w:t xml:space="preserve"> (ausreichende Erfahrung und </w:t>
            </w:r>
            <w:r w:rsidR="00C35F9F">
              <w:rPr>
                <w:rFonts w:cs="Arial"/>
                <w:i/>
                <w:szCs w:val="20"/>
                <w:highlight w:val="lightGray"/>
              </w:rPr>
              <w:t>Fachwissen</w:t>
            </w:r>
            <w:r w:rsidR="00AE3FD3" w:rsidRPr="00AE3FD3">
              <w:rPr>
                <w:rFonts w:cs="Arial"/>
                <w:i/>
                <w:szCs w:val="20"/>
                <w:highlight w:val="lightGray"/>
              </w:rPr>
              <w:t xml:space="preserve"> bzgl. den einzelnen Fondsarten nach IUG, UCITSG, AIFMG)</w:t>
            </w:r>
            <w:r w:rsidR="000612C5">
              <w:rPr>
                <w:rFonts w:cs="Arial"/>
                <w:i/>
                <w:szCs w:val="20"/>
                <w:highlight w:val="lightGray"/>
              </w:rPr>
              <w:t>.</w:t>
            </w:r>
          </w:p>
          <w:p w14:paraId="2AC47F80" w14:textId="63042A78" w:rsidR="00E864F2" w:rsidRPr="00AE3FD3" w:rsidRDefault="00AE3FD3" w:rsidP="00E864F2">
            <w:pPr>
              <w:pStyle w:val="Listenabsatz"/>
              <w:numPr>
                <w:ilvl w:val="1"/>
                <w:numId w:val="17"/>
              </w:numPr>
              <w:ind w:left="317" w:hanging="283"/>
              <w:jc w:val="both"/>
              <w:rPr>
                <w:rFonts w:cs="Arial"/>
                <w:i/>
                <w:szCs w:val="20"/>
                <w:highlight w:val="lightGray"/>
              </w:rPr>
            </w:pPr>
            <w:r w:rsidRPr="00AE3FD3">
              <w:rPr>
                <w:rFonts w:cs="Arial"/>
                <w:i/>
                <w:szCs w:val="20"/>
                <w:highlight w:val="lightGray"/>
              </w:rPr>
              <w:t xml:space="preserve">Die Geschäftsleiter der Verwahrstelle </w:t>
            </w:r>
            <w:r w:rsidR="00E864F2" w:rsidRPr="00AE3FD3">
              <w:rPr>
                <w:rFonts w:cs="Arial"/>
                <w:i/>
                <w:szCs w:val="20"/>
                <w:highlight w:val="lightGray"/>
              </w:rPr>
              <w:t>werden regelmässig fachlich einschlägig weitergebildet</w:t>
            </w:r>
            <w:r w:rsidR="007C6440">
              <w:rPr>
                <w:rFonts w:cs="Arial"/>
                <w:i/>
                <w:szCs w:val="20"/>
                <w:highlight w:val="lightGray"/>
              </w:rPr>
              <w:t>.</w:t>
            </w:r>
          </w:p>
          <w:p w14:paraId="4BF13C7F" w14:textId="31DE1BDB" w:rsidR="00E864F2" w:rsidRDefault="00AE3FD3" w:rsidP="00AE3FD3">
            <w:pPr>
              <w:pStyle w:val="Listenabsatz"/>
              <w:numPr>
                <w:ilvl w:val="1"/>
                <w:numId w:val="17"/>
              </w:numPr>
              <w:ind w:left="317" w:hanging="283"/>
              <w:jc w:val="both"/>
              <w:rPr>
                <w:rFonts w:cs="Arial"/>
                <w:i/>
                <w:szCs w:val="20"/>
                <w:highlight w:val="lightGray"/>
              </w:rPr>
            </w:pPr>
            <w:r w:rsidRPr="00AE3FD3">
              <w:rPr>
                <w:rFonts w:cs="Arial"/>
                <w:i/>
                <w:szCs w:val="20"/>
                <w:highlight w:val="lightGray"/>
              </w:rPr>
              <w:t>Die Geschäftsleiter der Verwahrstelle sind zuverlässig, kümmern sich ausnahmslos um das gesetzeskonforme Gebaren der Verwahrstelle und haben einen guten Ruf</w:t>
            </w:r>
            <w:r w:rsidR="007C6440">
              <w:rPr>
                <w:rFonts w:cs="Arial"/>
                <w:i/>
                <w:szCs w:val="20"/>
                <w:highlight w:val="lightGray"/>
              </w:rPr>
              <w:t>.</w:t>
            </w:r>
          </w:p>
          <w:p w14:paraId="739103B5" w14:textId="30DF675E" w:rsidR="00AE3FD3" w:rsidRDefault="00AE3FD3" w:rsidP="00AE3FD3">
            <w:pPr>
              <w:pStyle w:val="Listenabsatz"/>
              <w:numPr>
                <w:ilvl w:val="1"/>
                <w:numId w:val="17"/>
              </w:numPr>
              <w:ind w:left="317" w:hanging="283"/>
              <w:jc w:val="both"/>
              <w:rPr>
                <w:rFonts w:cs="Arial"/>
                <w:i/>
                <w:szCs w:val="20"/>
                <w:highlight w:val="lightGray"/>
              </w:rPr>
            </w:pPr>
            <w:r>
              <w:rPr>
                <w:rFonts w:cs="Arial"/>
                <w:i/>
                <w:szCs w:val="20"/>
                <w:highlight w:val="lightGray"/>
              </w:rPr>
              <w:t>Die Geschäftsleiter der Verwahrstelle führen regelmässig Kontrollen durch zur Überprüfung der Einhaltung der gesetzlichen Bestimmungen</w:t>
            </w:r>
            <w:r w:rsidR="007C6440">
              <w:rPr>
                <w:rFonts w:cs="Arial"/>
                <w:i/>
                <w:szCs w:val="20"/>
                <w:highlight w:val="lightGray"/>
              </w:rPr>
              <w:t>.</w:t>
            </w:r>
          </w:p>
          <w:p w14:paraId="4F5C1BD5" w14:textId="22D73621" w:rsidR="00AE3FD3" w:rsidRPr="00AE3FD3" w:rsidRDefault="00314166" w:rsidP="00AE3FD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 dass eine regelmässige und angemessene Berichterstattung innerhalb der Verwahrstellenfunktion zu </w:t>
            </w:r>
            <w:r w:rsidR="00461503">
              <w:rPr>
                <w:rFonts w:cs="Arial"/>
                <w:i/>
                <w:szCs w:val="20"/>
                <w:highlight w:val="lightGray"/>
              </w:rPr>
              <w:t>Händen</w:t>
            </w:r>
            <w:r>
              <w:rPr>
                <w:rFonts w:cs="Arial"/>
                <w:i/>
                <w:szCs w:val="20"/>
                <w:highlight w:val="lightGray"/>
              </w:rPr>
              <w:t xml:space="preserve"> der Geschäftsleiter der Verwahrstelle </w:t>
            </w:r>
            <w:r w:rsidR="00D80FB4">
              <w:rPr>
                <w:rFonts w:cs="Arial"/>
                <w:i/>
                <w:szCs w:val="20"/>
                <w:highlight w:val="lightGray"/>
              </w:rPr>
              <w:t>stattfindet</w:t>
            </w:r>
            <w:r w:rsidR="007C6440">
              <w:rPr>
                <w:rFonts w:cs="Arial"/>
                <w:i/>
                <w:szCs w:val="20"/>
                <w:highlight w:val="lightGray"/>
              </w:rPr>
              <w:t>.</w:t>
            </w:r>
          </w:p>
        </w:tc>
      </w:tr>
    </w:tbl>
    <w:p w14:paraId="3C182E38" w14:textId="77777777" w:rsidR="00667CFA" w:rsidRDefault="00667CFA" w:rsidP="003E42EA">
      <w:pPr>
        <w:jc w:val="both"/>
        <w:rPr>
          <w:rFonts w:ascii="Arial" w:hAnsi="Arial" w:cs="Arial"/>
          <w:sz w:val="18"/>
          <w:szCs w:val="18"/>
        </w:rPr>
      </w:pPr>
    </w:p>
    <w:p w14:paraId="6040BBC6" w14:textId="200D5F92" w:rsidR="003E42EA" w:rsidRPr="00B42A2D" w:rsidRDefault="003E42EA" w:rsidP="003E42EA">
      <w:pPr>
        <w:jc w:val="both"/>
        <w:rPr>
          <w:rFonts w:ascii="Arial" w:hAnsi="Arial" w:cs="Arial"/>
          <w:i/>
          <w:sz w:val="18"/>
          <w:szCs w:val="18"/>
        </w:rPr>
      </w:pPr>
      <w:r w:rsidRPr="00B42A2D">
        <w:rPr>
          <w:rFonts w:ascii="Arial" w:hAnsi="Arial" w:cs="Arial"/>
          <w:i/>
          <w:sz w:val="18"/>
          <w:szCs w:val="18"/>
          <w:highlight w:val="lightGray"/>
        </w:rPr>
        <w:t xml:space="preserve">*Prüfgebiet «Geschäftsleitung der Verwahrstelle» ist </w:t>
      </w:r>
      <w:r w:rsidR="00D22188" w:rsidRPr="00B42A2D">
        <w:rPr>
          <w:rFonts w:ascii="Arial" w:hAnsi="Arial" w:cs="Arial"/>
          <w:i/>
          <w:sz w:val="18"/>
          <w:szCs w:val="18"/>
          <w:highlight w:val="lightGray"/>
        </w:rPr>
        <w:t>anzuwenden</w:t>
      </w:r>
      <w:r w:rsidRPr="00B42A2D">
        <w:rPr>
          <w:rFonts w:ascii="Arial" w:hAnsi="Arial" w:cs="Arial"/>
          <w:i/>
          <w:sz w:val="18"/>
          <w:szCs w:val="18"/>
          <w:highlight w:val="lightGray"/>
        </w:rPr>
        <w:t xml:space="preserve">, sofern es sich bei der Verwahrstelle nicht um eine inländische Bank oder Wertpapierfirma </w:t>
      </w:r>
      <w:r w:rsidR="00D22188" w:rsidRPr="00B42A2D">
        <w:rPr>
          <w:rFonts w:ascii="Arial" w:hAnsi="Arial" w:cs="Arial"/>
          <w:i/>
          <w:sz w:val="18"/>
          <w:szCs w:val="18"/>
          <w:highlight w:val="lightGray"/>
        </w:rPr>
        <w:t xml:space="preserve">nach </w:t>
      </w:r>
      <w:proofErr w:type="spellStart"/>
      <w:r w:rsidR="00D22188" w:rsidRPr="00B42A2D">
        <w:rPr>
          <w:rFonts w:ascii="Arial" w:hAnsi="Arial" w:cs="Arial"/>
          <w:i/>
          <w:sz w:val="18"/>
          <w:szCs w:val="18"/>
          <w:highlight w:val="lightGray"/>
        </w:rPr>
        <w:t>BankG</w:t>
      </w:r>
      <w:proofErr w:type="spellEnd"/>
      <w:r w:rsidR="00D22188" w:rsidRPr="00B42A2D">
        <w:rPr>
          <w:rFonts w:ascii="Arial" w:hAnsi="Arial" w:cs="Arial"/>
          <w:i/>
          <w:sz w:val="18"/>
          <w:szCs w:val="18"/>
          <w:highlight w:val="lightGray"/>
        </w:rPr>
        <w:t xml:space="preserve"> </w:t>
      </w:r>
      <w:r w:rsidRPr="00B42A2D">
        <w:rPr>
          <w:rFonts w:ascii="Arial" w:hAnsi="Arial" w:cs="Arial"/>
          <w:i/>
          <w:sz w:val="18"/>
          <w:szCs w:val="18"/>
          <w:highlight w:val="lightGray"/>
        </w:rPr>
        <w:t xml:space="preserve">handelt. </w:t>
      </w:r>
      <w:r w:rsidR="00D22188" w:rsidRPr="00B42A2D">
        <w:rPr>
          <w:rFonts w:ascii="Arial" w:hAnsi="Arial" w:cs="Arial"/>
          <w:i/>
          <w:sz w:val="18"/>
          <w:szCs w:val="18"/>
          <w:highlight w:val="lightGray"/>
        </w:rPr>
        <w:t xml:space="preserve">Ansonsten kann auf den Bericht über die Aufsichtsprüfung </w:t>
      </w:r>
      <w:r w:rsidR="00D22188" w:rsidRPr="00B42A2D">
        <w:rPr>
          <w:rFonts w:ascii="Arial" w:hAnsi="Arial" w:cs="Arial"/>
          <w:i/>
          <w:sz w:val="18"/>
          <w:szCs w:val="18"/>
          <w:highlight w:val="lightGray"/>
        </w:rPr>
        <w:lastRenderedPageBreak/>
        <w:t>für Banken</w:t>
      </w:r>
      <w:r w:rsidR="00983C75" w:rsidRPr="00B42A2D">
        <w:rPr>
          <w:rFonts w:ascii="Arial" w:hAnsi="Arial" w:cs="Arial"/>
          <w:i/>
          <w:sz w:val="18"/>
          <w:szCs w:val="18"/>
          <w:highlight w:val="lightGray"/>
        </w:rPr>
        <w:t>/Wertpapierfirmen</w:t>
      </w:r>
      <w:r w:rsidR="00D22188" w:rsidRPr="00B42A2D">
        <w:rPr>
          <w:rFonts w:ascii="Arial" w:hAnsi="Arial" w:cs="Arial"/>
          <w:i/>
          <w:sz w:val="18"/>
          <w:szCs w:val="18"/>
          <w:highlight w:val="lightGray"/>
        </w:rPr>
        <w:t xml:space="preserve"> verwiesen werden, unter Angabe de</w:t>
      </w:r>
      <w:r w:rsidR="00983C75" w:rsidRPr="00B42A2D">
        <w:rPr>
          <w:rFonts w:ascii="Arial" w:hAnsi="Arial" w:cs="Arial"/>
          <w:i/>
          <w:sz w:val="18"/>
          <w:szCs w:val="18"/>
          <w:highlight w:val="lightGray"/>
        </w:rPr>
        <w:t xml:space="preserve">s zuständigen Geschäftsleitungsmitglieds </w:t>
      </w:r>
      <w:r w:rsidR="00D22188" w:rsidRPr="00B42A2D">
        <w:rPr>
          <w:rFonts w:ascii="Arial" w:hAnsi="Arial" w:cs="Arial"/>
          <w:i/>
          <w:sz w:val="18"/>
          <w:szCs w:val="18"/>
          <w:highlight w:val="lightGray"/>
        </w:rPr>
        <w:t>für die Verwahrstellenfunktion (</w:t>
      </w:r>
      <w:r w:rsidR="00983C75" w:rsidRPr="00B42A2D">
        <w:rPr>
          <w:rFonts w:ascii="Arial" w:hAnsi="Arial" w:cs="Arial"/>
          <w:i/>
          <w:sz w:val="18"/>
          <w:szCs w:val="18"/>
          <w:highlight w:val="lightGray"/>
        </w:rPr>
        <w:t>unter</w:t>
      </w:r>
      <w:r w:rsidR="00D22188" w:rsidRPr="00B42A2D">
        <w:rPr>
          <w:rFonts w:ascii="Arial" w:hAnsi="Arial" w:cs="Arial"/>
          <w:i/>
          <w:sz w:val="18"/>
          <w:szCs w:val="18"/>
          <w:highlight w:val="lightGray"/>
        </w:rPr>
        <w:t xml:space="preserve"> Kap. 3.1).</w:t>
      </w:r>
      <w:r w:rsidR="00D22188" w:rsidRPr="00B42A2D">
        <w:rPr>
          <w:rFonts w:ascii="Arial" w:hAnsi="Arial" w:cs="Arial"/>
          <w:i/>
          <w:sz w:val="18"/>
          <w:szCs w:val="18"/>
        </w:rPr>
        <w:t xml:space="preserve"> </w:t>
      </w:r>
    </w:p>
    <w:p w14:paraId="0B11FFB7" w14:textId="2E46A4E7" w:rsidR="003E42EA" w:rsidRDefault="003E42EA" w:rsidP="00E864F2">
      <w:pPr>
        <w:jc w:val="both"/>
      </w:pPr>
    </w:p>
    <w:p w14:paraId="67311007" w14:textId="77777777" w:rsidR="003E42EA" w:rsidRDefault="003E42EA"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BD6D535" w14:textId="6BBE2C8A" w:rsidR="006939E1" w:rsidRDefault="006939E1" w:rsidP="00E864F2">
      <w:pPr>
        <w:jc w:val="both"/>
      </w:pPr>
    </w:p>
    <w:p w14:paraId="06D98546" w14:textId="77777777" w:rsidR="00E864F2" w:rsidRDefault="00E864F2" w:rsidP="00E864F2">
      <w:pPr>
        <w:jc w:val="both"/>
      </w:pPr>
    </w:p>
    <w:p w14:paraId="61DA7D7C" w14:textId="0AFF9BB1" w:rsidR="00543DCA" w:rsidRPr="007E4333" w:rsidRDefault="00C80A45" w:rsidP="006F7AB5">
      <w:pPr>
        <w:pStyle w:val="FINMAGliederungEbene3"/>
      </w:pPr>
      <w:bookmarkStart w:id="16" w:name="_Toc185241470"/>
      <w:r>
        <w:t xml:space="preserve">Unabhängigkeit der Verwahrstellenfunktion und </w:t>
      </w:r>
      <w:r w:rsidR="00743771" w:rsidRPr="007E4333">
        <w:t>Interessenskonflikte</w:t>
      </w:r>
      <w:r w:rsidR="00543DCA" w:rsidRPr="007E4333">
        <w:t xml:space="preserve"> (GOV-</w:t>
      </w:r>
      <w:r w:rsidR="000958D7">
        <w:t>2</w:t>
      </w:r>
      <w:r w:rsidR="00543DCA" w:rsidRPr="007E4333">
        <w:t>)</w:t>
      </w:r>
      <w:bookmarkEnd w:id="16"/>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76638C80"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557289"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Pr="00F60909"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0CD3FE2" w14:textId="00FED23C" w:rsidR="00743771" w:rsidRPr="00557289" w:rsidRDefault="00743771" w:rsidP="00BC19D0">
            <w:pPr>
              <w:jc w:val="both"/>
              <w:rPr>
                <w:rFonts w:ascii="Arial" w:hAnsi="Arial" w:cs="Arial"/>
                <w:sz w:val="18"/>
                <w:szCs w:val="18"/>
              </w:rPr>
            </w:pPr>
            <w:r w:rsidRPr="00E56C8F">
              <w:rPr>
                <w:rFonts w:ascii="Arial" w:hAnsi="Arial" w:cs="Arial"/>
                <w:sz w:val="18"/>
                <w:szCs w:val="18"/>
                <w:highlight w:val="yellow"/>
              </w:rPr>
              <w:t xml:space="preserve">Art. </w:t>
            </w:r>
            <w:r w:rsidR="0032489C" w:rsidRPr="00E56C8F">
              <w:rPr>
                <w:rFonts w:ascii="Arial" w:hAnsi="Arial" w:cs="Arial"/>
                <w:sz w:val="18"/>
                <w:szCs w:val="18"/>
                <w:highlight w:val="yellow"/>
              </w:rPr>
              <w:t xml:space="preserve">18 Abs. 2 IUG; </w:t>
            </w:r>
            <w:r w:rsidR="00557289" w:rsidRPr="00E56C8F">
              <w:rPr>
                <w:rFonts w:ascii="Arial" w:hAnsi="Arial" w:cs="Arial"/>
                <w:sz w:val="18"/>
                <w:szCs w:val="18"/>
                <w:highlight w:val="yellow"/>
              </w:rPr>
              <w:t xml:space="preserve">Art. 43 Abs. 5 IUG; Art. 32 Abs. 4 bis 5 UCITSG; Art. </w:t>
            </w:r>
            <w:r w:rsidR="00557289" w:rsidRPr="0067201F">
              <w:rPr>
                <w:rFonts w:ascii="Arial" w:hAnsi="Arial" w:cs="Arial"/>
                <w:sz w:val="18"/>
                <w:szCs w:val="18"/>
                <w:highlight w:val="yellow"/>
              </w:rPr>
              <w:t xml:space="preserve">59 Abs. 3 </w:t>
            </w:r>
            <w:r w:rsidR="00E56C8F" w:rsidRPr="0067201F">
              <w:rPr>
                <w:rFonts w:ascii="Arial" w:hAnsi="Arial" w:cs="Arial"/>
                <w:sz w:val="18"/>
                <w:szCs w:val="18"/>
                <w:highlight w:val="yellow"/>
              </w:rPr>
              <w:t xml:space="preserve">bis 4 AIFMG; </w:t>
            </w:r>
            <w:proofErr w:type="spellStart"/>
            <w:r w:rsidR="00E56C8F" w:rsidRPr="0067201F">
              <w:rPr>
                <w:rFonts w:ascii="Arial" w:hAnsi="Arial" w:cs="Arial"/>
                <w:sz w:val="18"/>
                <w:szCs w:val="18"/>
                <w:highlight w:val="yellow"/>
              </w:rPr>
              <w:t>DelVO</w:t>
            </w:r>
            <w:proofErr w:type="spellEnd"/>
            <w:r w:rsidR="00E56C8F" w:rsidRPr="0067201F">
              <w:rPr>
                <w:rFonts w:ascii="Arial" w:hAnsi="Arial" w:cs="Arial"/>
                <w:sz w:val="18"/>
                <w:szCs w:val="18"/>
                <w:highlight w:val="yellow"/>
              </w:rPr>
              <w:t xml:space="preserve"> (EU) Nr. 2016/438 Art. 20 ff, FMA-Mitteilung 2016/1</w:t>
            </w:r>
            <w:r w:rsidR="004D3F4A">
              <w:rPr>
                <w:rFonts w:ascii="Arial" w:hAnsi="Arial" w:cs="Arial"/>
                <w:sz w:val="18"/>
                <w:szCs w:val="18"/>
                <w:highlight w:val="yellow"/>
              </w:rPr>
              <w:t>;</w:t>
            </w:r>
            <w:r w:rsidR="00266643">
              <w:rPr>
                <w:rFonts w:ascii="Arial" w:hAnsi="Arial" w:cs="Arial"/>
                <w:sz w:val="18"/>
                <w:szCs w:val="18"/>
                <w:highlight w:val="yellow"/>
              </w:rPr>
              <w:t xml:space="preserve"> FMA-Richtlinie 2015/2</w:t>
            </w:r>
          </w:p>
        </w:tc>
      </w:tr>
      <w:tr w:rsidR="00743771" w:rsidRPr="00557289" w14:paraId="56769B66" w14:textId="77777777" w:rsidTr="00BC19D0">
        <w:trPr>
          <w:trHeight w:val="294"/>
        </w:trPr>
        <w:tc>
          <w:tcPr>
            <w:tcW w:w="9180" w:type="dxa"/>
            <w:gridSpan w:val="4"/>
          </w:tcPr>
          <w:p w14:paraId="31E91926" w14:textId="77777777" w:rsidR="00743771" w:rsidRPr="00557289" w:rsidRDefault="00743771" w:rsidP="00BC19D0">
            <w:pPr>
              <w:jc w:val="both"/>
              <w:rPr>
                <w:rFonts w:ascii="Arial" w:hAnsi="Arial" w:cs="Arial"/>
                <w:sz w:val="18"/>
                <w:szCs w:val="18"/>
              </w:rPr>
            </w:pPr>
          </w:p>
        </w:tc>
      </w:tr>
      <w:tr w:rsidR="00557289" w:rsidRPr="009872F3" w14:paraId="2FF6203C" w14:textId="77777777" w:rsidTr="00BC19D0">
        <w:tc>
          <w:tcPr>
            <w:tcW w:w="5798" w:type="dxa"/>
            <w:gridSpan w:val="3"/>
          </w:tcPr>
          <w:p w14:paraId="1BB9FCA8" w14:textId="4B5EB0C3" w:rsidR="00557289" w:rsidRPr="00AD0DCA" w:rsidRDefault="00557289" w:rsidP="00BC19D0">
            <w:pPr>
              <w:jc w:val="both"/>
              <w:rPr>
                <w:rFonts w:ascii="Arial" w:hAnsi="Arial" w:cs="Arial"/>
                <w:sz w:val="18"/>
                <w:szCs w:val="18"/>
                <w:highlight w:val="cyan"/>
              </w:rPr>
            </w:pPr>
            <w:r w:rsidRPr="00EF4FB1">
              <w:rPr>
                <w:rFonts w:ascii="Arial" w:hAnsi="Arial" w:cs="Arial"/>
                <w:sz w:val="18"/>
                <w:szCs w:val="18"/>
              </w:rPr>
              <w:t>Bestätigung, dass die Organisationsstruktur und die internen Verfahren sicherstellen, dass die Unabhängigkeit der Verwahrstelle von der Verwaltungsgesellschaft/AIFM gewährt ist</w:t>
            </w:r>
          </w:p>
        </w:tc>
        <w:tc>
          <w:tcPr>
            <w:tcW w:w="3382" w:type="dxa"/>
          </w:tcPr>
          <w:p w14:paraId="491E7187" w14:textId="7280ABAE" w:rsidR="00557289" w:rsidRPr="00E109DF" w:rsidRDefault="00EF4FB1"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3E19" w:rsidRPr="009872F3" w14:paraId="2E63E59B" w14:textId="77777777" w:rsidTr="00BC19D0">
        <w:tc>
          <w:tcPr>
            <w:tcW w:w="5798" w:type="dxa"/>
            <w:gridSpan w:val="3"/>
          </w:tcPr>
          <w:p w14:paraId="10D2FF05" w14:textId="3D44C46A" w:rsidR="00E43E19" w:rsidRPr="00E43E19" w:rsidRDefault="00E43E19" w:rsidP="00BC19D0">
            <w:pPr>
              <w:jc w:val="both"/>
              <w:rPr>
                <w:rFonts w:ascii="Arial" w:hAnsi="Arial" w:cs="Arial"/>
                <w:sz w:val="18"/>
                <w:szCs w:val="18"/>
              </w:rPr>
            </w:pPr>
            <w:r>
              <w:rPr>
                <w:rFonts w:ascii="Arial" w:hAnsi="Arial" w:cs="Arial"/>
                <w:sz w:val="18"/>
                <w:szCs w:val="18"/>
              </w:rPr>
              <w:t xml:space="preserve">Bestätigung, dass </w:t>
            </w:r>
            <w:r w:rsidR="00384E6D">
              <w:rPr>
                <w:rFonts w:ascii="Arial" w:hAnsi="Arial" w:cs="Arial"/>
                <w:sz w:val="18"/>
                <w:szCs w:val="18"/>
              </w:rPr>
              <w:t xml:space="preserve">angemessene dokumentierte </w:t>
            </w:r>
            <w:r>
              <w:rPr>
                <w:rFonts w:ascii="Arial" w:hAnsi="Arial" w:cs="Arial"/>
                <w:sz w:val="18"/>
                <w:szCs w:val="18"/>
              </w:rPr>
              <w:t xml:space="preserve">Massnahmen zur Vermeidung von Interessenskonflikten in Bezug auf die Verwahrstellenfunktion </w:t>
            </w:r>
            <w:r w:rsidR="00384E6D">
              <w:rPr>
                <w:rFonts w:ascii="Arial" w:hAnsi="Arial" w:cs="Arial"/>
                <w:sz w:val="18"/>
                <w:szCs w:val="18"/>
              </w:rPr>
              <w:t xml:space="preserve">bestehen </w:t>
            </w:r>
            <w:r w:rsidR="00384E6D" w:rsidRPr="00E43E19">
              <w:rPr>
                <w:rFonts w:ascii="Arial" w:hAnsi="Arial" w:cs="Arial"/>
                <w:sz w:val="18"/>
                <w:szCs w:val="18"/>
              </w:rPr>
              <w:t>und im Falle einer Detailprüfung effektiv angewandt wurden</w:t>
            </w:r>
          </w:p>
        </w:tc>
        <w:tc>
          <w:tcPr>
            <w:tcW w:w="3382" w:type="dxa"/>
          </w:tcPr>
          <w:p w14:paraId="098E2D13" w14:textId="0AB2FD48" w:rsidR="00E43E19" w:rsidRPr="00E109DF" w:rsidRDefault="00E43E19"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7289" w:rsidRPr="009872F3" w14:paraId="16044CEE" w14:textId="77777777" w:rsidTr="00BC19D0">
        <w:tc>
          <w:tcPr>
            <w:tcW w:w="5798" w:type="dxa"/>
            <w:gridSpan w:val="3"/>
          </w:tcPr>
          <w:p w14:paraId="7A1ADD8C" w14:textId="4AD401CB" w:rsidR="00557289" w:rsidRPr="00AD0DCA" w:rsidRDefault="00E43E19" w:rsidP="00BC19D0">
            <w:pPr>
              <w:jc w:val="both"/>
              <w:rPr>
                <w:rFonts w:ascii="Arial" w:hAnsi="Arial" w:cs="Arial"/>
                <w:sz w:val="18"/>
                <w:szCs w:val="18"/>
                <w:highlight w:val="cyan"/>
              </w:rPr>
            </w:pPr>
            <w:r w:rsidRPr="00E43E19">
              <w:rPr>
                <w:rFonts w:ascii="Arial" w:hAnsi="Arial" w:cs="Arial"/>
                <w:sz w:val="18"/>
                <w:szCs w:val="18"/>
              </w:rPr>
              <w:t xml:space="preserve">Bestätigung, dass adäquate Grundsätze und Verfahren </w:t>
            </w:r>
            <w:r w:rsidR="00FE1366">
              <w:rPr>
                <w:rFonts w:ascii="Arial" w:hAnsi="Arial" w:cs="Arial"/>
                <w:sz w:val="18"/>
                <w:szCs w:val="18"/>
              </w:rPr>
              <w:t>für</w:t>
            </w:r>
            <w:r w:rsidR="00384E6D">
              <w:rPr>
                <w:rFonts w:ascii="Arial" w:hAnsi="Arial" w:cs="Arial"/>
                <w:sz w:val="18"/>
                <w:szCs w:val="18"/>
              </w:rPr>
              <w:t xml:space="preserve"> den Umgang mit Interessenskonflikten </w:t>
            </w:r>
            <w:r w:rsidRPr="00E43E19">
              <w:rPr>
                <w:rFonts w:ascii="Arial" w:hAnsi="Arial" w:cs="Arial"/>
                <w:sz w:val="18"/>
                <w:szCs w:val="18"/>
              </w:rPr>
              <w:t>zur Ermittlung, Steuerung, Beobachtung und Offenlegung von Interessenskonflikten bestehen und im Falle einer Detailprüfung effektiv angewandt wurden</w:t>
            </w:r>
          </w:p>
        </w:tc>
        <w:tc>
          <w:tcPr>
            <w:tcW w:w="3382" w:type="dxa"/>
          </w:tcPr>
          <w:p w14:paraId="73B230BA" w14:textId="40D33FDF" w:rsidR="00557289" w:rsidRPr="00E109DF" w:rsidRDefault="00E43E19"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712058A0" w14:textId="77777777" w:rsidTr="00BC19D0">
        <w:tc>
          <w:tcPr>
            <w:tcW w:w="5798" w:type="dxa"/>
            <w:gridSpan w:val="3"/>
          </w:tcPr>
          <w:p w14:paraId="1F3474AB" w14:textId="3FC360B8" w:rsidR="00743771" w:rsidRPr="00AD0DCA" w:rsidRDefault="00384E6D" w:rsidP="00BC19D0">
            <w:pPr>
              <w:jc w:val="both"/>
              <w:rPr>
                <w:rFonts w:ascii="Arial" w:hAnsi="Arial" w:cs="Arial"/>
                <w:sz w:val="18"/>
                <w:szCs w:val="18"/>
                <w:highlight w:val="cyan"/>
              </w:rPr>
            </w:pPr>
            <w:r w:rsidRPr="00384E6D">
              <w:rPr>
                <w:rFonts w:ascii="Arial" w:hAnsi="Arial" w:cs="Arial"/>
                <w:sz w:val="18"/>
                <w:szCs w:val="18"/>
              </w:rPr>
              <w:t>Bestätigung, dass adäquate Verfahren für die interne Berichterstattung und Kommunikation über identifizierte Interessenskonflikte bestehen und im Falle einer Detailprüfung effektiv angewandt wurden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57752567" w14:textId="77777777" w:rsidTr="008034B7">
        <w:tc>
          <w:tcPr>
            <w:tcW w:w="5798" w:type="dxa"/>
            <w:gridSpan w:val="3"/>
          </w:tcPr>
          <w:p w14:paraId="508020AA" w14:textId="77777777" w:rsidR="00AB459F" w:rsidRPr="00314166" w:rsidRDefault="00AB459F" w:rsidP="008034B7">
            <w:pPr>
              <w:jc w:val="both"/>
              <w:rPr>
                <w:rFonts w:ascii="Arial" w:hAnsi="Arial" w:cs="Arial"/>
                <w:sz w:val="18"/>
                <w:szCs w:val="18"/>
              </w:rPr>
            </w:pPr>
          </w:p>
        </w:tc>
        <w:tc>
          <w:tcPr>
            <w:tcW w:w="3382" w:type="dxa"/>
          </w:tcPr>
          <w:p w14:paraId="5E7206A1" w14:textId="77777777" w:rsidR="00AB459F" w:rsidRPr="00E109DF" w:rsidRDefault="00AB459F" w:rsidP="008034B7">
            <w:pPr>
              <w:jc w:val="both"/>
              <w:rPr>
                <w:rFonts w:ascii="Arial" w:hAnsi="Arial" w:cs="Arial"/>
                <w:i/>
                <w:sz w:val="18"/>
                <w:szCs w:val="18"/>
                <w:highlight w:val="yellow"/>
              </w:rPr>
            </w:pPr>
          </w:p>
        </w:tc>
      </w:tr>
      <w:tr w:rsidR="00AB459F" w:rsidRPr="009872F3" w14:paraId="3F946D55" w14:textId="77777777" w:rsidTr="008034B7">
        <w:tc>
          <w:tcPr>
            <w:tcW w:w="9180" w:type="dxa"/>
            <w:gridSpan w:val="4"/>
          </w:tcPr>
          <w:p w14:paraId="4428D53B"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6D891917"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57289" w:rsidRPr="00AD0DCA" w14:paraId="35F34B08" w14:textId="77777777" w:rsidTr="00BC19D0">
        <w:tc>
          <w:tcPr>
            <w:tcW w:w="2660" w:type="dxa"/>
          </w:tcPr>
          <w:p w14:paraId="4D2B908E" w14:textId="3420245B" w:rsidR="00557289" w:rsidRPr="00EF4FB1" w:rsidRDefault="00557289" w:rsidP="00BC19D0">
            <w:pPr>
              <w:jc w:val="both"/>
              <w:rPr>
                <w:rFonts w:ascii="Arial" w:hAnsi="Arial" w:cs="Arial"/>
                <w:i/>
                <w:sz w:val="20"/>
                <w:szCs w:val="20"/>
                <w:highlight w:val="lightGray"/>
              </w:rPr>
            </w:pPr>
            <w:r w:rsidRPr="00EF4FB1">
              <w:rPr>
                <w:rFonts w:ascii="Arial" w:hAnsi="Arial" w:cs="Arial"/>
                <w:i/>
                <w:sz w:val="20"/>
                <w:szCs w:val="20"/>
                <w:highlight w:val="lightGray"/>
              </w:rPr>
              <w:t>Unabhängigkeit der Verwahrstellenfunktion</w:t>
            </w:r>
            <w:r w:rsidR="003105AB">
              <w:rPr>
                <w:rFonts w:ascii="Arial" w:hAnsi="Arial" w:cs="Arial"/>
                <w:i/>
                <w:sz w:val="20"/>
                <w:szCs w:val="20"/>
                <w:highlight w:val="lightGray"/>
              </w:rPr>
              <w:t xml:space="preserve"> (u.a. unter Berücksichtigung von Gruppenverbindungen)</w:t>
            </w:r>
          </w:p>
        </w:tc>
        <w:tc>
          <w:tcPr>
            <w:tcW w:w="6520" w:type="dxa"/>
          </w:tcPr>
          <w:p w14:paraId="1315B6E5" w14:textId="18E5E4BC" w:rsidR="00EF4FB1" w:rsidRPr="00EF4FB1" w:rsidRDefault="00557289" w:rsidP="00EF4FB1">
            <w:pPr>
              <w:pStyle w:val="Listenabsatz"/>
              <w:numPr>
                <w:ilvl w:val="1"/>
                <w:numId w:val="17"/>
              </w:numPr>
              <w:ind w:left="317" w:hanging="283"/>
              <w:jc w:val="both"/>
              <w:rPr>
                <w:rFonts w:cs="Arial"/>
                <w:i/>
                <w:szCs w:val="20"/>
                <w:highlight w:val="lightGray"/>
              </w:rPr>
            </w:pPr>
            <w:r w:rsidRPr="00EF4FB1">
              <w:rPr>
                <w:rFonts w:cs="Arial"/>
                <w:i/>
                <w:szCs w:val="20"/>
                <w:highlight w:val="lightGray"/>
              </w:rPr>
              <w:t xml:space="preserve">Die </w:t>
            </w:r>
            <w:r w:rsidR="00EF4FB1" w:rsidRPr="00EF4FB1">
              <w:rPr>
                <w:rFonts w:cs="Arial"/>
                <w:i/>
                <w:szCs w:val="20"/>
                <w:highlight w:val="lightGray"/>
              </w:rPr>
              <w:t xml:space="preserve">Organisationsstruktur und die internen Verfahren stellen sicher, dass die </w:t>
            </w:r>
            <w:r w:rsidRPr="00EF4FB1">
              <w:rPr>
                <w:rFonts w:cs="Arial"/>
                <w:i/>
                <w:szCs w:val="20"/>
                <w:highlight w:val="lightGray"/>
              </w:rPr>
              <w:t xml:space="preserve">Unabhängigkeit der Verwahrstellenfunktion von der Verwaltungsgesellschaft/AIFM </w:t>
            </w:r>
            <w:r w:rsidR="00EF4FB1" w:rsidRPr="00EF4FB1">
              <w:rPr>
                <w:rFonts w:cs="Arial"/>
                <w:i/>
                <w:szCs w:val="20"/>
                <w:highlight w:val="lightGray"/>
              </w:rPr>
              <w:t>gewährleistet ist (u.a. durch</w:t>
            </w:r>
            <w:r w:rsidR="007B321A">
              <w:rPr>
                <w:rFonts w:cs="Arial"/>
                <w:i/>
                <w:szCs w:val="20"/>
                <w:highlight w:val="lightGray"/>
              </w:rPr>
              <w:t xml:space="preserve"> personelle,</w:t>
            </w:r>
            <w:r w:rsidR="00EF4FB1" w:rsidRPr="00EF4FB1">
              <w:rPr>
                <w:rFonts w:cs="Arial"/>
                <w:i/>
                <w:szCs w:val="20"/>
                <w:highlight w:val="lightGray"/>
              </w:rPr>
              <w:t xml:space="preserve"> funktionale und hierarchische Aufgabentrennung; juristische Trennung und </w:t>
            </w:r>
            <w:r w:rsidR="00CE5FBB">
              <w:rPr>
                <w:rFonts w:cs="Arial"/>
                <w:i/>
                <w:szCs w:val="20"/>
                <w:highlight w:val="lightGray"/>
              </w:rPr>
              <w:t>voneinander weisungsunabhängig</w:t>
            </w:r>
            <w:r w:rsidR="00A41CDD">
              <w:rPr>
                <w:rFonts w:cs="Arial"/>
                <w:i/>
                <w:szCs w:val="20"/>
                <w:highlight w:val="lightGray"/>
              </w:rPr>
              <w:t>; Berücksichtigung von persönlichen Verbindungen</w:t>
            </w:r>
            <w:r w:rsidR="007B321A">
              <w:rPr>
                <w:rFonts w:cs="Arial"/>
                <w:i/>
                <w:szCs w:val="20"/>
                <w:highlight w:val="lightGray"/>
              </w:rPr>
              <w:t>; Angemessenheit der räumlichen Trennung</w:t>
            </w:r>
            <w:r w:rsidR="00EF4FB1" w:rsidRPr="00EF4FB1">
              <w:rPr>
                <w:rFonts w:cs="Arial"/>
                <w:i/>
                <w:szCs w:val="20"/>
                <w:highlight w:val="lightGray"/>
              </w:rPr>
              <w:t>)</w:t>
            </w:r>
            <w:r w:rsidR="007C6440">
              <w:rPr>
                <w:rFonts w:cs="Arial"/>
                <w:i/>
                <w:szCs w:val="20"/>
                <w:highlight w:val="lightGray"/>
              </w:rPr>
              <w:t>.</w:t>
            </w:r>
          </w:p>
          <w:p w14:paraId="7D35B3FB" w14:textId="4684BC17" w:rsidR="00557289" w:rsidRPr="00EF4FB1" w:rsidRDefault="00557289" w:rsidP="00743771">
            <w:pPr>
              <w:pStyle w:val="Listenabsatz"/>
              <w:numPr>
                <w:ilvl w:val="1"/>
                <w:numId w:val="17"/>
              </w:numPr>
              <w:ind w:left="317" w:hanging="283"/>
              <w:jc w:val="both"/>
              <w:rPr>
                <w:rFonts w:cs="Arial"/>
                <w:i/>
                <w:szCs w:val="20"/>
                <w:highlight w:val="lightGray"/>
              </w:rPr>
            </w:pPr>
            <w:r w:rsidRPr="00EF4FB1">
              <w:rPr>
                <w:rFonts w:cs="Arial"/>
                <w:i/>
                <w:szCs w:val="20"/>
                <w:highlight w:val="lightGray"/>
              </w:rPr>
              <w:t>Die geschäftsführenden Personen der Verwahrstellenfunktion und der Verwaltungsgesellschaft/AIFM sind von der jeweils anderen Gesellschaft unabhängig</w:t>
            </w:r>
            <w:r w:rsidR="007C6440">
              <w:rPr>
                <w:rFonts w:cs="Arial"/>
                <w:i/>
                <w:szCs w:val="20"/>
                <w:highlight w:val="lightGray"/>
              </w:rPr>
              <w:t>.</w:t>
            </w:r>
          </w:p>
          <w:p w14:paraId="34FD1FD7" w14:textId="6D30963E" w:rsidR="00557289" w:rsidRPr="00EF4FB1" w:rsidRDefault="00557289" w:rsidP="00743771">
            <w:pPr>
              <w:pStyle w:val="Listenabsatz"/>
              <w:numPr>
                <w:ilvl w:val="1"/>
                <w:numId w:val="17"/>
              </w:numPr>
              <w:ind w:left="317" w:hanging="283"/>
              <w:jc w:val="both"/>
              <w:rPr>
                <w:rFonts w:cs="Arial"/>
                <w:i/>
                <w:szCs w:val="20"/>
                <w:highlight w:val="lightGray"/>
              </w:rPr>
            </w:pPr>
            <w:r w:rsidRPr="00EF4FB1">
              <w:rPr>
                <w:rFonts w:cs="Arial"/>
                <w:i/>
                <w:szCs w:val="20"/>
                <w:highlight w:val="lightGray"/>
              </w:rPr>
              <w:t>Kein Mitglied der Geschäftsleitung der Verwahrstellenfunktion ist gleichzeitig Mitglied der Geschäftsleitung der Verwaltungsgesellschaft/AIFM</w:t>
            </w:r>
            <w:r w:rsidR="007C6440">
              <w:rPr>
                <w:rFonts w:cs="Arial"/>
                <w:i/>
                <w:szCs w:val="20"/>
                <w:highlight w:val="lightGray"/>
              </w:rPr>
              <w:t>.</w:t>
            </w:r>
          </w:p>
          <w:p w14:paraId="7285F49E" w14:textId="407B0BD2" w:rsidR="00557289" w:rsidRDefault="00EF0E18" w:rsidP="00743771">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Mehrheit </w:t>
            </w:r>
            <w:r w:rsidR="00CB1B02">
              <w:rPr>
                <w:rFonts w:cs="Arial"/>
                <w:i/>
                <w:szCs w:val="20"/>
                <w:highlight w:val="lightGray"/>
              </w:rPr>
              <w:t>der</w:t>
            </w:r>
            <w:r w:rsidR="00EF4FB1" w:rsidRPr="00EF4FB1">
              <w:rPr>
                <w:rFonts w:cs="Arial"/>
                <w:i/>
                <w:szCs w:val="20"/>
                <w:highlight w:val="lightGray"/>
              </w:rPr>
              <w:t xml:space="preserve"> Mitglieder des Verwaltungsrates der Verwaltungsgesellschaft/AIFM ist von Personen der Verwahrstelle unabhängig</w:t>
            </w:r>
            <w:r>
              <w:rPr>
                <w:rFonts w:cs="Arial"/>
                <w:i/>
                <w:szCs w:val="20"/>
                <w:highlight w:val="lightGray"/>
              </w:rPr>
              <w:t xml:space="preserve"> (siehe Art. 24 ff</w:t>
            </w:r>
            <w:r w:rsidR="000612C5">
              <w:rPr>
                <w:rFonts w:cs="Arial"/>
                <w:i/>
                <w:szCs w:val="20"/>
                <w:highlight w:val="lightGray"/>
              </w:rPr>
              <w:t>.</w:t>
            </w:r>
            <w:r>
              <w:rPr>
                <w:rFonts w:cs="Arial"/>
                <w:i/>
                <w:szCs w:val="20"/>
                <w:highlight w:val="lightGray"/>
              </w:rPr>
              <w:t xml:space="preserve"> </w:t>
            </w:r>
            <w:proofErr w:type="spellStart"/>
            <w:r>
              <w:rPr>
                <w:rFonts w:cs="Arial"/>
                <w:i/>
                <w:szCs w:val="20"/>
                <w:highlight w:val="lightGray"/>
              </w:rPr>
              <w:t>DelVO</w:t>
            </w:r>
            <w:proofErr w:type="spellEnd"/>
            <w:r>
              <w:rPr>
                <w:rFonts w:cs="Arial"/>
                <w:i/>
                <w:szCs w:val="20"/>
                <w:highlight w:val="lightGray"/>
              </w:rPr>
              <w:t xml:space="preserve"> (EU) Nr. 2016/438 «höchstens ein Drittel»)</w:t>
            </w:r>
            <w:r w:rsidR="007C6440">
              <w:rPr>
                <w:rFonts w:cs="Arial"/>
                <w:i/>
                <w:szCs w:val="20"/>
                <w:highlight w:val="lightGray"/>
              </w:rPr>
              <w:t>.</w:t>
            </w:r>
          </w:p>
          <w:p w14:paraId="7B7D81FB" w14:textId="458034F9" w:rsidR="00EF0E18" w:rsidRPr="00EF4FB1" w:rsidRDefault="00EF0E18" w:rsidP="00743771">
            <w:pPr>
              <w:pStyle w:val="Listenabsatz"/>
              <w:numPr>
                <w:ilvl w:val="1"/>
                <w:numId w:val="17"/>
              </w:numPr>
              <w:ind w:left="317" w:hanging="283"/>
              <w:jc w:val="both"/>
              <w:rPr>
                <w:rFonts w:cs="Arial"/>
                <w:i/>
                <w:szCs w:val="20"/>
                <w:highlight w:val="lightGray"/>
              </w:rPr>
            </w:pPr>
            <w:r>
              <w:rPr>
                <w:rFonts w:cs="Arial"/>
                <w:i/>
                <w:szCs w:val="20"/>
                <w:highlight w:val="lightGray"/>
              </w:rPr>
              <w:t xml:space="preserve">Bei einer vorliegenden Gruppenverbindung zwischen Verwaltungsgesellschaft/AIFM und Verwahrstelle ist mindestens ein Drittel der Mitglieder </w:t>
            </w:r>
            <w:r w:rsidR="00A41CDD">
              <w:rPr>
                <w:rFonts w:cs="Arial"/>
                <w:i/>
                <w:szCs w:val="20"/>
                <w:highlight w:val="lightGray"/>
              </w:rPr>
              <w:t xml:space="preserve">oder zwei Personen </w:t>
            </w:r>
            <w:r>
              <w:rPr>
                <w:rFonts w:cs="Arial"/>
                <w:i/>
                <w:szCs w:val="20"/>
                <w:highlight w:val="lightGray"/>
              </w:rPr>
              <w:t xml:space="preserve">(niedrigere Zahl massgebend) </w:t>
            </w:r>
            <w:r w:rsidR="00A41CDD">
              <w:rPr>
                <w:rFonts w:cs="Arial"/>
                <w:i/>
                <w:szCs w:val="20"/>
                <w:highlight w:val="lightGray"/>
              </w:rPr>
              <w:t>im Verwaltungsrat oder Geschäftsleitung (wenn diese auch für die Aufsichtsfunktion zuständig ist) unabhängig</w:t>
            </w:r>
            <w:r w:rsidR="007C6440">
              <w:rPr>
                <w:rFonts w:cs="Arial"/>
                <w:i/>
                <w:szCs w:val="20"/>
                <w:highlight w:val="lightGray"/>
              </w:rPr>
              <w:t>.</w:t>
            </w:r>
          </w:p>
          <w:p w14:paraId="1B55643D" w14:textId="627D1F61" w:rsidR="00EF4FB1" w:rsidRPr="0067201F" w:rsidRDefault="00EF4FB1" w:rsidP="0067201F">
            <w:pPr>
              <w:pStyle w:val="Listenabsatz"/>
              <w:numPr>
                <w:ilvl w:val="1"/>
                <w:numId w:val="17"/>
              </w:numPr>
              <w:ind w:left="317" w:hanging="283"/>
              <w:jc w:val="both"/>
              <w:rPr>
                <w:rFonts w:cs="Arial"/>
                <w:i/>
                <w:szCs w:val="20"/>
                <w:highlight w:val="lightGray"/>
              </w:rPr>
            </w:pPr>
            <w:r w:rsidRPr="00EF4FB1">
              <w:rPr>
                <w:rFonts w:cs="Arial"/>
                <w:i/>
                <w:szCs w:val="20"/>
                <w:highlight w:val="lightGray"/>
              </w:rPr>
              <w:t>Keine der für die Verwaltungsgesellschaft/AIFM unterschriftsberechtigte Person ist gleichzeitig bei der Verwahrstelle für Aufgaben der Verwahrstellenfunktion (u.a. «Kontrollaufgaben» und «Besondere Aufgaben») verantwortlich</w:t>
            </w:r>
            <w:r w:rsidR="007C6440">
              <w:rPr>
                <w:rFonts w:cs="Arial"/>
                <w:i/>
                <w:szCs w:val="20"/>
                <w:highlight w:val="lightGray"/>
              </w:rPr>
              <w:t>.</w:t>
            </w:r>
          </w:p>
        </w:tc>
      </w:tr>
      <w:tr w:rsidR="005D3457" w:rsidRPr="00AD0DCA" w14:paraId="33FF0E3B" w14:textId="77777777" w:rsidTr="00BC19D0">
        <w:tc>
          <w:tcPr>
            <w:tcW w:w="2660" w:type="dxa"/>
          </w:tcPr>
          <w:p w14:paraId="251493AD" w14:textId="2BE9EF93" w:rsidR="005D3457" w:rsidRPr="009A301B" w:rsidRDefault="005D3457" w:rsidP="00BC19D0">
            <w:pPr>
              <w:jc w:val="both"/>
              <w:rPr>
                <w:rFonts w:ascii="Arial" w:hAnsi="Arial" w:cs="Arial"/>
                <w:i/>
                <w:sz w:val="20"/>
                <w:szCs w:val="20"/>
                <w:highlight w:val="lightGray"/>
              </w:rPr>
            </w:pPr>
            <w:r w:rsidRPr="009A301B">
              <w:rPr>
                <w:rFonts w:ascii="Arial" w:hAnsi="Arial" w:cs="Arial"/>
                <w:i/>
                <w:sz w:val="20"/>
                <w:szCs w:val="20"/>
                <w:highlight w:val="lightGray"/>
              </w:rPr>
              <w:lastRenderedPageBreak/>
              <w:t>Interessenskonflikte</w:t>
            </w:r>
          </w:p>
        </w:tc>
        <w:tc>
          <w:tcPr>
            <w:tcW w:w="6520" w:type="dxa"/>
          </w:tcPr>
          <w:p w14:paraId="36B844D9" w14:textId="7529ADCB" w:rsidR="0067201F" w:rsidRPr="009A301B" w:rsidRDefault="005D3457"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eine klare und effektive Aufteilung von Verantwortlichkeiten und Kompetenzen</w:t>
            </w:r>
            <w:r w:rsidR="007C6440">
              <w:rPr>
                <w:rFonts w:cs="Arial"/>
                <w:i/>
                <w:szCs w:val="20"/>
                <w:highlight w:val="lightGray"/>
              </w:rPr>
              <w:t>.</w:t>
            </w:r>
          </w:p>
          <w:p w14:paraId="12177674" w14:textId="5AFD319E"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bestehen interne Richtlinien, welche den Umgang mit Interessenskonflikten auf Ebene der Verwahrstellenfunktion, für Mitarbeiter, für den Verwaltungsrat</w:t>
            </w:r>
            <w:r w:rsidR="00C048DF">
              <w:rPr>
                <w:rFonts w:cs="Arial"/>
                <w:i/>
                <w:szCs w:val="20"/>
                <w:highlight w:val="lightGray"/>
              </w:rPr>
              <w:t xml:space="preserve"> und für </w:t>
            </w:r>
            <w:r w:rsidRPr="009A301B">
              <w:rPr>
                <w:rFonts w:cs="Arial"/>
                <w:i/>
                <w:szCs w:val="20"/>
                <w:highlight w:val="lightGray"/>
              </w:rPr>
              <w:t>die Geschäftsleitung</w:t>
            </w:r>
            <w:r w:rsidR="00C048DF">
              <w:rPr>
                <w:rFonts w:cs="Arial"/>
                <w:i/>
                <w:szCs w:val="20"/>
                <w:highlight w:val="lightGray"/>
              </w:rPr>
              <w:t xml:space="preserve"> </w:t>
            </w:r>
            <w:r w:rsidRPr="009A301B">
              <w:rPr>
                <w:rFonts w:cs="Arial"/>
                <w:i/>
                <w:szCs w:val="20"/>
                <w:highlight w:val="lightGray"/>
              </w:rPr>
              <w:t>regeln</w:t>
            </w:r>
            <w:r w:rsidR="007C6440">
              <w:rPr>
                <w:rFonts w:cs="Arial"/>
                <w:i/>
                <w:szCs w:val="20"/>
                <w:highlight w:val="lightGray"/>
              </w:rPr>
              <w:t>.</w:t>
            </w:r>
          </w:p>
          <w:p w14:paraId="3FF30C58" w14:textId="3E655164" w:rsidR="005D3457" w:rsidRPr="009A301B" w:rsidRDefault="00E43E19" w:rsidP="005D3457">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bestehen verschriftlichte Richtlinien (Grundsätze) und Verfahren für den Umgang mit Interessenskonflikten, welche u.a. die ordnungsgemässe Ermittlung</w:t>
            </w:r>
            <w:r w:rsidR="0067201F" w:rsidRPr="009A301B">
              <w:rPr>
                <w:rFonts w:cs="Arial"/>
                <w:i/>
                <w:szCs w:val="20"/>
                <w:highlight w:val="lightGray"/>
              </w:rPr>
              <w:t xml:space="preserve"> potentieller Interessenskonflikte</w:t>
            </w:r>
            <w:r w:rsidRPr="009A301B">
              <w:rPr>
                <w:rFonts w:cs="Arial"/>
                <w:i/>
                <w:szCs w:val="20"/>
                <w:highlight w:val="lightGray"/>
              </w:rPr>
              <w:t xml:space="preserve">, </w:t>
            </w:r>
            <w:r w:rsidR="0067201F" w:rsidRPr="009A301B">
              <w:rPr>
                <w:rFonts w:cs="Arial"/>
                <w:i/>
                <w:szCs w:val="20"/>
                <w:highlight w:val="lightGray"/>
              </w:rPr>
              <w:t xml:space="preserve">die </w:t>
            </w:r>
            <w:r w:rsidRPr="009A301B">
              <w:rPr>
                <w:rFonts w:cs="Arial"/>
                <w:i/>
                <w:szCs w:val="20"/>
                <w:highlight w:val="lightGray"/>
              </w:rPr>
              <w:t xml:space="preserve">Steuerung, Beobachtung und Offenlegung </w:t>
            </w:r>
            <w:r w:rsidR="00CE5FBB" w:rsidRPr="009A301B">
              <w:rPr>
                <w:rFonts w:cs="Arial"/>
                <w:i/>
                <w:szCs w:val="20"/>
                <w:highlight w:val="lightGray"/>
              </w:rPr>
              <w:t xml:space="preserve">(gegenüber Anlegern des Fonds) </w:t>
            </w:r>
            <w:r w:rsidRPr="009A301B">
              <w:rPr>
                <w:rFonts w:cs="Arial"/>
                <w:i/>
                <w:szCs w:val="20"/>
                <w:highlight w:val="lightGray"/>
              </w:rPr>
              <w:t>von Interessenkonflikten beinhalten</w:t>
            </w:r>
            <w:r w:rsidR="007C6440">
              <w:rPr>
                <w:rFonts w:cs="Arial"/>
                <w:i/>
                <w:szCs w:val="20"/>
                <w:highlight w:val="lightGray"/>
              </w:rPr>
              <w:t>.</w:t>
            </w:r>
          </w:p>
          <w:p w14:paraId="130ECE6E" w14:textId="4FF03EBF"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 xml:space="preserve">Es bestehen angemessene Verfahren und Massnahmen zur Vermeidung von Interessenskonflikten (z.B. innerhalb der Bank in Bezug auf die Verwahrstellenfunktion u.a. durch strikte funktionale und hierarchische Trennung der für die jeweiligen Aufgaben zuständigen Abteilungen der Verwahrstelle; Einrichtung von Informationssperren; </w:t>
            </w:r>
            <w:r w:rsidR="00CE5FBB" w:rsidRPr="009A301B">
              <w:rPr>
                <w:rFonts w:cs="Arial"/>
                <w:i/>
                <w:szCs w:val="20"/>
                <w:highlight w:val="lightGray"/>
              </w:rPr>
              <w:t>keine Übernahme von Aufgaben durch die Verwahrstelle, die zu Interessenskonflikten zwischen Verwaltungsgesellschaft/AIFM, dem Fonds, den Anlegern und Verwahrstelle</w:t>
            </w:r>
            <w:r w:rsidR="009A301B">
              <w:rPr>
                <w:rFonts w:cs="Arial"/>
                <w:i/>
                <w:szCs w:val="20"/>
                <w:highlight w:val="lightGray"/>
              </w:rPr>
              <w:t xml:space="preserve"> </w:t>
            </w:r>
            <w:r w:rsidRPr="009A301B">
              <w:rPr>
                <w:rFonts w:cs="Arial"/>
                <w:i/>
                <w:szCs w:val="20"/>
                <w:highlight w:val="lightGray"/>
              </w:rPr>
              <w:t>etc.), welche dokumentiert sind</w:t>
            </w:r>
            <w:r w:rsidR="007C6440">
              <w:rPr>
                <w:rFonts w:cs="Arial"/>
                <w:i/>
                <w:szCs w:val="20"/>
                <w:highlight w:val="lightGray"/>
              </w:rPr>
              <w:t>.</w:t>
            </w:r>
          </w:p>
          <w:p w14:paraId="2F23BE32" w14:textId="761650AF" w:rsidR="00CE5FBB" w:rsidRPr="009A301B" w:rsidRDefault="00CE5FBB"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bestehen interne Verfahren und Massnahmen, die die Wahrnehmung von Aufgaben durch die Verwahrstelle verhindern, wenn diese zu Interessenskonflikten zwischen dem Fonds, seinen Anlegern, der Verwaltungsgesellschaft/AIFM und der Verwahrstelle führen würde</w:t>
            </w:r>
            <w:r w:rsidR="00CB1B02" w:rsidRPr="009A301B">
              <w:rPr>
                <w:rFonts w:cs="Arial"/>
                <w:i/>
                <w:szCs w:val="20"/>
                <w:highlight w:val="lightGray"/>
              </w:rPr>
              <w:t xml:space="preserve"> und </w:t>
            </w:r>
            <w:r w:rsidR="00A41CDD" w:rsidRPr="009A301B">
              <w:rPr>
                <w:rFonts w:cs="Arial"/>
                <w:i/>
                <w:szCs w:val="20"/>
                <w:highlight w:val="lightGray"/>
              </w:rPr>
              <w:t>keine adäquaten Massnahmen</w:t>
            </w:r>
            <w:r w:rsidR="00CB1B02" w:rsidRPr="009A301B">
              <w:rPr>
                <w:rFonts w:cs="Arial"/>
                <w:i/>
                <w:szCs w:val="20"/>
                <w:highlight w:val="lightGray"/>
              </w:rPr>
              <w:t xml:space="preserve"> zur Verhinderung des Interessenskonflikt getroffen wurden. </w:t>
            </w:r>
          </w:p>
          <w:p w14:paraId="2E2F7A73" w14:textId="4EA401EC"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 angemessenes Meldeverfahren für Interessenskonflikte z.B. für Beziehungen von Mitarbeitenden aus der Vergangenheit</w:t>
            </w:r>
            <w:r w:rsidR="007C6440">
              <w:rPr>
                <w:rFonts w:cs="Arial"/>
                <w:i/>
                <w:szCs w:val="20"/>
                <w:highlight w:val="lightGray"/>
              </w:rPr>
              <w:t>.</w:t>
            </w:r>
          </w:p>
          <w:p w14:paraId="02A057FE" w14:textId="04EAA117" w:rsidR="0067201F"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r w:rsidR="007C6440">
              <w:rPr>
                <w:rFonts w:cs="Arial"/>
                <w:i/>
                <w:szCs w:val="20"/>
                <w:highlight w:val="lightGray"/>
              </w:rPr>
              <w:t>.</w:t>
            </w:r>
          </w:p>
          <w:p w14:paraId="21722B97" w14:textId="43452939" w:rsidR="00E43E19" w:rsidRPr="009A301B" w:rsidRDefault="0067201F" w:rsidP="0067201F">
            <w:pPr>
              <w:pStyle w:val="Listenabsatz"/>
              <w:numPr>
                <w:ilvl w:val="1"/>
                <w:numId w:val="17"/>
              </w:numPr>
              <w:ind w:left="317" w:hanging="283"/>
              <w:jc w:val="both"/>
              <w:rPr>
                <w:rFonts w:cs="Arial"/>
                <w:i/>
                <w:szCs w:val="20"/>
                <w:highlight w:val="lightGray"/>
              </w:rPr>
            </w:pPr>
            <w:r w:rsidRPr="009A301B">
              <w:rPr>
                <w:rFonts w:cs="Arial"/>
                <w:i/>
                <w:szCs w:val="20"/>
                <w:highlight w:val="lightGray"/>
              </w:rPr>
              <w:t>Es besteht eine angemessene interne Berichterstattung und Kommunikation über identifizierte Interessenskonflikte</w:t>
            </w:r>
            <w:r w:rsidR="007C6440">
              <w:rPr>
                <w:rFonts w:cs="Arial"/>
                <w:i/>
                <w:szCs w:val="20"/>
                <w:highlight w:val="lightGray"/>
              </w:rPr>
              <w:t>.</w:t>
            </w:r>
          </w:p>
        </w:tc>
      </w:tr>
    </w:tbl>
    <w:p w14:paraId="7D1F36CC" w14:textId="77777777" w:rsidR="00743771" w:rsidRPr="00AD0DCA" w:rsidRDefault="00743771" w:rsidP="00743771">
      <w:pPr>
        <w:jc w:val="both"/>
        <w:rPr>
          <w:highlight w:val="cyan"/>
        </w:rPr>
      </w:pPr>
    </w:p>
    <w:p w14:paraId="04401B81" w14:textId="77777777" w:rsidR="00EE5944" w:rsidRDefault="00EE5944"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2FB01639" w:rsidR="00EE5944" w:rsidRDefault="00EE5944" w:rsidP="006E1DCF">
      <w:pPr>
        <w:jc w:val="both"/>
      </w:pPr>
    </w:p>
    <w:p w14:paraId="7AFBE712" w14:textId="77777777" w:rsidR="00246F1E" w:rsidRDefault="00246F1E" w:rsidP="00246F1E">
      <w:pPr>
        <w:jc w:val="both"/>
      </w:pPr>
    </w:p>
    <w:p w14:paraId="2CDC8B3C" w14:textId="04A38554" w:rsidR="008C30D1" w:rsidRPr="00253279" w:rsidRDefault="00253279" w:rsidP="006F7AB5">
      <w:pPr>
        <w:pStyle w:val="FINMAGliederungEbene3"/>
      </w:pPr>
      <w:bookmarkStart w:id="17" w:name="_Toc185241471"/>
      <w:r w:rsidRPr="00253279">
        <w:t>Fondsannahmeprozess</w:t>
      </w:r>
      <w:r w:rsidR="00543DCA" w:rsidRPr="00253279">
        <w:t xml:space="preserve"> (GOV-</w:t>
      </w:r>
      <w:r w:rsidR="006E2741">
        <w:t>3</w:t>
      </w:r>
      <w:r w:rsidR="00543DCA" w:rsidRPr="00253279">
        <w:t>)</w:t>
      </w:r>
      <w:bookmarkEnd w:id="17"/>
    </w:p>
    <w:p w14:paraId="23D653A4" w14:textId="77777777" w:rsidR="00804EC6" w:rsidRDefault="00804EC6" w:rsidP="00804EC6">
      <w:pPr>
        <w:jc w:val="both"/>
      </w:pPr>
    </w:p>
    <w:tbl>
      <w:tblPr>
        <w:tblStyle w:val="Tabellenraster"/>
        <w:tblW w:w="0" w:type="auto"/>
        <w:tblLook w:val="04A0" w:firstRow="1" w:lastRow="0" w:firstColumn="1" w:lastColumn="0" w:noHBand="0" w:noVBand="1"/>
      </w:tblPr>
      <w:tblGrid>
        <w:gridCol w:w="1932"/>
        <w:gridCol w:w="2145"/>
        <w:gridCol w:w="1721"/>
        <w:gridCol w:w="3382"/>
      </w:tblGrid>
      <w:tr w:rsidR="00804EC6" w:rsidRPr="009872F3" w14:paraId="03EDD7E3" w14:textId="77777777" w:rsidTr="00BC19D0">
        <w:trPr>
          <w:trHeight w:val="563"/>
        </w:trPr>
        <w:tc>
          <w:tcPr>
            <w:tcW w:w="1932" w:type="dxa"/>
          </w:tcPr>
          <w:p w14:paraId="7053820F"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4EB15E3A"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78BCC0"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4EC6" w:rsidRPr="009872F3" w14:paraId="26548D85" w14:textId="77777777" w:rsidTr="00BC19D0">
        <w:trPr>
          <w:trHeight w:val="698"/>
        </w:trPr>
        <w:tc>
          <w:tcPr>
            <w:tcW w:w="1932" w:type="dxa"/>
          </w:tcPr>
          <w:p w14:paraId="567FD38A" w14:textId="20BC268A"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0E33831" w14:textId="77777777"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EF6839"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67E23EF" w14:textId="77777777" w:rsidR="00804EC6" w:rsidRDefault="00804EC6"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3542E8" w14:textId="77777777" w:rsidR="00804EC6" w:rsidRPr="006749F0" w:rsidRDefault="00804EC6" w:rsidP="00BC19D0">
            <w:pPr>
              <w:jc w:val="both"/>
              <w:rPr>
                <w:rFonts w:ascii="Arial" w:hAnsi="Arial" w:cs="Arial"/>
                <w:i/>
                <w:sz w:val="18"/>
                <w:szCs w:val="18"/>
              </w:rPr>
            </w:pPr>
            <w:r w:rsidRPr="006749F0">
              <w:rPr>
                <w:rFonts w:ascii="Arial" w:hAnsi="Arial" w:cs="Arial"/>
                <w:i/>
                <w:sz w:val="18"/>
                <w:szCs w:val="18"/>
                <w:highlight w:val="yellow"/>
              </w:rPr>
              <w:t>Jahr</w:t>
            </w:r>
          </w:p>
        </w:tc>
      </w:tr>
      <w:tr w:rsidR="00804EC6" w:rsidRPr="00FC0BF3" w14:paraId="046BC632" w14:textId="77777777" w:rsidTr="00BC19D0">
        <w:trPr>
          <w:trHeight w:val="636"/>
        </w:trPr>
        <w:tc>
          <w:tcPr>
            <w:tcW w:w="9180" w:type="dxa"/>
            <w:gridSpan w:val="4"/>
          </w:tcPr>
          <w:p w14:paraId="14C5F133" w14:textId="77777777" w:rsidR="00804EC6" w:rsidRDefault="00804EC6" w:rsidP="00BC19D0">
            <w:pPr>
              <w:jc w:val="both"/>
              <w:rPr>
                <w:rFonts w:ascii="Arial" w:hAnsi="Arial" w:cs="Arial"/>
                <w:sz w:val="18"/>
                <w:szCs w:val="18"/>
              </w:rPr>
            </w:pPr>
          </w:p>
          <w:p w14:paraId="08C2E8C1" w14:textId="77777777" w:rsidR="00804EC6" w:rsidRPr="00F60909" w:rsidRDefault="00804EC6"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67E292" w14:textId="6B9D6041" w:rsidR="0037057B" w:rsidRPr="00AE1B03" w:rsidRDefault="0037057B" w:rsidP="0037057B">
            <w:pPr>
              <w:jc w:val="both"/>
              <w:rPr>
                <w:rFonts w:ascii="Arial" w:hAnsi="Arial" w:cs="Arial"/>
                <w:sz w:val="18"/>
                <w:szCs w:val="18"/>
                <w:highlight w:val="yellow"/>
              </w:rPr>
            </w:pPr>
            <w:r w:rsidRPr="0037057B">
              <w:rPr>
                <w:rFonts w:ascii="Arial" w:hAnsi="Arial" w:cs="Arial"/>
                <w:sz w:val="18"/>
                <w:szCs w:val="18"/>
                <w:highlight w:val="yellow"/>
              </w:rPr>
              <w:t xml:space="preserve">Art. 43 Abs. 5 IUG; Art. 32 Abs. 4 UCITSG; </w:t>
            </w:r>
            <w:r w:rsidR="00804EC6" w:rsidRPr="0037057B">
              <w:rPr>
                <w:rFonts w:ascii="Arial" w:hAnsi="Arial" w:cs="Arial"/>
                <w:sz w:val="18"/>
                <w:szCs w:val="18"/>
                <w:highlight w:val="yellow"/>
              </w:rPr>
              <w:t>Art.</w:t>
            </w:r>
            <w:r w:rsidRPr="0037057B">
              <w:rPr>
                <w:rFonts w:ascii="Arial" w:hAnsi="Arial" w:cs="Arial"/>
                <w:sz w:val="18"/>
                <w:szCs w:val="18"/>
                <w:highlight w:val="yellow"/>
              </w:rPr>
              <w:t xml:space="preserve"> 59 Abs. 3 AIFMG; </w:t>
            </w:r>
            <w:proofErr w:type="spellStart"/>
            <w:r w:rsidR="00DA7144">
              <w:rPr>
                <w:rFonts w:ascii="Arial" w:hAnsi="Arial" w:cs="Arial"/>
                <w:sz w:val="18"/>
                <w:szCs w:val="18"/>
                <w:highlight w:val="yellow"/>
              </w:rPr>
              <w:t>DelVO</w:t>
            </w:r>
            <w:proofErr w:type="spellEnd"/>
            <w:r w:rsidR="00DA7144">
              <w:rPr>
                <w:rFonts w:ascii="Arial" w:hAnsi="Arial" w:cs="Arial"/>
                <w:sz w:val="18"/>
                <w:szCs w:val="18"/>
                <w:highlight w:val="yellow"/>
              </w:rPr>
              <w:t xml:space="preserve"> (EU) Nr. 231/2013 Art. 92 Abs. 1; </w:t>
            </w:r>
            <w:proofErr w:type="spellStart"/>
            <w:r w:rsidR="00DA7144">
              <w:rPr>
                <w:rFonts w:ascii="Arial" w:hAnsi="Arial" w:cs="Arial"/>
                <w:sz w:val="18"/>
                <w:szCs w:val="18"/>
                <w:highlight w:val="yellow"/>
              </w:rPr>
              <w:t>DelVO</w:t>
            </w:r>
            <w:proofErr w:type="spellEnd"/>
            <w:r w:rsidR="00DA7144">
              <w:rPr>
                <w:rFonts w:ascii="Arial" w:hAnsi="Arial" w:cs="Arial"/>
                <w:sz w:val="18"/>
                <w:szCs w:val="18"/>
                <w:highlight w:val="yellow"/>
              </w:rPr>
              <w:t xml:space="preserve"> (EU) Nr. 2016/438 Art. 3 Abs. 1</w:t>
            </w:r>
            <w:r w:rsidR="004D3F4A">
              <w:rPr>
                <w:rFonts w:ascii="Arial" w:hAnsi="Arial" w:cs="Arial"/>
                <w:sz w:val="18"/>
                <w:szCs w:val="18"/>
                <w:highlight w:val="yellow"/>
              </w:rPr>
              <w:t>; FMA-Richtlinie 2015/2</w:t>
            </w:r>
          </w:p>
        </w:tc>
      </w:tr>
      <w:tr w:rsidR="00804EC6" w:rsidRPr="00FC0BF3" w14:paraId="359EBBF7" w14:textId="77777777" w:rsidTr="00BC19D0">
        <w:trPr>
          <w:trHeight w:val="294"/>
        </w:trPr>
        <w:tc>
          <w:tcPr>
            <w:tcW w:w="9180" w:type="dxa"/>
            <w:gridSpan w:val="4"/>
          </w:tcPr>
          <w:p w14:paraId="359F26C2" w14:textId="77777777" w:rsidR="00804EC6" w:rsidRPr="00FC0BF3" w:rsidRDefault="00804EC6" w:rsidP="00BC19D0">
            <w:pPr>
              <w:jc w:val="both"/>
              <w:rPr>
                <w:rFonts w:ascii="Arial" w:hAnsi="Arial" w:cs="Arial"/>
                <w:sz w:val="18"/>
                <w:szCs w:val="18"/>
              </w:rPr>
            </w:pPr>
          </w:p>
        </w:tc>
      </w:tr>
      <w:tr w:rsidR="00804EC6" w:rsidRPr="009872F3" w14:paraId="09280BA6" w14:textId="77777777" w:rsidTr="00BC19D0">
        <w:tc>
          <w:tcPr>
            <w:tcW w:w="5798" w:type="dxa"/>
            <w:gridSpan w:val="3"/>
          </w:tcPr>
          <w:p w14:paraId="259DC441" w14:textId="6891734F" w:rsidR="002678CC" w:rsidRPr="00273F9C" w:rsidRDefault="00804EC6" w:rsidP="002678CC">
            <w:pPr>
              <w:jc w:val="both"/>
              <w:rPr>
                <w:rFonts w:ascii="Arial" w:hAnsi="Arial" w:cs="Arial"/>
                <w:sz w:val="18"/>
                <w:szCs w:val="18"/>
              </w:rPr>
            </w:pPr>
            <w:r w:rsidRPr="00CB5BB7">
              <w:rPr>
                <w:rFonts w:ascii="Arial" w:hAnsi="Arial" w:cs="Arial"/>
                <w:sz w:val="18"/>
                <w:szCs w:val="18"/>
              </w:rPr>
              <w:t xml:space="preserve">Bestätigung, dass angemessene interne </w:t>
            </w:r>
            <w:r w:rsidR="00273F9C">
              <w:rPr>
                <w:rFonts w:ascii="Arial" w:hAnsi="Arial" w:cs="Arial"/>
                <w:sz w:val="18"/>
                <w:szCs w:val="18"/>
              </w:rPr>
              <w:t>Vorgaben (Richtlinien/Weisungen) für die Aufnahme einer Geschäftsbeziehung und die Übernahme der Verwahrstellenfunktion für einen Fonds bestehen (inkl. Negativ-Fondskriterien)</w:t>
            </w:r>
            <w:r w:rsidR="002678CC">
              <w:rPr>
                <w:rFonts w:ascii="Arial" w:hAnsi="Arial" w:cs="Arial"/>
                <w:sz w:val="18"/>
                <w:szCs w:val="18"/>
              </w:rPr>
              <w:t>, die regelmässig überprüft sowie aktualisiert werden</w:t>
            </w:r>
            <w:r w:rsidR="00273F9C">
              <w:rPr>
                <w:rFonts w:ascii="Arial" w:hAnsi="Arial" w:cs="Arial"/>
                <w:sz w:val="18"/>
                <w:szCs w:val="18"/>
              </w:rPr>
              <w:t xml:space="preserve"> und im Falle der Prüftiefe Detailprüfung effektiv angewandt wurden</w:t>
            </w:r>
          </w:p>
        </w:tc>
        <w:tc>
          <w:tcPr>
            <w:tcW w:w="3382" w:type="dxa"/>
          </w:tcPr>
          <w:p w14:paraId="307EBD11" w14:textId="77777777" w:rsidR="00804EC6" w:rsidRPr="00E109DF" w:rsidRDefault="00804EC6"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73F9C" w:rsidRPr="009872F3" w14:paraId="3B90F06E" w14:textId="77777777" w:rsidTr="00BC19D0">
        <w:tc>
          <w:tcPr>
            <w:tcW w:w="5798" w:type="dxa"/>
            <w:gridSpan w:val="3"/>
          </w:tcPr>
          <w:p w14:paraId="3C599484" w14:textId="2F0191FD" w:rsidR="00273F9C" w:rsidRPr="00AD0DCA" w:rsidRDefault="00273F9C" w:rsidP="00804EC6">
            <w:pPr>
              <w:tabs>
                <w:tab w:val="left" w:pos="4458"/>
              </w:tabs>
              <w:jc w:val="both"/>
              <w:rPr>
                <w:rFonts w:ascii="Arial" w:hAnsi="Arial" w:cs="Arial"/>
                <w:sz w:val="18"/>
                <w:szCs w:val="18"/>
                <w:highlight w:val="cyan"/>
              </w:rPr>
            </w:pPr>
            <w:r w:rsidRPr="00273F9C">
              <w:rPr>
                <w:rFonts w:ascii="Arial" w:hAnsi="Arial" w:cs="Arial"/>
                <w:sz w:val="18"/>
                <w:szCs w:val="18"/>
              </w:rPr>
              <w:t>Bestätigung, dass die internen Verfahren sicherstellen, dass vor der Übernahme der Verwahrstellenfunktion für jeden Fonds eine dokumentierte und detaillierte Due Diligence Prüfung durchgeführt wird und im Falle der Prüftiefe Detailprüfung effektiv angewandt wurde</w:t>
            </w:r>
          </w:p>
        </w:tc>
        <w:tc>
          <w:tcPr>
            <w:tcW w:w="3382" w:type="dxa"/>
          </w:tcPr>
          <w:p w14:paraId="53A35216" w14:textId="4409723C" w:rsidR="00273F9C" w:rsidRPr="00E109DF" w:rsidRDefault="00273F9C"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73F9C" w:rsidRPr="009872F3" w14:paraId="4C014B09" w14:textId="77777777" w:rsidTr="00BC19D0">
        <w:tc>
          <w:tcPr>
            <w:tcW w:w="5798" w:type="dxa"/>
            <w:gridSpan w:val="3"/>
          </w:tcPr>
          <w:p w14:paraId="139D5B43" w14:textId="444A4DA1" w:rsidR="00273F9C" w:rsidRPr="00273F9C" w:rsidRDefault="00273F9C" w:rsidP="00804EC6">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w:t>
            </w:r>
            <w:r w:rsidR="002678CC">
              <w:rPr>
                <w:rFonts w:ascii="Arial" w:hAnsi="Arial" w:cs="Arial"/>
                <w:sz w:val="18"/>
                <w:szCs w:val="18"/>
              </w:rPr>
              <w:t>die Ergebnisse der Due Diligence Prüfung angemessen rapportiert werden</w:t>
            </w:r>
          </w:p>
        </w:tc>
        <w:tc>
          <w:tcPr>
            <w:tcW w:w="3382" w:type="dxa"/>
          </w:tcPr>
          <w:p w14:paraId="16C2D8BB" w14:textId="57255824" w:rsidR="00273F9C" w:rsidRPr="00E109DF" w:rsidRDefault="002678CC"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3123A7D8" w14:textId="77777777" w:rsidTr="00BC19D0">
        <w:tc>
          <w:tcPr>
            <w:tcW w:w="5798" w:type="dxa"/>
            <w:gridSpan w:val="3"/>
          </w:tcPr>
          <w:p w14:paraId="4A912ABF" w14:textId="77777777" w:rsidR="00AB459F" w:rsidRDefault="00AB459F" w:rsidP="00804EC6">
            <w:pPr>
              <w:tabs>
                <w:tab w:val="left" w:pos="4458"/>
              </w:tabs>
              <w:jc w:val="both"/>
              <w:rPr>
                <w:rFonts w:ascii="Arial" w:hAnsi="Arial" w:cs="Arial"/>
                <w:sz w:val="18"/>
                <w:szCs w:val="18"/>
              </w:rPr>
            </w:pPr>
          </w:p>
        </w:tc>
        <w:tc>
          <w:tcPr>
            <w:tcW w:w="3382" w:type="dxa"/>
          </w:tcPr>
          <w:p w14:paraId="3E21C8DD" w14:textId="77777777" w:rsidR="00AB459F" w:rsidRPr="00E109DF" w:rsidRDefault="00AB459F" w:rsidP="00BC19D0">
            <w:pPr>
              <w:jc w:val="both"/>
              <w:rPr>
                <w:rFonts w:ascii="Arial" w:hAnsi="Arial" w:cs="Arial"/>
                <w:i/>
                <w:sz w:val="18"/>
                <w:szCs w:val="18"/>
                <w:highlight w:val="yellow"/>
              </w:rPr>
            </w:pPr>
          </w:p>
        </w:tc>
      </w:tr>
      <w:tr w:rsidR="00AB459F" w:rsidRPr="009872F3" w14:paraId="6E104FF6" w14:textId="77777777" w:rsidTr="008034B7">
        <w:tc>
          <w:tcPr>
            <w:tcW w:w="9180" w:type="dxa"/>
            <w:gridSpan w:val="4"/>
          </w:tcPr>
          <w:p w14:paraId="67A77801"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1EB3AD69"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504D516F" w14:textId="77777777" w:rsidR="00804EC6" w:rsidRDefault="00804EC6" w:rsidP="00804EC6">
      <w:pPr>
        <w:jc w:val="both"/>
      </w:pPr>
    </w:p>
    <w:tbl>
      <w:tblPr>
        <w:tblStyle w:val="Tabellenraster"/>
        <w:tblW w:w="0" w:type="auto"/>
        <w:tblLook w:val="04A0" w:firstRow="1" w:lastRow="0" w:firstColumn="1" w:lastColumn="0" w:noHBand="0" w:noVBand="1"/>
      </w:tblPr>
      <w:tblGrid>
        <w:gridCol w:w="2660"/>
        <w:gridCol w:w="6520"/>
      </w:tblGrid>
      <w:tr w:rsidR="00804EC6" w:rsidRPr="00CE3194" w14:paraId="6E668F65" w14:textId="77777777" w:rsidTr="00BC19D0">
        <w:tc>
          <w:tcPr>
            <w:tcW w:w="2660" w:type="dxa"/>
          </w:tcPr>
          <w:p w14:paraId="4139E8CA" w14:textId="77777777" w:rsidR="00804EC6" w:rsidRPr="00CE3194" w:rsidRDefault="00804EC6"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5A46293" w14:textId="77777777" w:rsidR="00804EC6" w:rsidRPr="00CE3194" w:rsidRDefault="006E2847"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804EC6" w:rsidRPr="00CE3194" w14:paraId="05E8996E" w14:textId="77777777" w:rsidTr="00BC19D0">
        <w:tc>
          <w:tcPr>
            <w:tcW w:w="2660" w:type="dxa"/>
          </w:tcPr>
          <w:p w14:paraId="6F980867" w14:textId="5C4C8876" w:rsidR="00804EC6" w:rsidRPr="002678CC" w:rsidRDefault="00D36798" w:rsidP="00BC19D0">
            <w:pPr>
              <w:jc w:val="both"/>
              <w:rPr>
                <w:rFonts w:ascii="Arial" w:hAnsi="Arial" w:cs="Arial"/>
                <w:i/>
                <w:sz w:val="20"/>
                <w:szCs w:val="20"/>
                <w:highlight w:val="lightGray"/>
              </w:rPr>
            </w:pPr>
            <w:r w:rsidRPr="002678CC">
              <w:rPr>
                <w:rFonts w:ascii="Arial" w:hAnsi="Arial" w:cs="Arial"/>
                <w:i/>
                <w:sz w:val="20"/>
                <w:szCs w:val="20"/>
                <w:highlight w:val="lightGray"/>
              </w:rPr>
              <w:t>Fondsannahmeprozess</w:t>
            </w:r>
          </w:p>
        </w:tc>
        <w:tc>
          <w:tcPr>
            <w:tcW w:w="6520" w:type="dxa"/>
          </w:tcPr>
          <w:p w14:paraId="580DEB09" w14:textId="41C0FE32" w:rsidR="00E2286F" w:rsidRPr="002678CC" w:rsidRDefault="00E2286F" w:rsidP="00E2286F">
            <w:pPr>
              <w:pStyle w:val="Listenabsatz"/>
              <w:numPr>
                <w:ilvl w:val="1"/>
                <w:numId w:val="17"/>
              </w:numPr>
              <w:ind w:left="317" w:hanging="283"/>
              <w:jc w:val="both"/>
              <w:rPr>
                <w:rFonts w:cs="Arial"/>
                <w:i/>
                <w:szCs w:val="20"/>
                <w:highlight w:val="lightGray"/>
              </w:rPr>
            </w:pPr>
            <w:r w:rsidRPr="002678CC">
              <w:rPr>
                <w:rFonts w:cs="Arial"/>
                <w:i/>
                <w:szCs w:val="20"/>
                <w:highlight w:val="lightGray"/>
              </w:rPr>
              <w:t>Es bestehen klare Verantwortlichkeiten und Kompetenzen</w:t>
            </w:r>
            <w:r w:rsidR="007C6440">
              <w:rPr>
                <w:rFonts w:cs="Arial"/>
                <w:i/>
                <w:szCs w:val="20"/>
                <w:highlight w:val="lightGray"/>
              </w:rPr>
              <w:t>.</w:t>
            </w:r>
          </w:p>
          <w:p w14:paraId="3BC00686" w14:textId="23E4A5F3" w:rsidR="00403CB0" w:rsidRPr="002678CC" w:rsidRDefault="0006005E" w:rsidP="0042389D">
            <w:pPr>
              <w:pStyle w:val="Listenabsatz"/>
              <w:numPr>
                <w:ilvl w:val="1"/>
                <w:numId w:val="17"/>
              </w:numPr>
              <w:ind w:left="317" w:hanging="283"/>
              <w:jc w:val="both"/>
              <w:rPr>
                <w:rFonts w:cs="Arial"/>
                <w:i/>
                <w:szCs w:val="20"/>
                <w:highlight w:val="lightGray"/>
              </w:rPr>
            </w:pPr>
            <w:r w:rsidRPr="002678CC">
              <w:rPr>
                <w:rFonts w:cs="Arial"/>
                <w:i/>
                <w:szCs w:val="20"/>
                <w:highlight w:val="lightGray"/>
              </w:rPr>
              <w:t>Es bestehen interne Vorgaben (</w:t>
            </w:r>
            <w:r w:rsidR="00D36798" w:rsidRPr="002678CC">
              <w:rPr>
                <w:rFonts w:cs="Arial"/>
                <w:i/>
                <w:szCs w:val="20"/>
                <w:highlight w:val="lightGray"/>
              </w:rPr>
              <w:t>Richtlinien/Weisungen</w:t>
            </w:r>
            <w:r w:rsidRPr="002678CC">
              <w:rPr>
                <w:rFonts w:cs="Arial"/>
                <w:i/>
                <w:szCs w:val="20"/>
                <w:highlight w:val="lightGray"/>
              </w:rPr>
              <w:t xml:space="preserve">) für die Aufnahme einer Geschäftsbeziehung und die </w:t>
            </w:r>
            <w:r w:rsidR="00D36798" w:rsidRPr="002678CC">
              <w:rPr>
                <w:rFonts w:cs="Arial"/>
                <w:i/>
                <w:szCs w:val="20"/>
                <w:highlight w:val="lightGray"/>
              </w:rPr>
              <w:t>Übernahme der Verwahrstellenfunktion für einen neuen Fonds</w:t>
            </w:r>
            <w:r w:rsidR="007C6440">
              <w:rPr>
                <w:rFonts w:cs="Arial"/>
                <w:i/>
                <w:szCs w:val="20"/>
                <w:highlight w:val="lightGray"/>
              </w:rPr>
              <w:t>.</w:t>
            </w:r>
          </w:p>
          <w:p w14:paraId="467C227C" w14:textId="15BF1054" w:rsidR="00273F9C" w:rsidRPr="002678CC" w:rsidRDefault="00273F9C" w:rsidP="00273F9C">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Vorgaben (Richtlinien/Weisungen) werden regelmässig überprüft und aktualisiert</w:t>
            </w:r>
            <w:r w:rsidR="007C6440">
              <w:rPr>
                <w:rFonts w:cs="Arial"/>
                <w:i/>
                <w:szCs w:val="20"/>
                <w:highlight w:val="lightGray"/>
              </w:rPr>
              <w:t>.</w:t>
            </w:r>
          </w:p>
          <w:p w14:paraId="277D029D" w14:textId="3F50243A" w:rsidR="00D36798" w:rsidRPr="002678CC" w:rsidRDefault="00D36798" w:rsidP="0042389D">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Verfahren stellen sicher, dass vor der Übernahme der Verwahrstellenfunktion für jeden Fonds eine Due Diligence Prüfung gemäss dem institutsspezifischen Annahmeprozess durchgeführt wird, welcher u.a. berücksichtigt: Typ des Fonds, Fondsstruktur, Handelbarkeit der Anlagen, Informationen zur detaillierten Konzeption</w:t>
            </w:r>
            <w:r w:rsidR="00C042A4" w:rsidRPr="002678CC">
              <w:rPr>
                <w:rFonts w:cs="Arial"/>
                <w:i/>
                <w:szCs w:val="20"/>
                <w:highlight w:val="lightGray"/>
              </w:rPr>
              <w:t xml:space="preserve"> und Komplexität</w:t>
            </w:r>
            <w:r w:rsidRPr="002678CC">
              <w:rPr>
                <w:rFonts w:cs="Arial"/>
                <w:i/>
                <w:szCs w:val="20"/>
                <w:highlight w:val="lightGray"/>
              </w:rPr>
              <w:t xml:space="preserve"> des Fonds (u.a. Anlagepolitik</w:t>
            </w:r>
            <w:r w:rsidR="00E2286F" w:rsidRPr="002678CC">
              <w:rPr>
                <w:rFonts w:cs="Arial"/>
                <w:i/>
                <w:szCs w:val="20"/>
                <w:highlight w:val="lightGray"/>
              </w:rPr>
              <w:t xml:space="preserve">; besondere Investments (z.B. strukturierte Produkte, illiquide Anlage; Verbriefungen; Private Equity; Hedge Fonds; OTC-Geschäfte; </w:t>
            </w:r>
            <w:r w:rsidR="00C048DF" w:rsidRPr="002678CC">
              <w:rPr>
                <w:rFonts w:cs="Arial"/>
                <w:i/>
                <w:szCs w:val="20"/>
                <w:highlight w:val="lightGray"/>
              </w:rPr>
              <w:t>derivative</w:t>
            </w:r>
            <w:r w:rsidR="00E2286F" w:rsidRPr="002678CC">
              <w:rPr>
                <w:rFonts w:cs="Arial"/>
                <w:i/>
                <w:szCs w:val="20"/>
                <w:highlight w:val="lightGray"/>
              </w:rPr>
              <w:t xml:space="preserve"> Finanzinstrumente)</w:t>
            </w:r>
            <w:r w:rsidRPr="002678CC">
              <w:rPr>
                <w:rFonts w:cs="Arial"/>
                <w:i/>
                <w:szCs w:val="20"/>
                <w:highlight w:val="lightGray"/>
              </w:rPr>
              <w:t>), wirtschaftlicher Hintergrund, Risikoklasse</w:t>
            </w:r>
            <w:r w:rsidR="00A706E3">
              <w:rPr>
                <w:rFonts w:cs="Arial"/>
                <w:i/>
                <w:szCs w:val="20"/>
                <w:highlight w:val="lightGray"/>
              </w:rPr>
              <w:t>, Organisation der Verwaltungsgesellschaft/AIFM</w:t>
            </w:r>
            <w:r w:rsidRPr="002678CC">
              <w:rPr>
                <w:rFonts w:cs="Arial"/>
                <w:i/>
                <w:szCs w:val="20"/>
                <w:highlight w:val="lightGray"/>
              </w:rPr>
              <w:t xml:space="preserve"> etc. </w:t>
            </w:r>
            <w:r w:rsidR="000065EB">
              <w:rPr>
                <w:rFonts w:cs="Arial"/>
                <w:i/>
                <w:szCs w:val="20"/>
                <w:highlight w:val="lightGray"/>
              </w:rPr>
              <w:t xml:space="preserve">in Verbindung mit dem Geschäftsmodell der Verwahrstelle, den personellen </w:t>
            </w:r>
            <w:r w:rsidR="0059451B">
              <w:rPr>
                <w:rFonts w:cs="Arial"/>
                <w:i/>
                <w:szCs w:val="20"/>
                <w:highlight w:val="lightGray"/>
              </w:rPr>
              <w:t xml:space="preserve">und technischen </w:t>
            </w:r>
            <w:r w:rsidR="000065EB">
              <w:rPr>
                <w:rFonts w:cs="Arial"/>
                <w:i/>
                <w:szCs w:val="20"/>
                <w:highlight w:val="lightGray"/>
              </w:rPr>
              <w:t xml:space="preserve">Ressourcen sowie dem </w:t>
            </w:r>
            <w:r w:rsidR="00A706E3">
              <w:rPr>
                <w:rFonts w:cs="Arial"/>
                <w:i/>
                <w:szCs w:val="20"/>
                <w:highlight w:val="lightGray"/>
              </w:rPr>
              <w:t>Fachwissen</w:t>
            </w:r>
            <w:r w:rsidR="000065EB">
              <w:rPr>
                <w:rFonts w:cs="Arial"/>
                <w:i/>
                <w:szCs w:val="20"/>
                <w:highlight w:val="lightGray"/>
              </w:rPr>
              <w:t>/Erfahrung der Mitarbeitenden der Verwahrstelle</w:t>
            </w:r>
            <w:r w:rsidR="007C6440">
              <w:rPr>
                <w:rFonts w:cs="Arial"/>
                <w:i/>
                <w:szCs w:val="20"/>
                <w:highlight w:val="lightGray"/>
              </w:rPr>
              <w:t>.</w:t>
            </w:r>
          </w:p>
          <w:p w14:paraId="7E791032" w14:textId="49814F1D" w:rsidR="00403CB0" w:rsidRPr="002678CC" w:rsidRDefault="00E2286F" w:rsidP="0042389D">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Verfahren stellen sicher, dass die Verwahrstellenfunktion nur für Fondstypen übernommen wird, welche den internen Vorgaben entsprechen (kein Eingehen von Geschäftsbeziehungen, die dem Negativ-Fondstypenkatalog entsprechen)</w:t>
            </w:r>
            <w:r w:rsidR="007C6440">
              <w:rPr>
                <w:rFonts w:cs="Arial"/>
                <w:i/>
                <w:szCs w:val="20"/>
                <w:highlight w:val="lightGray"/>
              </w:rPr>
              <w:t>.</w:t>
            </w:r>
          </w:p>
          <w:p w14:paraId="39A07656" w14:textId="00C4E1A2" w:rsidR="00F81673" w:rsidRPr="002678CC" w:rsidRDefault="00C042A4" w:rsidP="00E2286F">
            <w:pPr>
              <w:pStyle w:val="Listenabsatz"/>
              <w:numPr>
                <w:ilvl w:val="1"/>
                <w:numId w:val="17"/>
              </w:numPr>
              <w:ind w:left="317" w:hanging="283"/>
              <w:jc w:val="both"/>
              <w:rPr>
                <w:rFonts w:cs="Arial"/>
                <w:i/>
                <w:szCs w:val="20"/>
                <w:highlight w:val="lightGray"/>
              </w:rPr>
            </w:pPr>
            <w:r w:rsidRPr="002678CC">
              <w:rPr>
                <w:rFonts w:cs="Arial"/>
                <w:i/>
                <w:szCs w:val="20"/>
                <w:highlight w:val="lightGray"/>
              </w:rPr>
              <w:t>Die internen Verfahren stellen die vollständige Dokumentation der Due Diligence Prüfung zur Übernahme oder Ablehnung (inkl. Begründung der Ablehnung) der Verwahrstellenfunktion für die jeweiligen Fonds sicher</w:t>
            </w:r>
            <w:r w:rsidR="007C6440">
              <w:rPr>
                <w:rFonts w:cs="Arial"/>
                <w:i/>
                <w:szCs w:val="20"/>
                <w:highlight w:val="lightGray"/>
              </w:rPr>
              <w:t>.</w:t>
            </w:r>
          </w:p>
          <w:p w14:paraId="73E4668B" w14:textId="1C10AC04" w:rsidR="00804EC6" w:rsidRPr="002678CC" w:rsidRDefault="002678CC" w:rsidP="002678CC">
            <w:pPr>
              <w:pStyle w:val="Listenabsatz"/>
              <w:numPr>
                <w:ilvl w:val="1"/>
                <w:numId w:val="17"/>
              </w:numPr>
              <w:ind w:left="317" w:hanging="283"/>
              <w:jc w:val="both"/>
              <w:rPr>
                <w:rFonts w:cs="Arial"/>
                <w:i/>
                <w:szCs w:val="20"/>
                <w:highlight w:val="lightGray"/>
              </w:rPr>
            </w:pPr>
            <w:r w:rsidRPr="002678CC">
              <w:rPr>
                <w:rFonts w:cs="Arial"/>
                <w:i/>
                <w:szCs w:val="20"/>
                <w:highlight w:val="lightGray"/>
              </w:rPr>
              <w:lastRenderedPageBreak/>
              <w:t>Es besteht eine angemessene Berichterstattung über die Ergebnisse des Fondsannahmeprozess (Due Diligence Prüfung)</w:t>
            </w:r>
            <w:r w:rsidR="007C6440">
              <w:rPr>
                <w:rFonts w:cs="Arial"/>
                <w:i/>
                <w:szCs w:val="20"/>
                <w:highlight w:val="lightGray"/>
              </w:rPr>
              <w:t>.</w:t>
            </w:r>
          </w:p>
          <w:p w14:paraId="5BE89D54" w14:textId="153380E4" w:rsidR="002678CC" w:rsidRPr="002678CC" w:rsidRDefault="002678CC" w:rsidP="002678CC">
            <w:pPr>
              <w:pStyle w:val="Listenabsatz"/>
              <w:ind w:left="317"/>
              <w:jc w:val="both"/>
              <w:rPr>
                <w:rFonts w:cs="Arial"/>
                <w:i/>
                <w:szCs w:val="20"/>
                <w:highlight w:val="lightGray"/>
              </w:rPr>
            </w:pPr>
          </w:p>
        </w:tc>
      </w:tr>
    </w:tbl>
    <w:p w14:paraId="1923E40F" w14:textId="77777777" w:rsidR="00F81673" w:rsidRDefault="00F81673" w:rsidP="00804EC6">
      <w:pPr>
        <w:jc w:val="both"/>
      </w:pPr>
    </w:p>
    <w:p w14:paraId="10F0D9BC"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02DDC350" w14:textId="77777777" w:rsidR="00804EC6" w:rsidRDefault="00804EC6" w:rsidP="00804EC6">
      <w:pPr>
        <w:jc w:val="both"/>
      </w:pPr>
    </w:p>
    <w:p w14:paraId="109A8884" w14:textId="77777777" w:rsidR="00D64584" w:rsidRDefault="00D64584" w:rsidP="00D64584">
      <w:pPr>
        <w:jc w:val="both"/>
      </w:pPr>
    </w:p>
    <w:p w14:paraId="1373E921" w14:textId="1053F4E4" w:rsidR="008C30D1" w:rsidRPr="00AE1B03" w:rsidRDefault="00AD0DCA" w:rsidP="006F7AB5">
      <w:pPr>
        <w:pStyle w:val="FINMAGliederungEbene3"/>
      </w:pPr>
      <w:bookmarkStart w:id="18" w:name="_Toc185241472"/>
      <w:r w:rsidRPr="00AE1B03">
        <w:t>Delegation von Aufgaben an Dritte</w:t>
      </w:r>
      <w:r w:rsidR="0003063F" w:rsidRPr="00AE1B03">
        <w:t xml:space="preserve"> (GOV-</w:t>
      </w:r>
      <w:r w:rsidR="006E2741">
        <w:t>4</w:t>
      </w:r>
      <w:r w:rsidR="00543DCA" w:rsidRPr="00AE1B03">
        <w:t>)</w:t>
      </w:r>
      <w:bookmarkEnd w:id="18"/>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932"/>
        <w:gridCol w:w="2145"/>
        <w:gridCol w:w="1721"/>
        <w:gridCol w:w="3382"/>
      </w:tblGrid>
      <w:tr w:rsidR="00AE1B03" w:rsidRPr="009872F3" w14:paraId="61A4D790" w14:textId="77777777" w:rsidTr="00D701D6">
        <w:trPr>
          <w:trHeight w:val="563"/>
        </w:trPr>
        <w:tc>
          <w:tcPr>
            <w:tcW w:w="1932" w:type="dxa"/>
          </w:tcPr>
          <w:p w14:paraId="72168B24"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Nettorisiko</w:t>
            </w:r>
          </w:p>
        </w:tc>
        <w:tc>
          <w:tcPr>
            <w:tcW w:w="2145" w:type="dxa"/>
          </w:tcPr>
          <w:p w14:paraId="65E4DE82"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83919F0"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E1B03" w:rsidRPr="009872F3" w14:paraId="7AD15C9E" w14:textId="77777777" w:rsidTr="00D701D6">
        <w:trPr>
          <w:trHeight w:val="698"/>
        </w:trPr>
        <w:tc>
          <w:tcPr>
            <w:tcW w:w="1932" w:type="dxa"/>
          </w:tcPr>
          <w:p w14:paraId="0BEEA52E" w14:textId="77777777" w:rsidR="00AE1B03" w:rsidRPr="006749F0" w:rsidRDefault="00AE1B03" w:rsidP="00D701D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5D437E78" w14:textId="77777777" w:rsidR="00AE1B03" w:rsidRPr="006749F0" w:rsidRDefault="00AE1B03" w:rsidP="00D701D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157BA9B" w14:textId="77777777" w:rsidR="00AE1B03" w:rsidRPr="009872F3" w:rsidRDefault="00AE1B03" w:rsidP="00D701D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D9E8D33" w14:textId="77777777" w:rsidR="00AE1B03" w:rsidRDefault="00AE1B03" w:rsidP="00D701D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69B9C8B" w14:textId="77777777" w:rsidR="00AE1B03" w:rsidRPr="006749F0" w:rsidRDefault="00AE1B03" w:rsidP="00D701D6">
            <w:pPr>
              <w:jc w:val="both"/>
              <w:rPr>
                <w:rFonts w:ascii="Arial" w:hAnsi="Arial" w:cs="Arial"/>
                <w:i/>
                <w:sz w:val="18"/>
                <w:szCs w:val="18"/>
              </w:rPr>
            </w:pPr>
            <w:r w:rsidRPr="006749F0">
              <w:rPr>
                <w:rFonts w:ascii="Arial" w:hAnsi="Arial" w:cs="Arial"/>
                <w:i/>
                <w:sz w:val="18"/>
                <w:szCs w:val="18"/>
                <w:highlight w:val="yellow"/>
              </w:rPr>
              <w:t>Jahr</w:t>
            </w:r>
          </w:p>
        </w:tc>
      </w:tr>
      <w:tr w:rsidR="00AE1B03" w:rsidRPr="00FC0BF3" w14:paraId="0B67FD59" w14:textId="77777777" w:rsidTr="00D701D6">
        <w:trPr>
          <w:trHeight w:val="636"/>
        </w:trPr>
        <w:tc>
          <w:tcPr>
            <w:tcW w:w="9180" w:type="dxa"/>
            <w:gridSpan w:val="4"/>
          </w:tcPr>
          <w:p w14:paraId="4CDB12EF" w14:textId="77777777" w:rsidR="00AE1B03" w:rsidRDefault="00AE1B03" w:rsidP="00D701D6">
            <w:pPr>
              <w:jc w:val="both"/>
              <w:rPr>
                <w:rFonts w:ascii="Arial" w:hAnsi="Arial" w:cs="Arial"/>
                <w:sz w:val="18"/>
                <w:szCs w:val="18"/>
              </w:rPr>
            </w:pPr>
          </w:p>
          <w:p w14:paraId="0B722648" w14:textId="77777777" w:rsidR="00AE1B03" w:rsidRPr="00F60909" w:rsidRDefault="00AE1B03" w:rsidP="00D701D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5334843" w14:textId="2AB1F0FE" w:rsidR="00AE1B03" w:rsidRPr="00AE1B03" w:rsidRDefault="00AE1B03" w:rsidP="00D701D6">
            <w:pPr>
              <w:jc w:val="both"/>
              <w:rPr>
                <w:rFonts w:ascii="Arial" w:hAnsi="Arial" w:cs="Arial"/>
                <w:sz w:val="18"/>
                <w:szCs w:val="18"/>
                <w:highlight w:val="yellow"/>
              </w:rPr>
            </w:pPr>
            <w:r w:rsidRPr="0037057B">
              <w:rPr>
                <w:rFonts w:ascii="Arial" w:hAnsi="Arial" w:cs="Arial"/>
                <w:sz w:val="18"/>
                <w:szCs w:val="18"/>
                <w:highlight w:val="yellow"/>
              </w:rPr>
              <w:t>Art.</w:t>
            </w:r>
            <w:r>
              <w:rPr>
                <w:rFonts w:ascii="Arial" w:hAnsi="Arial" w:cs="Arial"/>
                <w:sz w:val="18"/>
                <w:szCs w:val="18"/>
                <w:highlight w:val="yellow"/>
              </w:rPr>
              <w:t xml:space="preserve"> 43 Abs. 6 IUG; Art. 34 UCITSG; Art. 60 AIFMG; </w:t>
            </w:r>
            <w:proofErr w:type="spellStart"/>
            <w:r w:rsidRPr="00D9403D">
              <w:rPr>
                <w:rFonts w:ascii="Arial" w:hAnsi="Arial" w:cs="Arial"/>
                <w:sz w:val="18"/>
                <w:szCs w:val="18"/>
                <w:highlight w:val="yellow"/>
              </w:rPr>
              <w:t>DelVO</w:t>
            </w:r>
            <w:proofErr w:type="spellEnd"/>
            <w:r w:rsidRPr="00D9403D">
              <w:rPr>
                <w:rFonts w:ascii="Arial" w:hAnsi="Arial" w:cs="Arial"/>
                <w:sz w:val="18"/>
                <w:szCs w:val="18"/>
                <w:highlight w:val="yellow"/>
              </w:rPr>
              <w:t xml:space="preserve"> (EU) Nr. 2016/438</w:t>
            </w:r>
            <w:r>
              <w:rPr>
                <w:rFonts w:ascii="Arial" w:hAnsi="Arial" w:cs="Arial"/>
                <w:sz w:val="18"/>
                <w:szCs w:val="18"/>
                <w:highlight w:val="yellow"/>
              </w:rPr>
              <w:t xml:space="preserve"> Art. 22 </w:t>
            </w:r>
            <w:proofErr w:type="spellStart"/>
            <w:r>
              <w:rPr>
                <w:rFonts w:ascii="Arial" w:hAnsi="Arial" w:cs="Arial"/>
                <w:sz w:val="18"/>
                <w:szCs w:val="18"/>
                <w:highlight w:val="yellow"/>
              </w:rPr>
              <w:t>iVm</w:t>
            </w:r>
            <w:proofErr w:type="spellEnd"/>
            <w:r>
              <w:rPr>
                <w:rFonts w:ascii="Arial" w:hAnsi="Arial" w:cs="Arial"/>
                <w:sz w:val="18"/>
                <w:szCs w:val="18"/>
                <w:highlight w:val="yellow"/>
              </w:rPr>
              <w:t xml:space="preserve"> Art. 15</w:t>
            </w:r>
            <w:r w:rsidR="007736D4">
              <w:rPr>
                <w:rFonts w:ascii="Arial" w:hAnsi="Arial" w:cs="Arial"/>
                <w:sz w:val="18"/>
                <w:szCs w:val="18"/>
                <w:highlight w:val="yellow"/>
              </w:rPr>
              <w:t xml:space="preserve">; </w:t>
            </w:r>
            <w:proofErr w:type="spellStart"/>
            <w:r w:rsidR="001041EB">
              <w:rPr>
                <w:rFonts w:ascii="Arial" w:hAnsi="Arial" w:cs="Arial"/>
                <w:sz w:val="18"/>
                <w:szCs w:val="18"/>
                <w:highlight w:val="yellow"/>
              </w:rPr>
              <w:t>DelVO</w:t>
            </w:r>
            <w:proofErr w:type="spellEnd"/>
            <w:r w:rsidR="001041EB">
              <w:rPr>
                <w:rFonts w:ascii="Arial" w:hAnsi="Arial" w:cs="Arial"/>
                <w:sz w:val="18"/>
                <w:szCs w:val="18"/>
                <w:highlight w:val="yellow"/>
              </w:rPr>
              <w:t xml:space="preserve"> (EU) Nr. 231/2013 Art. 98; </w:t>
            </w:r>
            <w:r>
              <w:rPr>
                <w:rFonts w:ascii="Arial" w:hAnsi="Arial" w:cs="Arial"/>
                <w:sz w:val="18"/>
                <w:szCs w:val="18"/>
                <w:highlight w:val="yellow"/>
              </w:rPr>
              <w:t xml:space="preserve">FMA-Mitteilung 2016/1 </w:t>
            </w:r>
          </w:p>
        </w:tc>
      </w:tr>
      <w:tr w:rsidR="00AE1B03" w:rsidRPr="00FC0BF3" w14:paraId="4D602CA4" w14:textId="77777777" w:rsidTr="00D701D6">
        <w:trPr>
          <w:trHeight w:val="294"/>
        </w:trPr>
        <w:tc>
          <w:tcPr>
            <w:tcW w:w="9180" w:type="dxa"/>
            <w:gridSpan w:val="4"/>
          </w:tcPr>
          <w:p w14:paraId="2F6EEBFE" w14:textId="77777777" w:rsidR="00AE1B03" w:rsidRPr="00FC0BF3" w:rsidRDefault="00AE1B03" w:rsidP="00D701D6">
            <w:pPr>
              <w:jc w:val="both"/>
              <w:rPr>
                <w:rFonts w:ascii="Arial" w:hAnsi="Arial" w:cs="Arial"/>
                <w:sz w:val="18"/>
                <w:szCs w:val="18"/>
              </w:rPr>
            </w:pPr>
          </w:p>
        </w:tc>
      </w:tr>
      <w:tr w:rsidR="00771891" w:rsidRPr="009872F3" w14:paraId="18122D9C" w14:textId="77777777" w:rsidTr="00D701D6">
        <w:tc>
          <w:tcPr>
            <w:tcW w:w="5798" w:type="dxa"/>
            <w:gridSpan w:val="3"/>
          </w:tcPr>
          <w:p w14:paraId="50759747" w14:textId="144F39BD" w:rsidR="00771891" w:rsidRDefault="00FC479E" w:rsidP="00D701D6">
            <w:pPr>
              <w:jc w:val="both"/>
              <w:rPr>
                <w:rFonts w:ascii="Arial" w:hAnsi="Arial" w:cs="Arial"/>
                <w:sz w:val="18"/>
                <w:szCs w:val="18"/>
              </w:rPr>
            </w:pPr>
            <w:r>
              <w:rPr>
                <w:rFonts w:ascii="Arial" w:hAnsi="Arial" w:cs="Arial"/>
                <w:sz w:val="18"/>
                <w:szCs w:val="18"/>
              </w:rPr>
              <w:t xml:space="preserve">Bestätigung, dass die internen Verfahren sicherstellen, dass nur delegierbare Aufgaben </w:t>
            </w:r>
            <w:r w:rsidR="00DE60B7">
              <w:rPr>
                <w:rFonts w:ascii="Arial" w:hAnsi="Arial" w:cs="Arial"/>
                <w:sz w:val="18"/>
                <w:szCs w:val="18"/>
              </w:rPr>
              <w:t>gemäss gesetzlichen Bestimmungen</w:t>
            </w:r>
            <w:r>
              <w:rPr>
                <w:rFonts w:ascii="Arial" w:hAnsi="Arial" w:cs="Arial"/>
                <w:sz w:val="18"/>
                <w:szCs w:val="18"/>
              </w:rPr>
              <w:t xml:space="preserve"> an Dritte übertragen werden</w:t>
            </w:r>
          </w:p>
        </w:tc>
        <w:tc>
          <w:tcPr>
            <w:tcW w:w="3382" w:type="dxa"/>
          </w:tcPr>
          <w:p w14:paraId="4A396CDD" w14:textId="0D0A5C02" w:rsidR="00771891" w:rsidRPr="00E109DF" w:rsidRDefault="00FC479E"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71891" w:rsidRPr="009872F3" w14:paraId="6DEBC1A5" w14:textId="77777777" w:rsidTr="00D701D6">
        <w:tc>
          <w:tcPr>
            <w:tcW w:w="5798" w:type="dxa"/>
            <w:gridSpan w:val="3"/>
          </w:tcPr>
          <w:p w14:paraId="303B400A" w14:textId="3E66CB3F" w:rsidR="00771891" w:rsidRDefault="00FC479E" w:rsidP="00D701D6">
            <w:pPr>
              <w:jc w:val="both"/>
              <w:rPr>
                <w:rFonts w:ascii="Arial" w:hAnsi="Arial" w:cs="Arial"/>
                <w:sz w:val="18"/>
                <w:szCs w:val="18"/>
              </w:rPr>
            </w:pPr>
            <w:r>
              <w:rPr>
                <w:rFonts w:ascii="Arial" w:hAnsi="Arial" w:cs="Arial"/>
                <w:sz w:val="18"/>
                <w:szCs w:val="18"/>
              </w:rPr>
              <w:t>Bestätigung, dass die internen Verfahren sicherstellen, dass bei der Wahl (Due Diligence Prozess) und Instruktion von Dritten, welche delegierbare Aufgaben wahrnehmen, die notwendige Sorgfalt angewandt wird</w:t>
            </w:r>
            <w:r w:rsidR="00DE60B7">
              <w:rPr>
                <w:rFonts w:ascii="Arial" w:hAnsi="Arial" w:cs="Arial"/>
                <w:sz w:val="18"/>
                <w:szCs w:val="18"/>
              </w:rPr>
              <w:t xml:space="preserve"> und der Entscheidungsfindungsprozess nachvollziehbar dokumentiert ist</w:t>
            </w:r>
            <w:r w:rsidR="009D5A33">
              <w:rPr>
                <w:rFonts w:ascii="Arial" w:hAnsi="Arial" w:cs="Arial"/>
                <w:sz w:val="18"/>
                <w:szCs w:val="18"/>
              </w:rPr>
              <w:t xml:space="preserve"> und im Falle einer Detailprüfung effektiv angewandt wird</w:t>
            </w:r>
          </w:p>
        </w:tc>
        <w:tc>
          <w:tcPr>
            <w:tcW w:w="3382" w:type="dxa"/>
          </w:tcPr>
          <w:p w14:paraId="6C149D84" w14:textId="61786203" w:rsidR="00771891" w:rsidRPr="00E109DF" w:rsidRDefault="00FC479E"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75D12" w:rsidRPr="009872F3" w14:paraId="3668FC3B" w14:textId="77777777" w:rsidTr="00D701D6">
        <w:tc>
          <w:tcPr>
            <w:tcW w:w="5798" w:type="dxa"/>
            <w:gridSpan w:val="3"/>
          </w:tcPr>
          <w:p w14:paraId="41E31E04" w14:textId="34E159C5" w:rsidR="00875D12" w:rsidRDefault="00875D12" w:rsidP="00D701D6">
            <w:pPr>
              <w:jc w:val="both"/>
              <w:rPr>
                <w:rFonts w:ascii="Arial" w:hAnsi="Arial" w:cs="Arial"/>
                <w:sz w:val="18"/>
                <w:szCs w:val="18"/>
              </w:rPr>
            </w:pPr>
            <w:r>
              <w:rPr>
                <w:rFonts w:ascii="Arial" w:hAnsi="Arial" w:cs="Arial"/>
                <w:sz w:val="18"/>
                <w:szCs w:val="18"/>
              </w:rPr>
              <w:t>Bestätigung, dass die internen Verfahren sicherstellen, dass der Übertragung von Aufgaben an Dritte jeweils schriftliche Verträge zugrunde</w:t>
            </w:r>
            <w:r w:rsidR="007C6440">
              <w:rPr>
                <w:rFonts w:ascii="Arial" w:hAnsi="Arial" w:cs="Arial"/>
                <w:sz w:val="18"/>
                <w:szCs w:val="18"/>
              </w:rPr>
              <w:t xml:space="preserve"> </w:t>
            </w:r>
            <w:r>
              <w:rPr>
                <w:rFonts w:ascii="Arial" w:hAnsi="Arial" w:cs="Arial"/>
                <w:sz w:val="18"/>
                <w:szCs w:val="18"/>
              </w:rPr>
              <w:t>liegen, welche den regulatorischen Anforderungen</w:t>
            </w:r>
            <w:r w:rsidR="009D5A33">
              <w:rPr>
                <w:rFonts w:ascii="Arial" w:hAnsi="Arial" w:cs="Arial"/>
                <w:sz w:val="18"/>
                <w:szCs w:val="18"/>
              </w:rPr>
              <w:t xml:space="preserve"> (inkl. Ausstiegsklauseln)</w:t>
            </w:r>
            <w:r>
              <w:rPr>
                <w:rFonts w:ascii="Arial" w:hAnsi="Arial" w:cs="Arial"/>
                <w:sz w:val="18"/>
                <w:szCs w:val="18"/>
              </w:rPr>
              <w:t xml:space="preserve"> entsprechen</w:t>
            </w:r>
            <w:r w:rsidR="009D5A33">
              <w:rPr>
                <w:rFonts w:ascii="Arial" w:hAnsi="Arial" w:cs="Arial"/>
                <w:sz w:val="18"/>
                <w:szCs w:val="18"/>
              </w:rPr>
              <w:t xml:space="preserve"> und im Falle einer Detailprüfung effektiv angewandt wird</w:t>
            </w:r>
            <w:r w:rsidR="006E3343">
              <w:rPr>
                <w:rFonts w:ascii="Arial" w:hAnsi="Arial" w:cs="Arial"/>
                <w:sz w:val="18"/>
                <w:szCs w:val="18"/>
              </w:rPr>
              <w:t xml:space="preserve"> *</w:t>
            </w:r>
          </w:p>
        </w:tc>
        <w:tc>
          <w:tcPr>
            <w:tcW w:w="3382" w:type="dxa"/>
          </w:tcPr>
          <w:p w14:paraId="41034B35" w14:textId="1EA918B3" w:rsidR="00875D12" w:rsidRPr="00E109DF" w:rsidRDefault="00875D12"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71891" w:rsidRPr="009872F3" w14:paraId="463C42D2" w14:textId="77777777" w:rsidTr="00D701D6">
        <w:tc>
          <w:tcPr>
            <w:tcW w:w="5798" w:type="dxa"/>
            <w:gridSpan w:val="3"/>
          </w:tcPr>
          <w:p w14:paraId="519A507A" w14:textId="7A89816B" w:rsidR="00771891" w:rsidRDefault="00FC479E" w:rsidP="00D701D6">
            <w:pPr>
              <w:jc w:val="both"/>
              <w:rPr>
                <w:rFonts w:ascii="Arial" w:hAnsi="Arial" w:cs="Arial"/>
                <w:sz w:val="18"/>
                <w:szCs w:val="18"/>
              </w:rPr>
            </w:pPr>
            <w:r>
              <w:rPr>
                <w:rFonts w:ascii="Arial" w:hAnsi="Arial" w:cs="Arial"/>
                <w:sz w:val="18"/>
                <w:szCs w:val="18"/>
              </w:rPr>
              <w:t xml:space="preserve">Bestätigung, dass die internen Verfahren gewährleisten, dass die </w:t>
            </w:r>
            <w:r w:rsidR="0011214F">
              <w:rPr>
                <w:rFonts w:ascii="Arial" w:hAnsi="Arial" w:cs="Arial"/>
                <w:sz w:val="18"/>
                <w:szCs w:val="18"/>
              </w:rPr>
              <w:t>Aufgabenübertragung</w:t>
            </w:r>
            <w:r>
              <w:rPr>
                <w:rFonts w:ascii="Arial" w:hAnsi="Arial" w:cs="Arial"/>
                <w:sz w:val="18"/>
                <w:szCs w:val="18"/>
              </w:rPr>
              <w:t xml:space="preserve"> an Dritte regelmässig angemessen </w:t>
            </w:r>
            <w:r w:rsidR="0011214F">
              <w:rPr>
                <w:rFonts w:ascii="Arial" w:hAnsi="Arial" w:cs="Arial"/>
                <w:sz w:val="18"/>
                <w:szCs w:val="18"/>
              </w:rPr>
              <w:t>und nachvollziehbar überwacht</w:t>
            </w:r>
            <w:r>
              <w:rPr>
                <w:rFonts w:ascii="Arial" w:hAnsi="Arial" w:cs="Arial"/>
                <w:sz w:val="18"/>
                <w:szCs w:val="18"/>
              </w:rPr>
              <w:t xml:space="preserve"> </w:t>
            </w:r>
            <w:r w:rsidR="00C02353">
              <w:rPr>
                <w:rFonts w:ascii="Arial" w:hAnsi="Arial" w:cs="Arial"/>
                <w:sz w:val="18"/>
                <w:szCs w:val="18"/>
              </w:rPr>
              <w:t xml:space="preserve">wird </w:t>
            </w:r>
            <w:r>
              <w:rPr>
                <w:rFonts w:ascii="Arial" w:hAnsi="Arial" w:cs="Arial"/>
                <w:sz w:val="18"/>
                <w:szCs w:val="18"/>
              </w:rPr>
              <w:t>und im Falle einer Detailprüfung effektiv angewandt wird</w:t>
            </w:r>
            <w:r w:rsidR="006E3343">
              <w:rPr>
                <w:rFonts w:ascii="Arial" w:hAnsi="Arial" w:cs="Arial"/>
                <w:sz w:val="18"/>
                <w:szCs w:val="18"/>
              </w:rPr>
              <w:t xml:space="preserve"> *</w:t>
            </w:r>
          </w:p>
        </w:tc>
        <w:tc>
          <w:tcPr>
            <w:tcW w:w="3382" w:type="dxa"/>
          </w:tcPr>
          <w:p w14:paraId="280E4365" w14:textId="150BC794" w:rsidR="00771891" w:rsidRPr="00E109DF" w:rsidRDefault="00FC479E"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67CFA" w:rsidRPr="009872F3" w14:paraId="2D6E0955" w14:textId="77777777" w:rsidTr="00B42A2D">
        <w:tc>
          <w:tcPr>
            <w:tcW w:w="9180" w:type="dxa"/>
            <w:gridSpan w:val="4"/>
          </w:tcPr>
          <w:p w14:paraId="5DCA1AAB" w14:textId="77777777" w:rsidR="00667CFA" w:rsidRPr="00E109DF" w:rsidRDefault="00667CFA" w:rsidP="00D701D6">
            <w:pPr>
              <w:jc w:val="both"/>
              <w:rPr>
                <w:rFonts w:ascii="Arial" w:hAnsi="Arial" w:cs="Arial"/>
                <w:i/>
                <w:sz w:val="18"/>
                <w:szCs w:val="18"/>
                <w:highlight w:val="yellow"/>
              </w:rPr>
            </w:pPr>
          </w:p>
        </w:tc>
      </w:tr>
      <w:tr w:rsidR="00AB459F" w:rsidRPr="009872F3" w14:paraId="3AD13A13" w14:textId="77777777" w:rsidTr="008034B7">
        <w:tc>
          <w:tcPr>
            <w:tcW w:w="9180" w:type="dxa"/>
            <w:gridSpan w:val="4"/>
          </w:tcPr>
          <w:p w14:paraId="669C764E" w14:textId="77777777" w:rsidR="00AB459F" w:rsidRDefault="00AB459F" w:rsidP="008034B7">
            <w:pPr>
              <w:jc w:val="both"/>
              <w:rPr>
                <w:rFonts w:ascii="Arial" w:hAnsi="Arial" w:cs="Arial"/>
                <w:sz w:val="18"/>
                <w:szCs w:val="18"/>
              </w:rPr>
            </w:pPr>
            <w:bookmarkStart w:id="19" w:name="_Hlk173883471"/>
            <w:r>
              <w:rPr>
                <w:rFonts w:ascii="Arial" w:hAnsi="Arial" w:cs="Arial"/>
                <w:sz w:val="18"/>
                <w:szCs w:val="18"/>
              </w:rPr>
              <w:t>Auflistung der durchgeführten Prüfungshandlungen:</w:t>
            </w:r>
          </w:p>
          <w:p w14:paraId="1B738C11" w14:textId="77777777" w:rsidR="00AB459F" w:rsidRPr="00AB459F" w:rsidRDefault="00AB459F" w:rsidP="008034B7">
            <w:pPr>
              <w:pStyle w:val="Listenabsatz"/>
              <w:numPr>
                <w:ilvl w:val="0"/>
                <w:numId w:val="43"/>
              </w:numPr>
              <w:jc w:val="both"/>
              <w:rPr>
                <w:rFonts w:cs="Arial"/>
                <w:i/>
                <w:sz w:val="18"/>
                <w:szCs w:val="18"/>
                <w:highlight w:val="yellow"/>
              </w:rPr>
            </w:pPr>
          </w:p>
        </w:tc>
      </w:tr>
      <w:bookmarkEnd w:id="19"/>
    </w:tbl>
    <w:p w14:paraId="0FE50C1F" w14:textId="77777777" w:rsidR="006E3343" w:rsidRDefault="006E3343" w:rsidP="00D83362">
      <w:pPr>
        <w:jc w:val="both"/>
      </w:pPr>
    </w:p>
    <w:tbl>
      <w:tblPr>
        <w:tblStyle w:val="Tabellenraster"/>
        <w:tblW w:w="0" w:type="auto"/>
        <w:tblLook w:val="04A0" w:firstRow="1" w:lastRow="0" w:firstColumn="1" w:lastColumn="0" w:noHBand="0" w:noVBand="1"/>
      </w:tblPr>
      <w:tblGrid>
        <w:gridCol w:w="2660"/>
        <w:gridCol w:w="6520"/>
      </w:tblGrid>
      <w:tr w:rsidR="00AE1B03" w:rsidRPr="00CE3194" w14:paraId="5A58986A" w14:textId="77777777" w:rsidTr="00D701D6">
        <w:tc>
          <w:tcPr>
            <w:tcW w:w="2660" w:type="dxa"/>
          </w:tcPr>
          <w:p w14:paraId="37D759A9" w14:textId="77777777" w:rsidR="00AE1B03" w:rsidRPr="00CE3194" w:rsidRDefault="00AE1B03" w:rsidP="00D701D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B976709" w14:textId="77777777" w:rsidR="00AE1B03" w:rsidRPr="00CE3194" w:rsidRDefault="00AE1B03" w:rsidP="00D701D6">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AE1B03" w:rsidRPr="00CE3194" w14:paraId="12D88EC3" w14:textId="77777777" w:rsidTr="00D701D6">
        <w:tc>
          <w:tcPr>
            <w:tcW w:w="2660" w:type="dxa"/>
          </w:tcPr>
          <w:p w14:paraId="13DBF3AD" w14:textId="7CC6734B" w:rsidR="00AE1B03" w:rsidRPr="002678CC" w:rsidRDefault="00FC479E" w:rsidP="00D701D6">
            <w:pPr>
              <w:jc w:val="both"/>
              <w:rPr>
                <w:rFonts w:ascii="Arial" w:hAnsi="Arial" w:cs="Arial"/>
                <w:i/>
                <w:sz w:val="20"/>
                <w:szCs w:val="20"/>
                <w:highlight w:val="lightGray"/>
              </w:rPr>
            </w:pPr>
            <w:r>
              <w:rPr>
                <w:rFonts w:ascii="Arial" w:hAnsi="Arial" w:cs="Arial"/>
                <w:i/>
                <w:sz w:val="20"/>
                <w:szCs w:val="20"/>
                <w:highlight w:val="lightGray"/>
              </w:rPr>
              <w:t>Delegation von Aufgaben an Dritte (Auslagerungen)</w:t>
            </w:r>
            <w:r w:rsidR="00771891">
              <w:rPr>
                <w:rFonts w:ascii="Arial" w:hAnsi="Arial" w:cs="Arial"/>
                <w:i/>
                <w:sz w:val="20"/>
                <w:szCs w:val="20"/>
                <w:highlight w:val="lightGray"/>
              </w:rPr>
              <w:t xml:space="preserve"> </w:t>
            </w:r>
          </w:p>
        </w:tc>
        <w:tc>
          <w:tcPr>
            <w:tcW w:w="6520" w:type="dxa"/>
          </w:tcPr>
          <w:p w14:paraId="781FED2A" w14:textId="46A3D6B7" w:rsidR="00AE1B03" w:rsidRPr="002678CC" w:rsidRDefault="00AE1B03" w:rsidP="00D701D6">
            <w:pPr>
              <w:pStyle w:val="Listenabsatz"/>
              <w:numPr>
                <w:ilvl w:val="1"/>
                <w:numId w:val="17"/>
              </w:numPr>
              <w:ind w:left="317" w:hanging="283"/>
              <w:jc w:val="both"/>
              <w:rPr>
                <w:rFonts w:cs="Arial"/>
                <w:i/>
                <w:szCs w:val="20"/>
                <w:highlight w:val="lightGray"/>
              </w:rPr>
            </w:pPr>
            <w:r w:rsidRPr="002678CC">
              <w:rPr>
                <w:rFonts w:cs="Arial"/>
                <w:i/>
                <w:szCs w:val="20"/>
                <w:highlight w:val="lightGray"/>
              </w:rPr>
              <w:t>Es bestehen klare Verantwortlichkeiten und Kompetenzen</w:t>
            </w:r>
            <w:r w:rsidR="007C6440">
              <w:rPr>
                <w:rFonts w:cs="Arial"/>
                <w:i/>
                <w:szCs w:val="20"/>
                <w:highlight w:val="lightGray"/>
              </w:rPr>
              <w:t>.</w:t>
            </w:r>
          </w:p>
          <w:p w14:paraId="681DECC6" w14:textId="167117D7" w:rsidR="00FC479E" w:rsidRPr="00FC479E" w:rsidRDefault="00FC479E" w:rsidP="00FC479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nur delegierbare Aufgaben gemäss gesetzlichen Bestimmungen an Dritte übertragen werden</w:t>
            </w:r>
            <w:r w:rsidR="007C6440">
              <w:rPr>
                <w:rFonts w:cs="Arial"/>
                <w:i/>
                <w:szCs w:val="20"/>
                <w:highlight w:val="lightGray"/>
              </w:rPr>
              <w:t>.</w:t>
            </w:r>
          </w:p>
          <w:p w14:paraId="3D5196DA" w14:textId="2C1BA479" w:rsidR="00FC479E" w:rsidRDefault="00FC479E" w:rsidP="00AE1B0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bei der Wahl und Instruktion des Dritten die notwendige Sorgfalt im Laufe des ordnungsgemäss dokumentierten Due Diligence Prozess angewandt wird um sicherzustellen, dass </w:t>
            </w:r>
            <w:r w:rsidR="008E5EF0">
              <w:rPr>
                <w:rFonts w:cs="Arial"/>
                <w:i/>
                <w:szCs w:val="20"/>
                <w:highlight w:val="lightGray"/>
              </w:rPr>
              <w:t xml:space="preserve">die </w:t>
            </w:r>
            <w:r w:rsidR="00DE60B7">
              <w:rPr>
                <w:rFonts w:cs="Arial"/>
                <w:i/>
                <w:szCs w:val="20"/>
                <w:highlight w:val="lightGray"/>
              </w:rPr>
              <w:t xml:space="preserve">notwendigen </w:t>
            </w:r>
            <w:r w:rsidR="008E5EF0">
              <w:rPr>
                <w:rFonts w:cs="Arial"/>
                <w:i/>
                <w:szCs w:val="20"/>
                <w:highlight w:val="lightGray"/>
              </w:rPr>
              <w:t xml:space="preserve">Voraussetzungen und Integrität zur Ausübung der delegierten Aufgaben vorliegen. </w:t>
            </w:r>
          </w:p>
          <w:p w14:paraId="6C14ED5D" w14:textId="320DB30F" w:rsidR="005C1E01" w:rsidRPr="005C1E01" w:rsidRDefault="00DE60B7" w:rsidP="005C1E01">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Entscheidung</w:t>
            </w:r>
            <w:r w:rsidR="00C048DF">
              <w:rPr>
                <w:rFonts w:cs="Arial"/>
                <w:i/>
                <w:szCs w:val="20"/>
                <w:highlight w:val="lightGray"/>
              </w:rPr>
              <w:t>s</w:t>
            </w:r>
            <w:r>
              <w:rPr>
                <w:rFonts w:cs="Arial"/>
                <w:i/>
                <w:szCs w:val="20"/>
                <w:highlight w:val="lightGray"/>
              </w:rPr>
              <w:t xml:space="preserve">findungsprozess für die Auswahl des Dritten zur Übertragung von Aufgaben nachvollziehbar dokumentiert ist. </w:t>
            </w:r>
          </w:p>
          <w:p w14:paraId="17CE5961" w14:textId="64C85155" w:rsidR="008E5EF0" w:rsidRDefault="008E5EF0" w:rsidP="00AE1B03">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sicher, dass die Verwahrstelle im Rahmen des Due Diligence Prozess für die Delegation von Aufgaben an Dritte die regulatorisch </w:t>
            </w:r>
            <w:r w:rsidR="00875D12">
              <w:rPr>
                <w:rFonts w:cs="Arial"/>
                <w:i/>
                <w:szCs w:val="20"/>
                <w:highlight w:val="lightGray"/>
              </w:rPr>
              <w:t>vergebenen</w:t>
            </w:r>
            <w:r>
              <w:rPr>
                <w:rFonts w:cs="Arial"/>
                <w:i/>
                <w:szCs w:val="20"/>
                <w:highlight w:val="lightGray"/>
              </w:rPr>
              <w:t xml:space="preserve"> Informationen einholt resp. in die Analyse zur Entscheidungsfindung einfliessen lässt: </w:t>
            </w:r>
            <w:r w:rsidR="00DE60B7">
              <w:rPr>
                <w:rFonts w:cs="Arial"/>
                <w:i/>
                <w:szCs w:val="20"/>
                <w:highlight w:val="lightGray"/>
              </w:rPr>
              <w:t xml:space="preserve">z.B. </w:t>
            </w:r>
          </w:p>
          <w:p w14:paraId="24778574" w14:textId="0BAC5DBD" w:rsidR="005C1E01" w:rsidRDefault="008E5EF0" w:rsidP="008E5EF0">
            <w:pPr>
              <w:pStyle w:val="Listenabsatz"/>
              <w:ind w:left="317"/>
              <w:jc w:val="both"/>
              <w:rPr>
                <w:rFonts w:cs="Arial"/>
                <w:i/>
                <w:szCs w:val="20"/>
                <w:highlight w:val="lightGray"/>
              </w:rPr>
            </w:pPr>
            <w:r>
              <w:rPr>
                <w:rFonts w:cs="Arial"/>
                <w:i/>
                <w:szCs w:val="20"/>
                <w:highlight w:val="lightGray"/>
              </w:rPr>
              <w:t xml:space="preserve">Bewertung des regulatorischen/rechtlichen Rahmens unter Berücksichtigung von Länderrisiko, Verwahrrisiko und Durchsetzbarkeit von Verträgen; Bewertung der Verfahren und IKS des Dritten; </w:t>
            </w:r>
            <w:r w:rsidR="00875D12">
              <w:rPr>
                <w:rFonts w:cs="Arial"/>
                <w:i/>
                <w:szCs w:val="20"/>
                <w:highlight w:val="lightGray"/>
              </w:rPr>
              <w:t>Bewertung der Finanzstärke und Leumund des Dritten; Bewertung der operationellen und technischen Fähigkeiten des Dritten; Allgemeine Informationen (Rechtsform, Gründungsdatum, Nationalität, Gesellschaftskapital etc.); Informationen zur beruflichen Reputation der Mitglieder des Verwaltungsrates und der Geschäftsleitung des Dritten</w:t>
            </w:r>
            <w:r w:rsidR="007C6440">
              <w:rPr>
                <w:rFonts w:cs="Arial"/>
                <w:i/>
                <w:szCs w:val="20"/>
                <w:highlight w:val="lightGray"/>
              </w:rPr>
              <w:t>.</w:t>
            </w:r>
          </w:p>
          <w:p w14:paraId="0F99532F" w14:textId="6E94CBD6" w:rsidR="005C1E01" w:rsidRDefault="005C1E01" w:rsidP="005C1E01">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bei der Auswahl des Dritten (inkl. </w:t>
            </w:r>
            <w:proofErr w:type="spellStart"/>
            <w:r>
              <w:rPr>
                <w:rFonts w:cs="Arial"/>
                <w:i/>
                <w:szCs w:val="20"/>
                <w:highlight w:val="lightGray"/>
              </w:rPr>
              <w:t>Unterverwahrer</w:t>
            </w:r>
            <w:proofErr w:type="spellEnd"/>
            <w:r>
              <w:rPr>
                <w:rFonts w:cs="Arial"/>
                <w:i/>
                <w:szCs w:val="20"/>
                <w:highlight w:val="lightGray"/>
              </w:rPr>
              <w:t>) die Vermeidung von Interessenskonflikten sicher</w:t>
            </w:r>
            <w:r w:rsidR="007C6440">
              <w:rPr>
                <w:rFonts w:cs="Arial"/>
                <w:i/>
                <w:szCs w:val="20"/>
                <w:highlight w:val="lightGray"/>
              </w:rPr>
              <w:t>.</w:t>
            </w:r>
          </w:p>
          <w:p w14:paraId="1F00F2BD" w14:textId="795EA0FE" w:rsidR="00343006" w:rsidRDefault="00875D12" w:rsidP="00AE1B0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schriftliche Verträge der Delegation von Aufgaben an Dritte zugrunde liegen, welche den regulatorischen Anforderungen entsprechen</w:t>
            </w:r>
            <w:r w:rsidR="007C6440">
              <w:rPr>
                <w:rFonts w:cs="Arial"/>
                <w:i/>
                <w:szCs w:val="20"/>
                <w:highlight w:val="lightGray"/>
              </w:rPr>
              <w:t>.</w:t>
            </w:r>
            <w:r w:rsidR="00AD5299">
              <w:rPr>
                <w:rFonts w:cs="Arial"/>
                <w:i/>
                <w:szCs w:val="20"/>
                <w:highlight w:val="lightGray"/>
              </w:rPr>
              <w:t>*</w:t>
            </w:r>
          </w:p>
          <w:p w14:paraId="163EA0D3" w14:textId="3E532ED4" w:rsidR="00875D12" w:rsidRDefault="00875D12" w:rsidP="00AE1B0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proofErr w:type="spellStart"/>
            <w:r>
              <w:rPr>
                <w:rFonts w:cs="Arial"/>
                <w:i/>
                <w:szCs w:val="20"/>
                <w:highlight w:val="lightGray"/>
              </w:rPr>
              <w:t>delegierten</w:t>
            </w:r>
            <w:proofErr w:type="spellEnd"/>
            <w:r>
              <w:rPr>
                <w:rFonts w:cs="Arial"/>
                <w:i/>
                <w:szCs w:val="20"/>
                <w:highlight w:val="lightGray"/>
              </w:rPr>
              <w:t xml:space="preserve"> Tätigkeiten regelmässig angemessen überwacht werden</w:t>
            </w:r>
            <w:r w:rsidR="005C1E01">
              <w:rPr>
                <w:rFonts w:cs="Arial"/>
                <w:i/>
                <w:szCs w:val="20"/>
                <w:highlight w:val="lightGray"/>
              </w:rPr>
              <w:t xml:space="preserve"> (inkl. Einhaltung der Auswahlkriterien)</w:t>
            </w:r>
            <w:r>
              <w:rPr>
                <w:rFonts w:cs="Arial"/>
                <w:i/>
                <w:szCs w:val="20"/>
                <w:highlight w:val="lightGray"/>
              </w:rPr>
              <w:t xml:space="preserve"> </w:t>
            </w:r>
            <w:r w:rsidR="0011214F">
              <w:rPr>
                <w:rFonts w:cs="Arial"/>
                <w:i/>
                <w:szCs w:val="20"/>
                <w:highlight w:val="lightGray"/>
              </w:rPr>
              <w:t>und die Kontrolle</w:t>
            </w:r>
            <w:r w:rsidR="00DE60B7">
              <w:rPr>
                <w:rFonts w:cs="Arial"/>
                <w:i/>
                <w:szCs w:val="20"/>
                <w:highlight w:val="lightGray"/>
              </w:rPr>
              <w:t>n</w:t>
            </w:r>
            <w:r w:rsidR="0011214F">
              <w:rPr>
                <w:rFonts w:cs="Arial"/>
                <w:i/>
                <w:szCs w:val="20"/>
                <w:highlight w:val="lightGray"/>
              </w:rPr>
              <w:t xml:space="preserve"> nachvollziehbar dokumentiert werden</w:t>
            </w:r>
            <w:r w:rsidR="007C6440">
              <w:rPr>
                <w:rFonts w:cs="Arial"/>
                <w:i/>
                <w:szCs w:val="20"/>
                <w:highlight w:val="lightGray"/>
              </w:rPr>
              <w:t>.</w:t>
            </w:r>
            <w:r w:rsidR="00AD5299">
              <w:rPr>
                <w:rFonts w:cs="Arial"/>
                <w:i/>
                <w:szCs w:val="20"/>
                <w:highlight w:val="lightGray"/>
              </w:rPr>
              <w:t>*</w:t>
            </w:r>
          </w:p>
          <w:p w14:paraId="66D84B95" w14:textId="61862F2C" w:rsidR="009D5A33" w:rsidRPr="002678CC" w:rsidRDefault="009D5A33" w:rsidP="00883702">
            <w:pPr>
              <w:pStyle w:val="Listenabsatz"/>
              <w:ind w:left="317"/>
              <w:jc w:val="both"/>
              <w:rPr>
                <w:rFonts w:cs="Arial"/>
                <w:i/>
                <w:szCs w:val="20"/>
                <w:highlight w:val="lightGray"/>
              </w:rPr>
            </w:pPr>
          </w:p>
        </w:tc>
      </w:tr>
    </w:tbl>
    <w:p w14:paraId="20B26CD4" w14:textId="77777777" w:rsidR="00667CFA" w:rsidRDefault="00667CFA" w:rsidP="00AD5299">
      <w:pPr>
        <w:jc w:val="both"/>
        <w:rPr>
          <w:i/>
          <w:highlight w:val="lightGray"/>
        </w:rPr>
      </w:pPr>
    </w:p>
    <w:p w14:paraId="27F73CA8" w14:textId="61B2BABA" w:rsidR="00AD5299" w:rsidRPr="00B42A2D" w:rsidRDefault="00AD5299" w:rsidP="00AD5299">
      <w:pPr>
        <w:jc w:val="both"/>
        <w:rPr>
          <w:i/>
        </w:rPr>
      </w:pPr>
      <w:r w:rsidRPr="00B42A2D">
        <w:rPr>
          <w:i/>
          <w:highlight w:val="lightGray"/>
        </w:rPr>
        <w:t>*</w:t>
      </w:r>
      <w:r w:rsidRPr="00B42A2D">
        <w:rPr>
          <w:rFonts w:ascii="Arial" w:hAnsi="Arial" w:cs="Arial"/>
          <w:i/>
          <w:sz w:val="18"/>
          <w:szCs w:val="18"/>
          <w:highlight w:val="lightGray"/>
        </w:rPr>
        <w:t xml:space="preserve"> Die kennzeichneten Prüfbestätigungen sind anzugeben, sofern es sich bei der Verwahrstelle nicht um eine inländische Bank oder Wertpapierfirma nach </w:t>
      </w:r>
      <w:proofErr w:type="spellStart"/>
      <w:r w:rsidRPr="00B42A2D">
        <w:rPr>
          <w:rFonts w:ascii="Arial" w:hAnsi="Arial" w:cs="Arial"/>
          <w:i/>
          <w:sz w:val="18"/>
          <w:szCs w:val="18"/>
          <w:highlight w:val="lightGray"/>
        </w:rPr>
        <w:t>BankG</w:t>
      </w:r>
      <w:proofErr w:type="spellEnd"/>
      <w:r w:rsidRPr="00B42A2D">
        <w:rPr>
          <w:rFonts w:ascii="Arial" w:hAnsi="Arial" w:cs="Arial"/>
          <w:i/>
          <w:sz w:val="18"/>
          <w:szCs w:val="18"/>
          <w:highlight w:val="lightGray"/>
        </w:rPr>
        <w:t xml:space="preserve"> handelt. Ansonsten kann auf den Bericht über die Aufsichtsprüfung für Banken/Wertpapierfirmen verwiesen werden.</w:t>
      </w:r>
    </w:p>
    <w:p w14:paraId="529A6D25" w14:textId="77777777" w:rsidR="009D5A33" w:rsidRDefault="009D5A33" w:rsidP="00AE1B03">
      <w:pPr>
        <w:jc w:val="both"/>
        <w:rPr>
          <w:rFonts w:ascii="Arial" w:hAnsi="Arial" w:cs="Arial"/>
          <w:i/>
          <w:sz w:val="20"/>
          <w:szCs w:val="20"/>
          <w:highlight w:val="yellow"/>
        </w:rPr>
      </w:pPr>
    </w:p>
    <w:p w14:paraId="5549C048" w14:textId="631FB61D" w:rsidR="00AE1B03" w:rsidRPr="00276C60" w:rsidRDefault="00AE1B03" w:rsidP="00AE1B03">
      <w:pPr>
        <w:jc w:val="both"/>
        <w:rPr>
          <w:rFonts w:ascii="Arial" w:hAnsi="Arial" w:cs="Arial"/>
          <w:i/>
          <w:sz w:val="20"/>
          <w:szCs w:val="20"/>
        </w:rPr>
      </w:pPr>
      <w:r w:rsidRPr="00276C60">
        <w:rPr>
          <w:rFonts w:ascii="Arial" w:hAnsi="Arial" w:cs="Arial"/>
          <w:i/>
          <w:sz w:val="20"/>
          <w:szCs w:val="20"/>
          <w:highlight w:val="yellow"/>
        </w:rPr>
        <w:t>Text</w:t>
      </w:r>
    </w:p>
    <w:p w14:paraId="65C5E031" w14:textId="687178AB" w:rsidR="00AF6815" w:rsidRDefault="00AF6815" w:rsidP="008C30D1">
      <w:pPr>
        <w:jc w:val="both"/>
      </w:pPr>
    </w:p>
    <w:p w14:paraId="5B68C94B" w14:textId="77777777" w:rsidR="006976C2" w:rsidRDefault="006976C2" w:rsidP="006976C2">
      <w:pPr>
        <w:jc w:val="both"/>
      </w:pPr>
    </w:p>
    <w:p w14:paraId="5DFF3855" w14:textId="5B838400" w:rsidR="006976C2" w:rsidRPr="009867F8" w:rsidRDefault="006976C2" w:rsidP="006976C2">
      <w:pPr>
        <w:pStyle w:val="FINMAGliederungEbene3"/>
      </w:pPr>
      <w:bookmarkStart w:id="20" w:name="_Toc185241473"/>
      <w:r>
        <w:t>Pflichten hinsichtlich der Ausführung von Anweisungen</w:t>
      </w:r>
      <w:r w:rsidRPr="009867F8">
        <w:t xml:space="preserve"> (GOV-</w:t>
      </w:r>
      <w:r w:rsidR="006E2741">
        <w:t>5</w:t>
      </w:r>
      <w:r w:rsidRPr="009867F8">
        <w:t>)</w:t>
      </w:r>
      <w:bookmarkEnd w:id="20"/>
    </w:p>
    <w:p w14:paraId="2320F8E9" w14:textId="77777777" w:rsidR="006976C2" w:rsidRDefault="006976C2" w:rsidP="006976C2">
      <w:pPr>
        <w:jc w:val="both"/>
      </w:pPr>
    </w:p>
    <w:tbl>
      <w:tblPr>
        <w:tblStyle w:val="Tabellenraster"/>
        <w:tblW w:w="0" w:type="auto"/>
        <w:tblLook w:val="04A0" w:firstRow="1" w:lastRow="0" w:firstColumn="1" w:lastColumn="0" w:noHBand="0" w:noVBand="1"/>
      </w:tblPr>
      <w:tblGrid>
        <w:gridCol w:w="1932"/>
        <w:gridCol w:w="2145"/>
        <w:gridCol w:w="1721"/>
        <w:gridCol w:w="3382"/>
      </w:tblGrid>
      <w:tr w:rsidR="006976C2" w:rsidRPr="009872F3" w14:paraId="06B5A51B" w14:textId="77777777" w:rsidTr="00D701D6">
        <w:trPr>
          <w:trHeight w:val="563"/>
        </w:trPr>
        <w:tc>
          <w:tcPr>
            <w:tcW w:w="1932" w:type="dxa"/>
          </w:tcPr>
          <w:p w14:paraId="42F9C8ED"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Nettorisiko</w:t>
            </w:r>
          </w:p>
        </w:tc>
        <w:tc>
          <w:tcPr>
            <w:tcW w:w="2145" w:type="dxa"/>
          </w:tcPr>
          <w:p w14:paraId="039E147A"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28440C5"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976C2" w:rsidRPr="009872F3" w14:paraId="085A6E6A" w14:textId="77777777" w:rsidTr="00D701D6">
        <w:trPr>
          <w:trHeight w:val="698"/>
        </w:trPr>
        <w:tc>
          <w:tcPr>
            <w:tcW w:w="1932" w:type="dxa"/>
          </w:tcPr>
          <w:p w14:paraId="018BA0A1" w14:textId="77777777" w:rsidR="006976C2" w:rsidRPr="006749F0" w:rsidRDefault="006976C2" w:rsidP="00D701D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649DED38" w14:textId="77777777" w:rsidR="006976C2" w:rsidRPr="006749F0" w:rsidRDefault="006976C2" w:rsidP="00D701D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A2680C" w14:textId="77777777" w:rsidR="006976C2" w:rsidRPr="009872F3" w:rsidRDefault="006976C2" w:rsidP="00D701D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67E461E" w14:textId="77777777" w:rsidR="006976C2" w:rsidRDefault="006976C2" w:rsidP="00D701D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5549164" w14:textId="77777777" w:rsidR="006976C2" w:rsidRPr="006749F0" w:rsidRDefault="006976C2" w:rsidP="00D701D6">
            <w:pPr>
              <w:jc w:val="both"/>
              <w:rPr>
                <w:rFonts w:ascii="Arial" w:hAnsi="Arial" w:cs="Arial"/>
                <w:i/>
                <w:sz w:val="18"/>
                <w:szCs w:val="18"/>
              </w:rPr>
            </w:pPr>
            <w:r w:rsidRPr="006749F0">
              <w:rPr>
                <w:rFonts w:ascii="Arial" w:hAnsi="Arial" w:cs="Arial"/>
                <w:i/>
                <w:sz w:val="18"/>
                <w:szCs w:val="18"/>
                <w:highlight w:val="yellow"/>
              </w:rPr>
              <w:t>Jahr</w:t>
            </w:r>
          </w:p>
        </w:tc>
      </w:tr>
      <w:tr w:rsidR="006976C2" w:rsidRPr="00BF4D86" w14:paraId="33D6A898" w14:textId="77777777" w:rsidTr="00D701D6">
        <w:trPr>
          <w:trHeight w:val="636"/>
        </w:trPr>
        <w:tc>
          <w:tcPr>
            <w:tcW w:w="9180" w:type="dxa"/>
            <w:gridSpan w:val="4"/>
          </w:tcPr>
          <w:p w14:paraId="104A9E1F" w14:textId="77777777" w:rsidR="006976C2" w:rsidRDefault="006976C2" w:rsidP="00D701D6">
            <w:pPr>
              <w:jc w:val="both"/>
              <w:rPr>
                <w:rFonts w:ascii="Arial" w:hAnsi="Arial" w:cs="Arial"/>
                <w:sz w:val="18"/>
                <w:szCs w:val="18"/>
              </w:rPr>
            </w:pPr>
          </w:p>
          <w:p w14:paraId="19A0B4ED" w14:textId="77777777" w:rsidR="006976C2" w:rsidRPr="00F60909" w:rsidRDefault="006976C2" w:rsidP="00D701D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5499B46" w14:textId="45FC1738" w:rsidR="006976C2" w:rsidRPr="00BF4D86" w:rsidRDefault="006976C2" w:rsidP="00D701D6">
            <w:pPr>
              <w:jc w:val="both"/>
              <w:rPr>
                <w:rFonts w:ascii="Arial" w:hAnsi="Arial" w:cs="Arial"/>
                <w:sz w:val="18"/>
                <w:szCs w:val="18"/>
              </w:rPr>
            </w:pPr>
            <w:r>
              <w:rPr>
                <w:rFonts w:ascii="Arial" w:hAnsi="Arial" w:cs="Arial"/>
                <w:sz w:val="18"/>
                <w:szCs w:val="18"/>
                <w:highlight w:val="yellow"/>
              </w:rPr>
              <w:t xml:space="preserve">Art. 43 Abs. 4 IUG; Art. 33 Abs. 2 UCITSG; </w:t>
            </w:r>
            <w:r w:rsidRPr="009644F4">
              <w:rPr>
                <w:rFonts w:ascii="Arial" w:hAnsi="Arial" w:cs="Arial"/>
                <w:sz w:val="18"/>
                <w:szCs w:val="18"/>
                <w:highlight w:val="yellow"/>
              </w:rPr>
              <w:t xml:space="preserve">Art. </w:t>
            </w:r>
            <w:r>
              <w:rPr>
                <w:rFonts w:ascii="Arial" w:hAnsi="Arial" w:cs="Arial"/>
                <w:sz w:val="18"/>
                <w:szCs w:val="18"/>
                <w:highlight w:val="yellow"/>
              </w:rPr>
              <w:t xml:space="preserve">59 Abs. 2 Bst. c AIFMG; </w:t>
            </w:r>
            <w:proofErr w:type="spellStart"/>
            <w:r>
              <w:rPr>
                <w:rFonts w:ascii="Arial" w:hAnsi="Arial" w:cs="Arial"/>
                <w:sz w:val="18"/>
                <w:szCs w:val="18"/>
                <w:highlight w:val="yellow"/>
              </w:rPr>
              <w:t>DelVO</w:t>
            </w:r>
            <w:proofErr w:type="spellEnd"/>
            <w:r>
              <w:rPr>
                <w:rFonts w:ascii="Arial" w:hAnsi="Arial" w:cs="Arial"/>
                <w:sz w:val="18"/>
                <w:szCs w:val="18"/>
                <w:highlight w:val="yellow"/>
              </w:rPr>
              <w:t xml:space="preserve"> (EU) Nr. 2016/438 Art. 6; FMA-Mitteilung 2016/1</w:t>
            </w:r>
          </w:p>
        </w:tc>
      </w:tr>
      <w:tr w:rsidR="006976C2" w:rsidRPr="00BF4D86" w14:paraId="431FDCA9" w14:textId="77777777" w:rsidTr="00D701D6">
        <w:trPr>
          <w:trHeight w:val="294"/>
        </w:trPr>
        <w:tc>
          <w:tcPr>
            <w:tcW w:w="9180" w:type="dxa"/>
            <w:gridSpan w:val="4"/>
          </w:tcPr>
          <w:p w14:paraId="4D0E92BB" w14:textId="77777777" w:rsidR="006976C2" w:rsidRPr="00BF4D86" w:rsidRDefault="006976C2" w:rsidP="00D701D6">
            <w:pPr>
              <w:jc w:val="both"/>
              <w:rPr>
                <w:rFonts w:ascii="Arial" w:hAnsi="Arial" w:cs="Arial"/>
                <w:sz w:val="18"/>
                <w:szCs w:val="18"/>
              </w:rPr>
            </w:pPr>
          </w:p>
        </w:tc>
      </w:tr>
      <w:tr w:rsidR="006976C2" w:rsidRPr="009872F3" w14:paraId="4976A8FC" w14:textId="77777777" w:rsidTr="00D701D6">
        <w:tc>
          <w:tcPr>
            <w:tcW w:w="5798" w:type="dxa"/>
            <w:gridSpan w:val="3"/>
          </w:tcPr>
          <w:p w14:paraId="3861193C" w14:textId="3F5462AD" w:rsidR="006976C2" w:rsidRPr="001F6678" w:rsidRDefault="006976C2" w:rsidP="00D701D6">
            <w:pPr>
              <w:jc w:val="both"/>
              <w:rPr>
                <w:rFonts w:ascii="Arial" w:hAnsi="Arial" w:cs="Arial"/>
                <w:sz w:val="18"/>
                <w:szCs w:val="18"/>
              </w:rPr>
            </w:pPr>
            <w:r w:rsidRPr="001F6678">
              <w:rPr>
                <w:rFonts w:ascii="Arial" w:hAnsi="Arial" w:cs="Arial"/>
                <w:sz w:val="18"/>
                <w:szCs w:val="18"/>
              </w:rPr>
              <w:t>Bestätigung, dass</w:t>
            </w:r>
            <w:r w:rsidR="00FE7C0B">
              <w:rPr>
                <w:rFonts w:ascii="Arial" w:hAnsi="Arial" w:cs="Arial"/>
                <w:sz w:val="18"/>
                <w:szCs w:val="18"/>
              </w:rPr>
              <w:t xml:space="preserve"> die internen Verfahren sicherstellen, dass </w:t>
            </w:r>
            <w:r w:rsidR="000A53E5">
              <w:rPr>
                <w:rFonts w:ascii="Arial" w:hAnsi="Arial" w:cs="Arial"/>
                <w:sz w:val="18"/>
                <w:szCs w:val="18"/>
              </w:rPr>
              <w:t xml:space="preserve">vor der Ausübung von </w:t>
            </w:r>
            <w:r w:rsidR="00FE7C0B">
              <w:rPr>
                <w:rFonts w:ascii="Arial" w:hAnsi="Arial" w:cs="Arial"/>
                <w:sz w:val="18"/>
                <w:szCs w:val="18"/>
              </w:rPr>
              <w:t>Weisungen der Verwaltungsgesellschaft/AIFM eine Rechtsmässigkeitskontrolle durchgeführt und dokumentiert wird und im Falle einer Detailprüfung effektiv angewandt wird</w:t>
            </w:r>
            <w:r>
              <w:rPr>
                <w:rFonts w:ascii="Arial" w:hAnsi="Arial" w:cs="Arial"/>
                <w:sz w:val="18"/>
                <w:szCs w:val="18"/>
              </w:rPr>
              <w:t xml:space="preserve"> </w:t>
            </w:r>
          </w:p>
        </w:tc>
        <w:tc>
          <w:tcPr>
            <w:tcW w:w="3382" w:type="dxa"/>
          </w:tcPr>
          <w:p w14:paraId="0011E479" w14:textId="77777777" w:rsidR="006976C2" w:rsidRPr="00E109DF" w:rsidRDefault="006976C2" w:rsidP="00D701D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976C2" w:rsidRPr="009872F3" w14:paraId="429B8A04" w14:textId="77777777" w:rsidTr="00D701D6">
        <w:tc>
          <w:tcPr>
            <w:tcW w:w="5798" w:type="dxa"/>
            <w:gridSpan w:val="3"/>
          </w:tcPr>
          <w:p w14:paraId="683D99C5" w14:textId="5C8CB97F" w:rsidR="00FE7C0B" w:rsidRPr="001F6678" w:rsidRDefault="006976C2" w:rsidP="00D701D6">
            <w:pPr>
              <w:jc w:val="both"/>
              <w:rPr>
                <w:rFonts w:ascii="Arial" w:hAnsi="Arial" w:cs="Arial"/>
                <w:sz w:val="18"/>
                <w:szCs w:val="18"/>
              </w:rPr>
            </w:pPr>
            <w:r>
              <w:rPr>
                <w:rFonts w:ascii="Arial" w:hAnsi="Arial" w:cs="Arial"/>
                <w:sz w:val="18"/>
                <w:szCs w:val="18"/>
              </w:rPr>
              <w:t xml:space="preserve">Bestätigung, dass </w:t>
            </w:r>
            <w:r w:rsidR="00745D7C">
              <w:rPr>
                <w:rFonts w:ascii="Arial" w:hAnsi="Arial" w:cs="Arial"/>
                <w:sz w:val="18"/>
                <w:szCs w:val="18"/>
              </w:rPr>
              <w:t xml:space="preserve">angemessene Eskalationsverfahren </w:t>
            </w:r>
            <w:r w:rsidR="00FE7C0B">
              <w:rPr>
                <w:rFonts w:ascii="Arial" w:hAnsi="Arial" w:cs="Arial"/>
                <w:sz w:val="18"/>
                <w:szCs w:val="18"/>
              </w:rPr>
              <w:t xml:space="preserve">bei Divergenz der Weisungen der Verwaltungsgesellschaft/AIFM zu den geltenden gesetzlichen Bestimmungen oder konstituierenden Dokumenten </w:t>
            </w:r>
            <w:r w:rsidR="00745D7C">
              <w:rPr>
                <w:rFonts w:ascii="Arial" w:hAnsi="Arial" w:cs="Arial"/>
                <w:sz w:val="18"/>
                <w:szCs w:val="18"/>
              </w:rPr>
              <w:t>bestehen und im Falle der Prüftiefe Detailprüfung effektiv angewandt wurde</w:t>
            </w:r>
          </w:p>
        </w:tc>
        <w:tc>
          <w:tcPr>
            <w:tcW w:w="3382" w:type="dxa"/>
          </w:tcPr>
          <w:p w14:paraId="1E411A52" w14:textId="77777777" w:rsidR="006976C2" w:rsidRPr="00E109DF" w:rsidRDefault="006976C2" w:rsidP="00D701D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65F14EA0" w14:textId="77777777" w:rsidTr="00D701D6">
        <w:tc>
          <w:tcPr>
            <w:tcW w:w="5798" w:type="dxa"/>
            <w:gridSpan w:val="3"/>
          </w:tcPr>
          <w:p w14:paraId="33897030" w14:textId="77777777" w:rsidR="00AB459F" w:rsidRDefault="00AB459F" w:rsidP="00A706E3">
            <w:pPr>
              <w:jc w:val="both"/>
              <w:rPr>
                <w:rFonts w:ascii="Arial" w:hAnsi="Arial" w:cs="Arial"/>
                <w:sz w:val="18"/>
                <w:szCs w:val="18"/>
              </w:rPr>
            </w:pPr>
          </w:p>
        </w:tc>
        <w:tc>
          <w:tcPr>
            <w:tcW w:w="3382" w:type="dxa"/>
          </w:tcPr>
          <w:p w14:paraId="3AA1A2DA" w14:textId="77777777" w:rsidR="00AB459F" w:rsidRPr="00E109DF" w:rsidRDefault="00AB459F" w:rsidP="00D701D6">
            <w:pPr>
              <w:jc w:val="both"/>
              <w:rPr>
                <w:rFonts w:ascii="Arial" w:hAnsi="Arial" w:cs="Arial"/>
                <w:i/>
                <w:sz w:val="18"/>
                <w:szCs w:val="18"/>
                <w:highlight w:val="yellow"/>
              </w:rPr>
            </w:pPr>
          </w:p>
        </w:tc>
      </w:tr>
      <w:tr w:rsidR="00AB459F" w:rsidRPr="009872F3" w14:paraId="5577F9B2" w14:textId="77777777" w:rsidTr="008034B7">
        <w:tc>
          <w:tcPr>
            <w:tcW w:w="9180" w:type="dxa"/>
            <w:gridSpan w:val="4"/>
          </w:tcPr>
          <w:p w14:paraId="6BABA869" w14:textId="77777777" w:rsidR="00AB459F" w:rsidRDefault="00AB459F" w:rsidP="008034B7">
            <w:pPr>
              <w:jc w:val="both"/>
              <w:rPr>
                <w:rFonts w:ascii="Arial" w:hAnsi="Arial" w:cs="Arial"/>
                <w:sz w:val="18"/>
                <w:szCs w:val="18"/>
              </w:rPr>
            </w:pPr>
            <w:r>
              <w:rPr>
                <w:rFonts w:ascii="Arial" w:hAnsi="Arial" w:cs="Arial"/>
                <w:sz w:val="18"/>
                <w:szCs w:val="18"/>
              </w:rPr>
              <w:lastRenderedPageBreak/>
              <w:t>Auflistung der durchgeführten Prüfungshandlungen:</w:t>
            </w:r>
          </w:p>
          <w:p w14:paraId="3368C5C6"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39536BF7" w14:textId="77777777" w:rsidR="006976C2" w:rsidRDefault="006976C2" w:rsidP="006976C2">
      <w:pPr>
        <w:jc w:val="both"/>
      </w:pPr>
    </w:p>
    <w:tbl>
      <w:tblPr>
        <w:tblStyle w:val="Tabellenraster"/>
        <w:tblW w:w="0" w:type="auto"/>
        <w:tblLook w:val="04A0" w:firstRow="1" w:lastRow="0" w:firstColumn="1" w:lastColumn="0" w:noHBand="0" w:noVBand="1"/>
      </w:tblPr>
      <w:tblGrid>
        <w:gridCol w:w="2660"/>
        <w:gridCol w:w="6520"/>
      </w:tblGrid>
      <w:tr w:rsidR="006976C2" w:rsidRPr="00CE3194" w14:paraId="629ED532" w14:textId="77777777" w:rsidTr="00D701D6">
        <w:tc>
          <w:tcPr>
            <w:tcW w:w="2660" w:type="dxa"/>
          </w:tcPr>
          <w:p w14:paraId="5061C243" w14:textId="77777777" w:rsidR="006976C2" w:rsidRPr="00CE3194" w:rsidRDefault="006976C2" w:rsidP="00D701D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16674E2" w14:textId="77777777" w:rsidR="006976C2" w:rsidRPr="00CE3194" w:rsidRDefault="006976C2" w:rsidP="00D701D6">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976C2" w:rsidRPr="00AD0DCA" w14:paraId="0588EB79" w14:textId="77777777" w:rsidTr="00D701D6">
        <w:tc>
          <w:tcPr>
            <w:tcW w:w="2660" w:type="dxa"/>
          </w:tcPr>
          <w:p w14:paraId="0265C9DE" w14:textId="52FB1951" w:rsidR="006976C2" w:rsidRPr="00AD0DCA" w:rsidRDefault="006976C2" w:rsidP="00D701D6">
            <w:pPr>
              <w:jc w:val="both"/>
              <w:rPr>
                <w:rFonts w:ascii="Arial" w:hAnsi="Arial" w:cs="Arial"/>
                <w:i/>
                <w:sz w:val="20"/>
                <w:szCs w:val="20"/>
                <w:highlight w:val="cyan"/>
              </w:rPr>
            </w:pPr>
            <w:r>
              <w:rPr>
                <w:rFonts w:ascii="Arial" w:hAnsi="Arial" w:cs="Arial"/>
                <w:i/>
                <w:sz w:val="20"/>
                <w:szCs w:val="20"/>
                <w:highlight w:val="lightGray"/>
              </w:rPr>
              <w:t>Pflichten hinsichtlich der Ausführung von Anweisungen</w:t>
            </w:r>
          </w:p>
        </w:tc>
        <w:tc>
          <w:tcPr>
            <w:tcW w:w="6520" w:type="dxa"/>
          </w:tcPr>
          <w:p w14:paraId="15FDEFF1" w14:textId="3DF04ED1" w:rsidR="006976C2" w:rsidRDefault="006976C2" w:rsidP="00D701D6">
            <w:pPr>
              <w:pStyle w:val="Listenabsatz"/>
              <w:numPr>
                <w:ilvl w:val="1"/>
                <w:numId w:val="17"/>
              </w:numPr>
              <w:ind w:left="317" w:hanging="283"/>
              <w:jc w:val="both"/>
              <w:rPr>
                <w:rFonts w:cs="Arial"/>
                <w:i/>
                <w:szCs w:val="20"/>
                <w:highlight w:val="lightGray"/>
              </w:rPr>
            </w:pPr>
            <w:r w:rsidRPr="00AE3FD3">
              <w:rPr>
                <w:rFonts w:cs="Arial"/>
                <w:i/>
                <w:szCs w:val="20"/>
                <w:highlight w:val="lightGray"/>
              </w:rPr>
              <w:t>Es besteh</w:t>
            </w:r>
            <w:r>
              <w:rPr>
                <w:rFonts w:cs="Arial"/>
                <w:i/>
                <w:szCs w:val="20"/>
                <w:highlight w:val="lightGray"/>
              </w:rPr>
              <w:t>en</w:t>
            </w:r>
            <w:r w:rsidRPr="00AE3FD3">
              <w:rPr>
                <w:rFonts w:cs="Arial"/>
                <w:i/>
                <w:szCs w:val="20"/>
                <w:highlight w:val="lightGray"/>
              </w:rPr>
              <w:t xml:space="preserve"> klare Verantwortlichkeiten und Kompetenzen</w:t>
            </w:r>
            <w:r w:rsidR="007C6440">
              <w:rPr>
                <w:rFonts w:cs="Arial"/>
                <w:i/>
                <w:szCs w:val="20"/>
                <w:highlight w:val="lightGray"/>
              </w:rPr>
              <w:t>.</w:t>
            </w:r>
          </w:p>
          <w:p w14:paraId="58600BDB" w14:textId="3E43315C" w:rsidR="006976C2" w:rsidRDefault="006976C2" w:rsidP="00D701D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bei Weisungen der Verwaltungsgesellschaft/AIFM vor Ausübung eine Rechtsmässigkeitskontrolle</w:t>
            </w:r>
            <w:r w:rsidR="00FE7C0B">
              <w:rPr>
                <w:rFonts w:cs="Arial"/>
                <w:i/>
                <w:szCs w:val="20"/>
                <w:highlight w:val="lightGray"/>
              </w:rPr>
              <w:t xml:space="preserve"> (u.a. durch Überwachung der Anlagebeschränkungen, Verschuldungsgrenzen)</w:t>
            </w:r>
            <w:r>
              <w:rPr>
                <w:rFonts w:cs="Arial"/>
                <w:i/>
                <w:szCs w:val="20"/>
                <w:highlight w:val="lightGray"/>
              </w:rPr>
              <w:t xml:space="preserve"> durchgeführt wird. </w:t>
            </w:r>
          </w:p>
          <w:p w14:paraId="19B24B72" w14:textId="756FA547" w:rsidR="00FE7C0B" w:rsidRDefault="006976C2" w:rsidP="006976C2">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besteht ein angemessenes Eskalationsverfahren, wenn die Weisungen der Verwaltungsgesellschaft/AIFM gegen die geltenden </w:t>
            </w:r>
            <w:r w:rsidR="00FE7C0B">
              <w:rPr>
                <w:rFonts w:cs="Arial"/>
                <w:i/>
                <w:szCs w:val="20"/>
                <w:highlight w:val="lightGray"/>
              </w:rPr>
              <w:t>gesetzlichen Bestimmungen oder konstituierenden Dokumente des Fonds verstossen</w:t>
            </w:r>
            <w:r w:rsidR="007C6440">
              <w:rPr>
                <w:rFonts w:cs="Arial"/>
                <w:i/>
                <w:szCs w:val="20"/>
                <w:highlight w:val="lightGray"/>
              </w:rPr>
              <w:t>.</w:t>
            </w:r>
          </w:p>
          <w:p w14:paraId="1958FA59" w14:textId="20B94146" w:rsidR="006976C2" w:rsidRPr="001D5AF1" w:rsidRDefault="006976C2" w:rsidP="00C27194">
            <w:pPr>
              <w:pStyle w:val="Listenabsatz"/>
              <w:ind w:left="317"/>
              <w:jc w:val="both"/>
              <w:rPr>
                <w:rFonts w:cs="Arial"/>
                <w:i/>
                <w:szCs w:val="20"/>
                <w:highlight w:val="lightGray"/>
              </w:rPr>
            </w:pPr>
          </w:p>
        </w:tc>
      </w:tr>
    </w:tbl>
    <w:p w14:paraId="1B57CCFF" w14:textId="77777777" w:rsidR="00883702" w:rsidRDefault="00883702" w:rsidP="006976C2">
      <w:pPr>
        <w:jc w:val="both"/>
        <w:rPr>
          <w:i/>
          <w:sz w:val="18"/>
          <w:szCs w:val="18"/>
          <w:highlight w:val="lightGray"/>
        </w:rPr>
      </w:pPr>
    </w:p>
    <w:p w14:paraId="70BE2AD7" w14:textId="70201F25" w:rsidR="006976C2" w:rsidRPr="00883702" w:rsidRDefault="006976C2" w:rsidP="006976C2">
      <w:pPr>
        <w:jc w:val="both"/>
        <w:rPr>
          <w:i/>
          <w:sz w:val="18"/>
          <w:szCs w:val="18"/>
          <w:highlight w:val="lightGray"/>
        </w:rPr>
      </w:pPr>
      <w:r w:rsidRPr="00883702">
        <w:rPr>
          <w:i/>
          <w:sz w:val="18"/>
          <w:szCs w:val="18"/>
          <w:highlight w:val="lightGray"/>
        </w:rPr>
        <w:t>*Sofern relevant, sind die Prüfergebnisse aus anderen Prüfgebieten zu</w:t>
      </w:r>
      <w:r w:rsidR="00A706E3" w:rsidRPr="00883702">
        <w:rPr>
          <w:i/>
          <w:sz w:val="18"/>
          <w:szCs w:val="18"/>
          <w:highlight w:val="lightGray"/>
        </w:rPr>
        <w:t xml:space="preserve"> </w:t>
      </w:r>
      <w:r w:rsidRPr="00883702">
        <w:rPr>
          <w:i/>
          <w:sz w:val="18"/>
          <w:szCs w:val="18"/>
          <w:highlight w:val="lightGray"/>
        </w:rPr>
        <w:t xml:space="preserve">berücksichtigen. </w:t>
      </w:r>
    </w:p>
    <w:p w14:paraId="4A7E688D" w14:textId="77777777" w:rsidR="006976C2" w:rsidRDefault="006976C2" w:rsidP="006976C2">
      <w:pPr>
        <w:jc w:val="both"/>
      </w:pPr>
    </w:p>
    <w:p w14:paraId="6E7DB92B" w14:textId="77777777" w:rsidR="006976C2" w:rsidRPr="00CB3EE6" w:rsidRDefault="006976C2" w:rsidP="006976C2">
      <w:pPr>
        <w:jc w:val="both"/>
        <w:rPr>
          <w:rFonts w:ascii="Arial" w:hAnsi="Arial" w:cs="Arial"/>
          <w:i/>
          <w:sz w:val="20"/>
          <w:szCs w:val="20"/>
        </w:rPr>
      </w:pPr>
      <w:r w:rsidRPr="00CB3EE6">
        <w:rPr>
          <w:rFonts w:ascii="Arial" w:hAnsi="Arial" w:cs="Arial"/>
          <w:i/>
          <w:sz w:val="20"/>
          <w:szCs w:val="20"/>
          <w:highlight w:val="yellow"/>
        </w:rPr>
        <w:t>Text</w:t>
      </w:r>
    </w:p>
    <w:p w14:paraId="26C8E231" w14:textId="039A3338" w:rsidR="006976C2" w:rsidRDefault="006976C2" w:rsidP="008C30D1">
      <w:pPr>
        <w:jc w:val="both"/>
      </w:pPr>
    </w:p>
    <w:p w14:paraId="4DAB8E69" w14:textId="77777777" w:rsidR="006976C2" w:rsidRDefault="006976C2" w:rsidP="008C30D1">
      <w:pPr>
        <w:jc w:val="both"/>
      </w:pPr>
    </w:p>
    <w:p w14:paraId="7336B2D5" w14:textId="255F8CE4" w:rsidR="008C30D1" w:rsidRDefault="00CB0BB0" w:rsidP="006F7AB5">
      <w:pPr>
        <w:pStyle w:val="FINMAGliederungEbene2"/>
      </w:pPr>
      <w:bookmarkStart w:id="21" w:name="_Toc185241474"/>
      <w:r>
        <w:t>Besondere Aufgaben</w:t>
      </w:r>
      <w:r w:rsidR="00115C45">
        <w:t xml:space="preserve"> </w:t>
      </w:r>
      <w:r w:rsidR="0003063F">
        <w:t>(</w:t>
      </w:r>
      <w:r>
        <w:t>BA</w:t>
      </w:r>
      <w:r w:rsidR="0003063F">
        <w:t>)</w:t>
      </w:r>
      <w:bookmarkEnd w:id="21"/>
    </w:p>
    <w:p w14:paraId="147778F6" w14:textId="5DACBF53" w:rsidR="004D4B39" w:rsidRDefault="004D4B39" w:rsidP="00CB3EE6">
      <w:pPr>
        <w:jc w:val="both"/>
      </w:pPr>
    </w:p>
    <w:p w14:paraId="02C6D932" w14:textId="4C520A8C" w:rsidR="00CB0BB0" w:rsidRPr="00CB0BB0" w:rsidRDefault="00CB0BB0" w:rsidP="00CB0BB0">
      <w:pPr>
        <w:pStyle w:val="FINMAGliederungEbene3"/>
      </w:pPr>
      <w:bookmarkStart w:id="22" w:name="_Toc185241475"/>
      <w:r w:rsidRPr="00CB0BB0">
        <w:t>Auf</w:t>
      </w:r>
      <w:r>
        <w:t>bewahrung des Vermögens der kollektiven Kapitalanlagen sowie Verwahrung der Sicherheiten</w:t>
      </w:r>
      <w:r w:rsidRPr="00CB0BB0">
        <w:t xml:space="preserve"> (BA-1)</w:t>
      </w:r>
      <w:bookmarkEnd w:id="22"/>
    </w:p>
    <w:p w14:paraId="2187103C"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22544377" w14:textId="77777777" w:rsidTr="00D9403D">
        <w:trPr>
          <w:trHeight w:val="563"/>
        </w:trPr>
        <w:tc>
          <w:tcPr>
            <w:tcW w:w="1932" w:type="dxa"/>
          </w:tcPr>
          <w:p w14:paraId="55869112"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26783DD7"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DE91840"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194F34D8" w14:textId="77777777" w:rsidTr="00D9403D">
        <w:trPr>
          <w:trHeight w:val="698"/>
        </w:trPr>
        <w:tc>
          <w:tcPr>
            <w:tcW w:w="1932" w:type="dxa"/>
          </w:tcPr>
          <w:p w14:paraId="15ACFB95"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283C4451"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B15B251"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A668D90"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B51B9BC"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D9403D" w14:paraId="3BE80047" w14:textId="77777777" w:rsidTr="00D9403D">
        <w:trPr>
          <w:trHeight w:val="636"/>
        </w:trPr>
        <w:tc>
          <w:tcPr>
            <w:tcW w:w="9180" w:type="dxa"/>
            <w:gridSpan w:val="4"/>
          </w:tcPr>
          <w:p w14:paraId="0EAB0A41" w14:textId="77777777" w:rsidR="00CB0BB0" w:rsidRDefault="00CB0BB0" w:rsidP="00D9403D">
            <w:pPr>
              <w:jc w:val="both"/>
              <w:rPr>
                <w:rFonts w:ascii="Arial" w:hAnsi="Arial" w:cs="Arial"/>
                <w:sz w:val="18"/>
                <w:szCs w:val="18"/>
              </w:rPr>
            </w:pPr>
          </w:p>
          <w:p w14:paraId="52B5138A"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CCF4DB2" w14:textId="0867A551" w:rsidR="000F6A5C" w:rsidRDefault="00CB0BB0" w:rsidP="00D9403D">
            <w:pPr>
              <w:jc w:val="both"/>
              <w:rPr>
                <w:rFonts w:ascii="Arial" w:hAnsi="Arial" w:cs="Arial"/>
                <w:sz w:val="18"/>
                <w:szCs w:val="18"/>
                <w:highlight w:val="yellow"/>
              </w:rPr>
            </w:pPr>
            <w:r w:rsidRPr="00D9403D">
              <w:rPr>
                <w:rFonts w:ascii="Arial" w:hAnsi="Arial" w:cs="Arial"/>
                <w:sz w:val="18"/>
                <w:szCs w:val="18"/>
                <w:highlight w:val="yellow"/>
              </w:rPr>
              <w:t xml:space="preserve">Art. </w:t>
            </w:r>
            <w:r w:rsidR="00D9403D" w:rsidRPr="00D9403D">
              <w:rPr>
                <w:rFonts w:ascii="Arial" w:hAnsi="Arial" w:cs="Arial"/>
                <w:sz w:val="18"/>
                <w:szCs w:val="18"/>
                <w:highlight w:val="yellow"/>
              </w:rPr>
              <w:t>43 Abs. 1 IUG, Art. 33 Abs. 3 f</w:t>
            </w:r>
            <w:r w:rsidR="007679BB">
              <w:rPr>
                <w:rFonts w:ascii="Arial" w:hAnsi="Arial" w:cs="Arial"/>
                <w:sz w:val="18"/>
                <w:szCs w:val="18"/>
                <w:highlight w:val="yellow"/>
              </w:rPr>
              <w:t>f</w:t>
            </w:r>
            <w:r w:rsidR="00D9403D" w:rsidRPr="00D9403D">
              <w:rPr>
                <w:rFonts w:ascii="Arial" w:hAnsi="Arial" w:cs="Arial"/>
                <w:sz w:val="18"/>
                <w:szCs w:val="18"/>
                <w:highlight w:val="yellow"/>
              </w:rPr>
              <w:t xml:space="preserve"> UCITSG, </w:t>
            </w:r>
            <w:r w:rsidR="000F6A5C">
              <w:rPr>
                <w:rFonts w:ascii="Arial" w:hAnsi="Arial" w:cs="Arial"/>
                <w:sz w:val="18"/>
                <w:szCs w:val="18"/>
                <w:highlight w:val="yellow"/>
              </w:rPr>
              <w:t xml:space="preserve">Art. 61 UCITSV, </w:t>
            </w:r>
            <w:r w:rsidR="00D9403D" w:rsidRPr="00D9403D">
              <w:rPr>
                <w:rFonts w:ascii="Arial" w:hAnsi="Arial" w:cs="Arial"/>
                <w:sz w:val="18"/>
                <w:szCs w:val="18"/>
                <w:highlight w:val="yellow"/>
              </w:rPr>
              <w:t xml:space="preserve">Art. 59 Abs. 1 </w:t>
            </w:r>
            <w:r w:rsidR="0020260B">
              <w:rPr>
                <w:rFonts w:ascii="Arial" w:hAnsi="Arial" w:cs="Arial"/>
                <w:sz w:val="18"/>
                <w:szCs w:val="18"/>
                <w:highlight w:val="yellow"/>
              </w:rPr>
              <w:t xml:space="preserve">f </w:t>
            </w:r>
            <w:r w:rsidR="00D9403D" w:rsidRPr="00D9403D">
              <w:rPr>
                <w:rFonts w:ascii="Arial" w:hAnsi="Arial" w:cs="Arial"/>
                <w:sz w:val="18"/>
                <w:szCs w:val="18"/>
                <w:highlight w:val="yellow"/>
              </w:rPr>
              <w:t xml:space="preserve">AIFMG, </w:t>
            </w:r>
          </w:p>
          <w:p w14:paraId="07BB6A41" w14:textId="46BD48BF" w:rsidR="00CB0BB0" w:rsidRPr="00D9403D" w:rsidRDefault="00D9403D" w:rsidP="00D9403D">
            <w:pPr>
              <w:jc w:val="both"/>
              <w:rPr>
                <w:rFonts w:ascii="Arial" w:hAnsi="Arial" w:cs="Arial"/>
                <w:sz w:val="18"/>
                <w:szCs w:val="18"/>
              </w:rPr>
            </w:pPr>
            <w:proofErr w:type="spellStart"/>
            <w:r w:rsidRPr="00D9403D">
              <w:rPr>
                <w:rFonts w:ascii="Arial" w:hAnsi="Arial" w:cs="Arial"/>
                <w:sz w:val="18"/>
                <w:szCs w:val="18"/>
                <w:highlight w:val="yellow"/>
              </w:rPr>
              <w:t>DelVO</w:t>
            </w:r>
            <w:proofErr w:type="spellEnd"/>
            <w:r w:rsidRPr="00D9403D">
              <w:rPr>
                <w:rFonts w:ascii="Arial" w:hAnsi="Arial" w:cs="Arial"/>
                <w:sz w:val="18"/>
                <w:szCs w:val="18"/>
                <w:highlight w:val="yellow"/>
              </w:rPr>
              <w:t xml:space="preserve"> (EU) Nr. 2016/438</w:t>
            </w:r>
            <w:r w:rsidR="000F6A5C">
              <w:rPr>
                <w:rFonts w:ascii="Arial" w:hAnsi="Arial" w:cs="Arial"/>
                <w:sz w:val="18"/>
                <w:szCs w:val="18"/>
                <w:highlight w:val="yellow"/>
              </w:rPr>
              <w:t xml:space="preserve"> Art. 13 f</w:t>
            </w:r>
            <w:r w:rsidR="007679BB">
              <w:rPr>
                <w:rFonts w:ascii="Arial" w:hAnsi="Arial" w:cs="Arial"/>
                <w:sz w:val="18"/>
                <w:szCs w:val="18"/>
                <w:highlight w:val="yellow"/>
              </w:rPr>
              <w:t>f</w:t>
            </w:r>
            <w:r w:rsidR="000F6A5C">
              <w:rPr>
                <w:rFonts w:ascii="Arial" w:hAnsi="Arial" w:cs="Arial"/>
                <w:sz w:val="18"/>
                <w:szCs w:val="18"/>
                <w:highlight w:val="yellow"/>
              </w:rPr>
              <w:t xml:space="preserve">, </w:t>
            </w:r>
            <w:proofErr w:type="spellStart"/>
            <w:r w:rsidR="000F6A5C">
              <w:rPr>
                <w:rFonts w:ascii="Arial" w:hAnsi="Arial" w:cs="Arial"/>
                <w:sz w:val="18"/>
                <w:szCs w:val="18"/>
                <w:highlight w:val="yellow"/>
              </w:rPr>
              <w:t>DelVO</w:t>
            </w:r>
            <w:proofErr w:type="spellEnd"/>
            <w:r w:rsidR="000F6A5C">
              <w:rPr>
                <w:rFonts w:ascii="Arial" w:hAnsi="Arial" w:cs="Arial"/>
                <w:sz w:val="18"/>
                <w:szCs w:val="18"/>
                <w:highlight w:val="yellow"/>
              </w:rPr>
              <w:t xml:space="preserve"> (EU) Nr. 231/2013 Art. 89</w:t>
            </w:r>
            <w:r w:rsidR="00A63186">
              <w:rPr>
                <w:rFonts w:ascii="Arial" w:hAnsi="Arial" w:cs="Arial"/>
                <w:sz w:val="18"/>
                <w:szCs w:val="18"/>
                <w:highlight w:val="yellow"/>
              </w:rPr>
              <w:t>-90;</w:t>
            </w:r>
            <w:r w:rsidR="000F6A5C">
              <w:rPr>
                <w:rFonts w:ascii="Arial" w:hAnsi="Arial" w:cs="Arial"/>
                <w:sz w:val="18"/>
                <w:szCs w:val="18"/>
                <w:highlight w:val="yellow"/>
              </w:rPr>
              <w:t xml:space="preserve"> </w:t>
            </w:r>
            <w:r w:rsidR="00E91E4E">
              <w:rPr>
                <w:rFonts w:ascii="Arial" w:hAnsi="Arial" w:cs="Arial"/>
                <w:sz w:val="18"/>
                <w:szCs w:val="18"/>
                <w:highlight w:val="yellow"/>
              </w:rPr>
              <w:t>FMA-Mitteilung 2016/1</w:t>
            </w:r>
            <w:r w:rsidR="001B5960">
              <w:rPr>
                <w:rFonts w:ascii="Arial" w:hAnsi="Arial" w:cs="Arial"/>
                <w:sz w:val="18"/>
                <w:szCs w:val="18"/>
                <w:highlight w:val="yellow"/>
              </w:rPr>
              <w:t xml:space="preserve">; </w:t>
            </w:r>
            <w:r w:rsidR="00054C52">
              <w:rPr>
                <w:rFonts w:ascii="Arial" w:hAnsi="Arial" w:cs="Arial"/>
                <w:sz w:val="18"/>
                <w:szCs w:val="18"/>
                <w:highlight w:val="yellow"/>
              </w:rPr>
              <w:t>FMA-Mitteilung 2018/1</w:t>
            </w:r>
          </w:p>
        </w:tc>
      </w:tr>
      <w:tr w:rsidR="00CB0BB0" w:rsidRPr="00D9403D" w14:paraId="3EFC31B1" w14:textId="77777777" w:rsidTr="00D9403D">
        <w:trPr>
          <w:trHeight w:val="294"/>
        </w:trPr>
        <w:tc>
          <w:tcPr>
            <w:tcW w:w="9180" w:type="dxa"/>
            <w:gridSpan w:val="4"/>
          </w:tcPr>
          <w:p w14:paraId="4E5F7444" w14:textId="77777777" w:rsidR="00CB0BB0" w:rsidRPr="00D9403D" w:rsidRDefault="00CB0BB0" w:rsidP="00D9403D">
            <w:pPr>
              <w:jc w:val="both"/>
              <w:rPr>
                <w:rFonts w:ascii="Arial" w:hAnsi="Arial" w:cs="Arial"/>
                <w:sz w:val="18"/>
                <w:szCs w:val="18"/>
              </w:rPr>
            </w:pPr>
          </w:p>
        </w:tc>
      </w:tr>
      <w:tr w:rsidR="00CB0BB0" w:rsidRPr="009872F3" w14:paraId="008CE4E9" w14:textId="77777777" w:rsidTr="00D9403D">
        <w:tc>
          <w:tcPr>
            <w:tcW w:w="5798" w:type="dxa"/>
            <w:gridSpan w:val="3"/>
          </w:tcPr>
          <w:p w14:paraId="6C0B16BC" w14:textId="1DB52BBC" w:rsidR="00CB0BB0" w:rsidRPr="006F1501" w:rsidRDefault="00CB0BB0" w:rsidP="00D9403D">
            <w:pPr>
              <w:jc w:val="both"/>
              <w:rPr>
                <w:rFonts w:ascii="Arial" w:hAnsi="Arial" w:cs="Arial"/>
                <w:sz w:val="18"/>
                <w:szCs w:val="18"/>
              </w:rPr>
            </w:pPr>
            <w:r w:rsidRPr="006F1501">
              <w:rPr>
                <w:rFonts w:ascii="Arial" w:hAnsi="Arial" w:cs="Arial"/>
                <w:sz w:val="18"/>
                <w:szCs w:val="18"/>
              </w:rPr>
              <w:t xml:space="preserve">Bestätigung, dass angemessene interne Verfahren zur </w:t>
            </w:r>
            <w:r w:rsidR="006F1501" w:rsidRPr="006F1501">
              <w:rPr>
                <w:rFonts w:ascii="Arial" w:hAnsi="Arial" w:cs="Arial"/>
                <w:sz w:val="18"/>
                <w:szCs w:val="18"/>
              </w:rPr>
              <w:t xml:space="preserve">ordnungsgemässen </w:t>
            </w:r>
            <w:r w:rsidR="004B4B57">
              <w:rPr>
                <w:rFonts w:ascii="Arial" w:hAnsi="Arial" w:cs="Arial"/>
                <w:sz w:val="18"/>
                <w:szCs w:val="18"/>
              </w:rPr>
              <w:t xml:space="preserve">vollständigen </w:t>
            </w:r>
            <w:r w:rsidR="00E91FAD">
              <w:rPr>
                <w:rFonts w:ascii="Arial" w:hAnsi="Arial" w:cs="Arial"/>
                <w:sz w:val="18"/>
                <w:szCs w:val="18"/>
              </w:rPr>
              <w:t>Identifikation</w:t>
            </w:r>
            <w:r w:rsidR="008D0AE3">
              <w:rPr>
                <w:rFonts w:ascii="Arial" w:hAnsi="Arial" w:cs="Arial"/>
                <w:sz w:val="18"/>
                <w:szCs w:val="18"/>
              </w:rPr>
              <w:t>, Buchführung</w:t>
            </w:r>
            <w:r w:rsidR="00F33DDC">
              <w:rPr>
                <w:rFonts w:ascii="Arial" w:hAnsi="Arial" w:cs="Arial"/>
                <w:sz w:val="18"/>
                <w:szCs w:val="18"/>
              </w:rPr>
              <w:t xml:space="preserve"> </w:t>
            </w:r>
            <w:r w:rsidR="00E91FAD">
              <w:rPr>
                <w:rFonts w:ascii="Arial" w:hAnsi="Arial" w:cs="Arial"/>
                <w:sz w:val="18"/>
                <w:szCs w:val="18"/>
              </w:rPr>
              <w:t xml:space="preserve">und </w:t>
            </w:r>
            <w:r w:rsidR="006F1501" w:rsidRPr="006F1501">
              <w:rPr>
                <w:rFonts w:ascii="Arial" w:hAnsi="Arial" w:cs="Arial"/>
                <w:sz w:val="18"/>
                <w:szCs w:val="18"/>
              </w:rPr>
              <w:t>Aufbewahrung des Vermögens der kollektiven Kapitalanlagen</w:t>
            </w:r>
            <w:r w:rsidR="000F6A5C">
              <w:rPr>
                <w:rFonts w:ascii="Arial" w:hAnsi="Arial" w:cs="Arial"/>
                <w:sz w:val="18"/>
                <w:szCs w:val="18"/>
              </w:rPr>
              <w:t xml:space="preserve"> (verwahrfähige Vermögenswerte)</w:t>
            </w:r>
            <w:r w:rsidR="006F1501" w:rsidRPr="006F1501">
              <w:rPr>
                <w:rFonts w:ascii="Arial" w:hAnsi="Arial" w:cs="Arial"/>
                <w:sz w:val="18"/>
                <w:szCs w:val="18"/>
              </w:rPr>
              <w:t xml:space="preserve"> bestehen und im Falle der Prüftiefe Detailprüfung effektiv angewendet wurden</w:t>
            </w:r>
          </w:p>
        </w:tc>
        <w:tc>
          <w:tcPr>
            <w:tcW w:w="3382" w:type="dxa"/>
          </w:tcPr>
          <w:p w14:paraId="0074166C" w14:textId="77777777" w:rsidR="00CB0BB0" w:rsidRPr="00E109DF" w:rsidRDefault="00CB0BB0" w:rsidP="00D9403D">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6A5C" w:rsidRPr="009872F3" w14:paraId="4ECC080B" w14:textId="77777777" w:rsidTr="00F525D1">
        <w:tc>
          <w:tcPr>
            <w:tcW w:w="5798" w:type="dxa"/>
            <w:gridSpan w:val="3"/>
          </w:tcPr>
          <w:p w14:paraId="0BE28935" w14:textId="1AC2EEE0" w:rsidR="000F6A5C" w:rsidRPr="006F1501" w:rsidRDefault="000F6A5C" w:rsidP="00F525D1">
            <w:pPr>
              <w:jc w:val="both"/>
              <w:rPr>
                <w:rFonts w:ascii="Arial" w:hAnsi="Arial" w:cs="Arial"/>
                <w:sz w:val="18"/>
                <w:szCs w:val="18"/>
              </w:rPr>
            </w:pPr>
            <w:r w:rsidRPr="006F1501">
              <w:rPr>
                <w:rFonts w:ascii="Arial" w:hAnsi="Arial" w:cs="Arial"/>
                <w:sz w:val="18"/>
                <w:szCs w:val="18"/>
              </w:rPr>
              <w:t>Bestätigung, dass angemessene interne Verfahren zur</w:t>
            </w:r>
            <w:r w:rsidR="004B4B57">
              <w:rPr>
                <w:rFonts w:ascii="Arial" w:hAnsi="Arial" w:cs="Arial"/>
                <w:sz w:val="18"/>
                <w:szCs w:val="18"/>
              </w:rPr>
              <w:t xml:space="preserve"> ordnungsgemässen vollständigen</w:t>
            </w:r>
            <w:r w:rsidRPr="006F1501">
              <w:rPr>
                <w:rFonts w:ascii="Arial" w:hAnsi="Arial" w:cs="Arial"/>
                <w:sz w:val="18"/>
                <w:szCs w:val="18"/>
              </w:rPr>
              <w:t xml:space="preserve"> </w:t>
            </w:r>
            <w:r w:rsidR="00E91E4E">
              <w:rPr>
                <w:rFonts w:ascii="Arial" w:hAnsi="Arial" w:cs="Arial"/>
                <w:sz w:val="18"/>
                <w:szCs w:val="18"/>
              </w:rPr>
              <w:t>Identifikation und Aufzeichnung von nicht verwahrfähigen Vermögenswerten bestehen und im Falle der Prüftiefe Detailprüfung effektiv angewendet wurden</w:t>
            </w:r>
          </w:p>
        </w:tc>
        <w:tc>
          <w:tcPr>
            <w:tcW w:w="3382" w:type="dxa"/>
          </w:tcPr>
          <w:p w14:paraId="0CB675A6" w14:textId="77777777" w:rsidR="000F6A5C" w:rsidRPr="00E109DF" w:rsidRDefault="000F6A5C" w:rsidP="00F525D1">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6A5C" w:rsidRPr="009872F3" w14:paraId="0A665C3D" w14:textId="77777777" w:rsidTr="00D9403D">
        <w:tc>
          <w:tcPr>
            <w:tcW w:w="5798" w:type="dxa"/>
            <w:gridSpan w:val="3"/>
          </w:tcPr>
          <w:p w14:paraId="0EEB94E6" w14:textId="7990AED7" w:rsidR="000F6A5C" w:rsidRPr="006F1501" w:rsidRDefault="00E91E4E" w:rsidP="00D9403D">
            <w:pPr>
              <w:tabs>
                <w:tab w:val="left" w:pos="4458"/>
              </w:tabs>
              <w:jc w:val="both"/>
              <w:rPr>
                <w:rFonts w:ascii="Arial" w:hAnsi="Arial" w:cs="Arial"/>
                <w:sz w:val="18"/>
                <w:szCs w:val="18"/>
              </w:rPr>
            </w:pPr>
            <w:r>
              <w:rPr>
                <w:rFonts w:ascii="Arial" w:hAnsi="Arial" w:cs="Arial"/>
                <w:sz w:val="18"/>
                <w:szCs w:val="18"/>
              </w:rPr>
              <w:t>Bestätigung, dass angemessene interne Verfahren zur Überprüfung der Korrektheit der Eigentumsverhältnisse von nicht verwahrfähigen Vermögenswerten bestehen</w:t>
            </w:r>
          </w:p>
        </w:tc>
        <w:tc>
          <w:tcPr>
            <w:tcW w:w="3382" w:type="dxa"/>
          </w:tcPr>
          <w:p w14:paraId="7EBBEC54" w14:textId="68B0E3FA" w:rsidR="000F6A5C" w:rsidRPr="00E109DF" w:rsidRDefault="00E91E4E"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B0BB0" w:rsidRPr="009872F3" w14:paraId="60E87FB1" w14:textId="77777777" w:rsidTr="00D9403D">
        <w:tc>
          <w:tcPr>
            <w:tcW w:w="5798" w:type="dxa"/>
            <w:gridSpan w:val="3"/>
          </w:tcPr>
          <w:p w14:paraId="3836708C" w14:textId="4A5B82AB" w:rsidR="00CB0BB0" w:rsidRPr="006F1501" w:rsidRDefault="006F1501" w:rsidP="00D9403D">
            <w:pPr>
              <w:tabs>
                <w:tab w:val="left" w:pos="4458"/>
              </w:tabs>
              <w:jc w:val="both"/>
              <w:rPr>
                <w:rFonts w:ascii="Arial" w:hAnsi="Arial" w:cs="Arial"/>
                <w:sz w:val="18"/>
                <w:szCs w:val="18"/>
              </w:rPr>
            </w:pPr>
            <w:r w:rsidRPr="006F1501">
              <w:rPr>
                <w:rFonts w:ascii="Arial" w:hAnsi="Arial" w:cs="Arial"/>
                <w:sz w:val="18"/>
                <w:szCs w:val="18"/>
              </w:rPr>
              <w:t>Bestätigung, dass angemessene interne Verfahren zur ordnungsgemässen Verwahrung der Sicherheiten der kollektiven Kapitalanlagen bestehen und im Falle der Prüftiefe Detailprüfung effektiv angewendet wurden</w:t>
            </w:r>
          </w:p>
        </w:tc>
        <w:tc>
          <w:tcPr>
            <w:tcW w:w="3382" w:type="dxa"/>
          </w:tcPr>
          <w:p w14:paraId="1B888F27" w14:textId="77777777" w:rsidR="00CB0BB0" w:rsidRPr="009872F3" w:rsidRDefault="00CB0BB0" w:rsidP="00D9403D">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F1501" w:rsidRPr="009872F3" w14:paraId="63F8BD31" w14:textId="77777777" w:rsidTr="00D9403D">
        <w:tc>
          <w:tcPr>
            <w:tcW w:w="5798" w:type="dxa"/>
            <w:gridSpan w:val="3"/>
          </w:tcPr>
          <w:p w14:paraId="48DE8BED" w14:textId="33B0BCE1" w:rsidR="006F1501" w:rsidRPr="006F1501" w:rsidRDefault="006F1501" w:rsidP="00D9403D">
            <w:pPr>
              <w:tabs>
                <w:tab w:val="left" w:pos="4458"/>
              </w:tabs>
              <w:jc w:val="both"/>
              <w:rPr>
                <w:rFonts w:ascii="Arial" w:hAnsi="Arial" w:cs="Arial"/>
                <w:sz w:val="18"/>
                <w:szCs w:val="18"/>
              </w:rPr>
            </w:pPr>
            <w:r>
              <w:rPr>
                <w:rFonts w:ascii="Arial" w:hAnsi="Arial" w:cs="Arial"/>
                <w:sz w:val="18"/>
                <w:szCs w:val="18"/>
              </w:rPr>
              <w:lastRenderedPageBreak/>
              <w:t xml:space="preserve">Bestätigung, dass angemessene </w:t>
            </w:r>
            <w:r w:rsidR="00A53FB3">
              <w:rPr>
                <w:rFonts w:ascii="Arial" w:hAnsi="Arial" w:cs="Arial"/>
                <w:sz w:val="18"/>
                <w:szCs w:val="18"/>
              </w:rPr>
              <w:t>interne Verfahren und Massnahmen</w:t>
            </w:r>
            <w:r>
              <w:rPr>
                <w:rFonts w:ascii="Arial" w:hAnsi="Arial" w:cs="Arial"/>
                <w:sz w:val="18"/>
                <w:szCs w:val="18"/>
              </w:rPr>
              <w:t xml:space="preserve"> existieren, welche </w:t>
            </w:r>
            <w:r w:rsidR="00A53FB3">
              <w:rPr>
                <w:rFonts w:ascii="Arial" w:hAnsi="Arial" w:cs="Arial"/>
                <w:sz w:val="18"/>
                <w:szCs w:val="18"/>
              </w:rPr>
              <w:t>die nicht autorisierte Verfügung über die Vermögenswerte verhindern</w:t>
            </w:r>
          </w:p>
        </w:tc>
        <w:tc>
          <w:tcPr>
            <w:tcW w:w="3382" w:type="dxa"/>
          </w:tcPr>
          <w:p w14:paraId="1CAAEAA7" w14:textId="56DC39AE" w:rsidR="006F1501" w:rsidRPr="00E109DF" w:rsidRDefault="00A53FB3"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15DA1" w:rsidRPr="009872F3" w14:paraId="26883BA1" w14:textId="77777777" w:rsidTr="002C56B9">
        <w:tc>
          <w:tcPr>
            <w:tcW w:w="5798" w:type="dxa"/>
            <w:gridSpan w:val="3"/>
          </w:tcPr>
          <w:p w14:paraId="646936B2" w14:textId="1E4AC6A7" w:rsidR="00615DA1" w:rsidRDefault="00615DA1" w:rsidP="002C56B9">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zum Ende jeden Geschäftstages eine vollständige und korrekte Vermögensaufstellung bzw. Übersicht aller Vermögenswerte des Fonds erstellt werden kann und diese regelmässig der Verwaltungsgesellschaft/AIFM übermittelt </w:t>
            </w:r>
            <w:r w:rsidR="00737140">
              <w:rPr>
                <w:rFonts w:ascii="Arial" w:hAnsi="Arial" w:cs="Arial"/>
                <w:sz w:val="18"/>
                <w:szCs w:val="18"/>
              </w:rPr>
              <w:t>wird</w:t>
            </w:r>
            <w:r w:rsidR="00521FD6">
              <w:rPr>
                <w:rFonts w:ascii="Arial" w:hAnsi="Arial" w:cs="Arial"/>
                <w:sz w:val="18"/>
                <w:szCs w:val="18"/>
              </w:rPr>
              <w:t xml:space="preserve"> </w:t>
            </w:r>
            <w:r w:rsidR="00521FD6" w:rsidRPr="006F1501">
              <w:rPr>
                <w:rFonts w:ascii="Arial" w:hAnsi="Arial" w:cs="Arial"/>
                <w:sz w:val="18"/>
                <w:szCs w:val="18"/>
              </w:rPr>
              <w:t>und im Falle der Prüftiefe Detailprüfung effektiv angewendet wurden</w:t>
            </w:r>
          </w:p>
        </w:tc>
        <w:tc>
          <w:tcPr>
            <w:tcW w:w="3382" w:type="dxa"/>
          </w:tcPr>
          <w:p w14:paraId="33643669" w14:textId="77777777" w:rsidR="00615DA1" w:rsidRPr="00E109DF" w:rsidRDefault="00615DA1" w:rsidP="002C56B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15DA1" w:rsidRPr="009872F3" w14:paraId="3FD80C55" w14:textId="77777777" w:rsidTr="00D9403D">
        <w:tc>
          <w:tcPr>
            <w:tcW w:w="5798" w:type="dxa"/>
            <w:gridSpan w:val="3"/>
          </w:tcPr>
          <w:p w14:paraId="7C42859B" w14:textId="35B3B003" w:rsidR="00615DA1" w:rsidRDefault="00615DA1" w:rsidP="00D9403D">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die Vermögensbestände regelmässig mit der Verwaltungsgesellschaft/AIFM sowie bei Delegation mit den </w:t>
            </w:r>
            <w:proofErr w:type="spellStart"/>
            <w:r>
              <w:rPr>
                <w:rFonts w:ascii="Arial" w:hAnsi="Arial" w:cs="Arial"/>
                <w:sz w:val="18"/>
                <w:szCs w:val="18"/>
              </w:rPr>
              <w:t>Unterverwahrer</w:t>
            </w:r>
            <w:proofErr w:type="spellEnd"/>
            <w:r>
              <w:rPr>
                <w:rFonts w:ascii="Arial" w:hAnsi="Arial" w:cs="Arial"/>
                <w:sz w:val="18"/>
                <w:szCs w:val="18"/>
              </w:rPr>
              <w:t xml:space="preserve"> abgestimmt wird und angemessene </w:t>
            </w:r>
            <w:r w:rsidR="00376CD6">
              <w:rPr>
                <w:rFonts w:ascii="Arial" w:hAnsi="Arial" w:cs="Arial"/>
                <w:sz w:val="18"/>
                <w:szCs w:val="18"/>
              </w:rPr>
              <w:t>Eskalationsp</w:t>
            </w:r>
            <w:r>
              <w:rPr>
                <w:rFonts w:ascii="Arial" w:hAnsi="Arial" w:cs="Arial"/>
                <w:sz w:val="18"/>
                <w:szCs w:val="18"/>
              </w:rPr>
              <w:t xml:space="preserve">rozesse </w:t>
            </w:r>
            <w:r w:rsidR="00376CD6">
              <w:rPr>
                <w:rFonts w:ascii="Arial" w:hAnsi="Arial" w:cs="Arial"/>
                <w:sz w:val="18"/>
                <w:szCs w:val="18"/>
              </w:rPr>
              <w:t>bei</w:t>
            </w:r>
            <w:r>
              <w:rPr>
                <w:rFonts w:ascii="Arial" w:hAnsi="Arial" w:cs="Arial"/>
                <w:sz w:val="18"/>
                <w:szCs w:val="18"/>
              </w:rPr>
              <w:t xml:space="preserve"> Divergenzen bestehen</w:t>
            </w:r>
            <w:r w:rsidR="00C51181">
              <w:rPr>
                <w:rFonts w:ascii="Arial" w:hAnsi="Arial" w:cs="Arial"/>
                <w:sz w:val="18"/>
                <w:szCs w:val="18"/>
              </w:rPr>
              <w:t xml:space="preserve"> </w:t>
            </w:r>
            <w:r w:rsidR="00C51181" w:rsidRPr="006F1501">
              <w:rPr>
                <w:rFonts w:ascii="Arial" w:hAnsi="Arial" w:cs="Arial"/>
                <w:sz w:val="18"/>
                <w:szCs w:val="18"/>
              </w:rPr>
              <w:t>und im Falle der Prüftiefe Detailprüfung effektiv angewendet wurden</w:t>
            </w:r>
          </w:p>
        </w:tc>
        <w:tc>
          <w:tcPr>
            <w:tcW w:w="3382" w:type="dxa"/>
          </w:tcPr>
          <w:p w14:paraId="1F0C8F09" w14:textId="3423EFBF" w:rsidR="00615DA1" w:rsidRPr="00E109DF" w:rsidRDefault="00615DA1"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0260B" w:rsidRPr="009872F3" w14:paraId="35A8027C" w14:textId="77777777" w:rsidTr="00D9403D">
        <w:tc>
          <w:tcPr>
            <w:tcW w:w="5798" w:type="dxa"/>
            <w:gridSpan w:val="3"/>
          </w:tcPr>
          <w:p w14:paraId="7EA7B5B4" w14:textId="04E76C65" w:rsidR="0020260B" w:rsidRDefault="0020260B" w:rsidP="00D9403D">
            <w:pPr>
              <w:tabs>
                <w:tab w:val="left" w:pos="4458"/>
              </w:tabs>
              <w:jc w:val="both"/>
              <w:rPr>
                <w:rFonts w:ascii="Arial" w:hAnsi="Arial" w:cs="Arial"/>
                <w:sz w:val="18"/>
                <w:szCs w:val="18"/>
              </w:rPr>
            </w:pPr>
          </w:p>
        </w:tc>
        <w:tc>
          <w:tcPr>
            <w:tcW w:w="3382" w:type="dxa"/>
          </w:tcPr>
          <w:p w14:paraId="02F2BF78" w14:textId="7C91EABE" w:rsidR="0020260B" w:rsidRPr="00E109DF" w:rsidRDefault="0020260B" w:rsidP="00D9403D">
            <w:pPr>
              <w:jc w:val="both"/>
              <w:rPr>
                <w:rFonts w:ascii="Arial" w:hAnsi="Arial" w:cs="Arial"/>
                <w:i/>
                <w:sz w:val="18"/>
                <w:szCs w:val="18"/>
                <w:highlight w:val="yellow"/>
              </w:rPr>
            </w:pPr>
          </w:p>
        </w:tc>
      </w:tr>
      <w:tr w:rsidR="00AB459F" w:rsidRPr="009872F3" w14:paraId="1B36BB41" w14:textId="77777777" w:rsidTr="008034B7">
        <w:tc>
          <w:tcPr>
            <w:tcW w:w="9180" w:type="dxa"/>
            <w:gridSpan w:val="4"/>
          </w:tcPr>
          <w:p w14:paraId="12E7F033"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66F68AC6"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52778FCD" w14:textId="77777777" w:rsidR="00CB0BB0" w:rsidRDefault="00CB0BB0" w:rsidP="00CB0BB0">
      <w:pPr>
        <w:jc w:val="both"/>
      </w:pPr>
    </w:p>
    <w:tbl>
      <w:tblPr>
        <w:tblStyle w:val="Tabellenraster"/>
        <w:tblW w:w="0" w:type="auto"/>
        <w:tblLook w:val="04A0" w:firstRow="1" w:lastRow="0" w:firstColumn="1" w:lastColumn="0" w:noHBand="0" w:noVBand="1"/>
      </w:tblPr>
      <w:tblGrid>
        <w:gridCol w:w="2660"/>
        <w:gridCol w:w="6520"/>
      </w:tblGrid>
      <w:tr w:rsidR="00CB0BB0" w:rsidRPr="00CE3194" w14:paraId="4503DD92" w14:textId="77777777" w:rsidTr="00D9403D">
        <w:tc>
          <w:tcPr>
            <w:tcW w:w="2660" w:type="dxa"/>
          </w:tcPr>
          <w:p w14:paraId="4FD497E5"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D3FFAA"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CB0BB0" w:rsidRPr="00CE3194" w14:paraId="15FCB99A" w14:textId="77777777" w:rsidTr="00D9403D">
        <w:tc>
          <w:tcPr>
            <w:tcW w:w="2660" w:type="dxa"/>
          </w:tcPr>
          <w:p w14:paraId="40580873" w14:textId="4EA6E213" w:rsidR="00CB0BB0" w:rsidRPr="00A53FB3" w:rsidRDefault="00A53FB3" w:rsidP="00D9403D">
            <w:pPr>
              <w:jc w:val="both"/>
              <w:rPr>
                <w:rFonts w:ascii="Arial" w:hAnsi="Arial" w:cs="Arial"/>
                <w:i/>
                <w:sz w:val="20"/>
                <w:szCs w:val="20"/>
              </w:rPr>
            </w:pPr>
            <w:r w:rsidRPr="00327180">
              <w:rPr>
                <w:rFonts w:ascii="Arial" w:hAnsi="Arial" w:cs="Arial"/>
                <w:i/>
                <w:sz w:val="20"/>
                <w:szCs w:val="20"/>
                <w:highlight w:val="lightGray"/>
              </w:rPr>
              <w:t xml:space="preserve">Aufbewahrung des Vermögens </w:t>
            </w:r>
            <w:r w:rsidR="005042D6">
              <w:rPr>
                <w:rFonts w:ascii="Arial" w:hAnsi="Arial" w:cs="Arial"/>
                <w:i/>
                <w:sz w:val="20"/>
                <w:szCs w:val="20"/>
                <w:highlight w:val="lightGray"/>
              </w:rPr>
              <w:t xml:space="preserve">und Verwahrung der Sicherheiten </w:t>
            </w:r>
            <w:r w:rsidRPr="00327180">
              <w:rPr>
                <w:rFonts w:ascii="Arial" w:hAnsi="Arial" w:cs="Arial"/>
                <w:i/>
                <w:sz w:val="20"/>
                <w:szCs w:val="20"/>
                <w:highlight w:val="lightGray"/>
              </w:rPr>
              <w:t>der kollektiven Kapitalanlage</w:t>
            </w:r>
          </w:p>
        </w:tc>
        <w:tc>
          <w:tcPr>
            <w:tcW w:w="6520" w:type="dxa"/>
          </w:tcPr>
          <w:p w14:paraId="6E05EB99" w14:textId="323B2363" w:rsidR="00327180" w:rsidRDefault="00327180" w:rsidP="00523F8C">
            <w:pPr>
              <w:pStyle w:val="Listenabsatz"/>
              <w:numPr>
                <w:ilvl w:val="1"/>
                <w:numId w:val="17"/>
              </w:numPr>
              <w:ind w:left="317" w:hanging="283"/>
              <w:jc w:val="both"/>
              <w:rPr>
                <w:rFonts w:cs="Arial"/>
                <w:i/>
                <w:szCs w:val="20"/>
                <w:highlight w:val="lightGray"/>
              </w:rPr>
            </w:pPr>
            <w:r w:rsidRPr="00327180">
              <w:rPr>
                <w:rFonts w:cs="Arial"/>
                <w:i/>
                <w:szCs w:val="20"/>
                <w:highlight w:val="lightGray"/>
              </w:rPr>
              <w:t>Es bestehen klare Verantwortlichkeiten und Kompetenzen</w:t>
            </w:r>
            <w:r w:rsidR="007C6440">
              <w:rPr>
                <w:rFonts w:cs="Arial"/>
                <w:i/>
                <w:szCs w:val="20"/>
                <w:highlight w:val="lightGray"/>
              </w:rPr>
              <w:t>.</w:t>
            </w:r>
          </w:p>
          <w:p w14:paraId="0CE09078" w14:textId="21C9568C" w:rsidR="0020260B" w:rsidRDefault="0020260B"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zum Fonds gehörenden Finanzinstrumente</w:t>
            </w:r>
            <w:r w:rsidR="005042D6">
              <w:rPr>
                <w:rFonts w:cs="Arial"/>
                <w:i/>
                <w:szCs w:val="20"/>
                <w:highlight w:val="lightGray"/>
              </w:rPr>
              <w:t xml:space="preserve"> und Sicherheiten</w:t>
            </w:r>
            <w:r>
              <w:rPr>
                <w:rFonts w:cs="Arial"/>
                <w:i/>
                <w:szCs w:val="20"/>
                <w:highlight w:val="lightGray"/>
              </w:rPr>
              <w:t xml:space="preserve"> eindeutig identifiziert werden</w:t>
            </w:r>
            <w:r w:rsidR="00E91E4E">
              <w:rPr>
                <w:rFonts w:cs="Arial"/>
                <w:i/>
                <w:szCs w:val="20"/>
                <w:highlight w:val="lightGray"/>
              </w:rPr>
              <w:t>, vollständig sind und existieren</w:t>
            </w:r>
            <w:r w:rsidR="007C6440">
              <w:rPr>
                <w:rFonts w:cs="Arial"/>
                <w:i/>
                <w:szCs w:val="20"/>
                <w:highlight w:val="lightGray"/>
              </w:rPr>
              <w:t>.</w:t>
            </w:r>
          </w:p>
          <w:p w14:paraId="485A907C" w14:textId="4DDE9857" w:rsidR="0020260B" w:rsidRDefault="0020260B"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Fondsvermögen von den eigenen und von Vermögenswerten anderer abgegrenzt werden und gesondert auf den Namen des Fonds oder der Verwaltungsgesellschaft</w:t>
            </w:r>
            <w:r w:rsidR="00515A47">
              <w:rPr>
                <w:rFonts w:cs="Arial"/>
                <w:i/>
                <w:szCs w:val="20"/>
                <w:highlight w:val="lightGray"/>
              </w:rPr>
              <w:t>/AIFM</w:t>
            </w:r>
            <w:r>
              <w:rPr>
                <w:rFonts w:cs="Arial"/>
                <w:i/>
                <w:szCs w:val="20"/>
                <w:highlight w:val="lightGray"/>
              </w:rPr>
              <w:t xml:space="preserve"> lautende Konten geführt werden</w:t>
            </w:r>
            <w:r w:rsidR="006D3E06">
              <w:rPr>
                <w:rFonts w:cs="Arial"/>
                <w:i/>
                <w:szCs w:val="20"/>
                <w:highlight w:val="lightGray"/>
              </w:rPr>
              <w:t xml:space="preserve"> (bzgl. verwahrfähigen Vermögenswerten)</w:t>
            </w:r>
            <w:r w:rsidR="007C6440">
              <w:rPr>
                <w:rFonts w:cs="Arial"/>
                <w:i/>
                <w:szCs w:val="20"/>
                <w:highlight w:val="lightGray"/>
              </w:rPr>
              <w:t>.</w:t>
            </w:r>
          </w:p>
          <w:p w14:paraId="3B7696D5" w14:textId="6F87319F" w:rsidR="0020260B" w:rsidRPr="00327180" w:rsidRDefault="006D3E06"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bei nicht verwahrfähigen Vermögenswerten des Fonds ein aktuelles Verzeichnis geführt wird. </w:t>
            </w:r>
          </w:p>
          <w:p w14:paraId="4E36DA15" w14:textId="30878FCF" w:rsidR="00327180" w:rsidRDefault="006D3E06" w:rsidP="00523F8C">
            <w:pPr>
              <w:pStyle w:val="Listenabsatz"/>
              <w:numPr>
                <w:ilvl w:val="1"/>
                <w:numId w:val="17"/>
              </w:numPr>
              <w:ind w:left="317" w:hanging="283"/>
              <w:jc w:val="both"/>
              <w:rPr>
                <w:rFonts w:cs="Arial"/>
                <w:i/>
                <w:szCs w:val="20"/>
                <w:highlight w:val="lightGray"/>
              </w:rPr>
            </w:pPr>
            <w:r w:rsidRPr="000F6A5C">
              <w:rPr>
                <w:rFonts w:cs="Arial"/>
                <w:i/>
                <w:szCs w:val="20"/>
                <w:highlight w:val="lightGray"/>
              </w:rPr>
              <w:t>Die internen Verfahren stellen sicher, dass die Eigentumsverhältnisse von nicht verwahrfähigen Vermögenswerten auf Korrektheit geprüft werden</w:t>
            </w:r>
            <w:r w:rsidR="000F6A5C">
              <w:rPr>
                <w:rFonts w:cs="Arial"/>
                <w:i/>
                <w:szCs w:val="20"/>
                <w:highlight w:val="lightGray"/>
              </w:rPr>
              <w:t xml:space="preserve">. </w:t>
            </w:r>
          </w:p>
          <w:p w14:paraId="0825A452" w14:textId="5BA4B32B" w:rsidR="000F6A5C" w:rsidRDefault="000F6A5C"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Korrektheit der Eigentumsverhältnisse bzgl. nicht verwahrfähiger Vermögenswerte regelmässig, mind. einmal jährlich</w:t>
            </w:r>
            <w:r w:rsidR="00BB4D9E">
              <w:rPr>
                <w:rFonts w:cs="Arial"/>
                <w:i/>
                <w:szCs w:val="20"/>
                <w:highlight w:val="lightGray"/>
              </w:rPr>
              <w:t xml:space="preserve"> (unabhängig von Transaktionen)</w:t>
            </w:r>
            <w:r>
              <w:rPr>
                <w:rFonts w:cs="Arial"/>
                <w:i/>
                <w:szCs w:val="20"/>
                <w:highlight w:val="lightGray"/>
              </w:rPr>
              <w:t xml:space="preserve">, </w:t>
            </w:r>
            <w:r w:rsidR="004B4B57">
              <w:rPr>
                <w:rFonts w:cs="Arial"/>
                <w:i/>
                <w:szCs w:val="20"/>
                <w:highlight w:val="lightGray"/>
              </w:rPr>
              <w:t>auf Angemessenheit</w:t>
            </w:r>
            <w:r>
              <w:rPr>
                <w:rFonts w:cs="Arial"/>
                <w:i/>
                <w:szCs w:val="20"/>
                <w:highlight w:val="lightGray"/>
              </w:rPr>
              <w:t xml:space="preserve"> überprüft wird.</w:t>
            </w:r>
          </w:p>
          <w:p w14:paraId="4682F51E" w14:textId="587A5096" w:rsidR="007F3A9B" w:rsidRDefault="004B4B57"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zum Ende jeden Geschäftstages eine vollständige </w:t>
            </w:r>
            <w:r w:rsidR="00205AC6">
              <w:rPr>
                <w:rFonts w:cs="Arial"/>
                <w:i/>
                <w:szCs w:val="20"/>
                <w:highlight w:val="lightGray"/>
              </w:rPr>
              <w:t xml:space="preserve">und korrekte </w:t>
            </w:r>
            <w:r>
              <w:rPr>
                <w:rFonts w:cs="Arial"/>
                <w:i/>
                <w:szCs w:val="20"/>
                <w:highlight w:val="lightGray"/>
              </w:rPr>
              <w:t>Vermögensaufstellung bzw. Übersicht aller Vermögenswerte des Fonds erstellt werden kann</w:t>
            </w:r>
            <w:r w:rsidR="007C6440">
              <w:rPr>
                <w:rFonts w:cs="Arial"/>
                <w:i/>
                <w:szCs w:val="20"/>
                <w:highlight w:val="lightGray"/>
              </w:rPr>
              <w:t>.</w:t>
            </w:r>
          </w:p>
          <w:p w14:paraId="169D5808" w14:textId="67726DC5" w:rsidR="004B4B57" w:rsidRDefault="007F3A9B"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regelmässig der Verwaltungsgesellschaft/AIFM eine vollständige und korrekte Vermögensaufstellung bzw. Übersicht aller Vermögenswerte des Fonds übermittelt wird. </w:t>
            </w:r>
          </w:p>
          <w:p w14:paraId="54E90F36" w14:textId="2BEA1242" w:rsidR="00615DA1" w:rsidRDefault="00615DA1" w:rsidP="00523F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den regelmässigen Vermögensabgleich mit der Verwaltungsgesellschaft/AIFM sicher</w:t>
            </w:r>
            <w:r w:rsidR="007C6440">
              <w:rPr>
                <w:rFonts w:cs="Arial"/>
                <w:i/>
                <w:szCs w:val="20"/>
                <w:highlight w:val="lightGray"/>
              </w:rPr>
              <w:t>.</w:t>
            </w:r>
          </w:p>
          <w:p w14:paraId="63274985" w14:textId="0836D691" w:rsidR="00D038C3" w:rsidRDefault="00D038C3" w:rsidP="00523F8C">
            <w:pPr>
              <w:pStyle w:val="Listenabsatz"/>
              <w:numPr>
                <w:ilvl w:val="1"/>
                <w:numId w:val="17"/>
              </w:numPr>
              <w:ind w:left="317" w:hanging="283"/>
              <w:jc w:val="both"/>
              <w:rPr>
                <w:rFonts w:cs="Arial"/>
                <w:i/>
                <w:szCs w:val="20"/>
                <w:highlight w:val="lightGray"/>
              </w:rPr>
            </w:pPr>
            <w:r>
              <w:rPr>
                <w:rFonts w:cs="Arial"/>
                <w:i/>
                <w:szCs w:val="20"/>
                <w:highlight w:val="lightGray"/>
              </w:rPr>
              <w:t>Im Falle einer Unterverwahrung stellen die internen Verfahren den regelmässigen Abgleich der Vermögenswerte (Depotbestände) zwischen der Verwahrstelle und de</w:t>
            </w:r>
            <w:r w:rsidR="000D3257">
              <w:rPr>
                <w:rFonts w:cs="Arial"/>
                <w:i/>
                <w:szCs w:val="20"/>
                <w:highlight w:val="lightGray"/>
              </w:rPr>
              <w:t>m</w:t>
            </w:r>
            <w:r>
              <w:rPr>
                <w:rFonts w:cs="Arial"/>
                <w:i/>
                <w:szCs w:val="20"/>
                <w:highlight w:val="lightGray"/>
              </w:rPr>
              <w:t xml:space="preserve"> </w:t>
            </w:r>
            <w:proofErr w:type="spellStart"/>
            <w:r>
              <w:rPr>
                <w:rFonts w:cs="Arial"/>
                <w:i/>
                <w:szCs w:val="20"/>
                <w:highlight w:val="lightGray"/>
              </w:rPr>
              <w:t>Unterverwahrer</w:t>
            </w:r>
            <w:proofErr w:type="spellEnd"/>
            <w:r>
              <w:rPr>
                <w:rFonts w:cs="Arial"/>
                <w:i/>
                <w:szCs w:val="20"/>
                <w:highlight w:val="lightGray"/>
              </w:rPr>
              <w:t xml:space="preserve"> sicher</w:t>
            </w:r>
            <w:r w:rsidR="007C6440">
              <w:rPr>
                <w:rFonts w:cs="Arial"/>
                <w:i/>
                <w:szCs w:val="20"/>
                <w:highlight w:val="lightGray"/>
              </w:rPr>
              <w:t>.</w:t>
            </w:r>
          </w:p>
          <w:p w14:paraId="67239328" w14:textId="076A12D0" w:rsidR="005042D6" w:rsidRDefault="005042D6"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mit geeigneten Massnahmen sicher, dass die nicht </w:t>
            </w:r>
            <w:r w:rsidR="00BB4D9E">
              <w:rPr>
                <w:rFonts w:cs="Arial"/>
                <w:i/>
                <w:szCs w:val="20"/>
                <w:highlight w:val="lightGray"/>
              </w:rPr>
              <w:t>autorisierte</w:t>
            </w:r>
            <w:r>
              <w:rPr>
                <w:rFonts w:cs="Arial"/>
                <w:i/>
                <w:szCs w:val="20"/>
                <w:highlight w:val="lightGray"/>
              </w:rPr>
              <w:t xml:space="preserve"> Verfügung über die Vermögenswerte verhindert wird</w:t>
            </w:r>
            <w:r w:rsidR="00BB4D9E">
              <w:rPr>
                <w:rFonts w:cs="Arial"/>
                <w:i/>
                <w:szCs w:val="20"/>
                <w:highlight w:val="lightGray"/>
              </w:rPr>
              <w:t xml:space="preserve"> (Massnahmen zur Begrenzung des Verlustrisikos)</w:t>
            </w:r>
            <w:r>
              <w:rPr>
                <w:rFonts w:cs="Arial"/>
                <w:i/>
                <w:szCs w:val="20"/>
                <w:highlight w:val="lightGray"/>
              </w:rPr>
              <w:t xml:space="preserve">. </w:t>
            </w:r>
          </w:p>
          <w:p w14:paraId="61021DB8" w14:textId="0B606B97" w:rsidR="00FE3BE1" w:rsidRDefault="00FE3BE1" w:rsidP="00523F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hinsichtlich den Verwahrpflichten sicher, dass der Look-Through-Ansatz für direkt oder indirekt vom </w:t>
            </w:r>
            <w:r>
              <w:rPr>
                <w:rFonts w:cs="Arial"/>
                <w:i/>
                <w:szCs w:val="20"/>
                <w:highlight w:val="lightGray"/>
              </w:rPr>
              <w:lastRenderedPageBreak/>
              <w:t xml:space="preserve">Fonds oder Verwaltungsgesellschaft/AIFM kontrollierte Finanz- und Rechtsstrukturen angewandt wird. </w:t>
            </w:r>
          </w:p>
          <w:p w14:paraId="2AB251E6" w14:textId="46DD044F" w:rsidR="00CB0BB0" w:rsidRPr="00AD0DCA" w:rsidRDefault="00CB0BB0" w:rsidP="004B4B57">
            <w:pPr>
              <w:jc w:val="both"/>
              <w:rPr>
                <w:rFonts w:cs="Arial"/>
                <w:i/>
                <w:szCs w:val="20"/>
                <w:highlight w:val="cyan"/>
              </w:rPr>
            </w:pPr>
          </w:p>
        </w:tc>
      </w:tr>
    </w:tbl>
    <w:p w14:paraId="578746E2" w14:textId="77777777" w:rsidR="00CB0BB0" w:rsidRDefault="00CB0BB0" w:rsidP="00CB0BB0">
      <w:pPr>
        <w:jc w:val="both"/>
      </w:pPr>
    </w:p>
    <w:p w14:paraId="7BB72590" w14:textId="77777777" w:rsidR="00CB0BB0" w:rsidRPr="00276C60"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4734AB58" w14:textId="3C2900DF" w:rsidR="00CB0BB0" w:rsidRDefault="00CB0BB0" w:rsidP="00CB3EE6">
      <w:pPr>
        <w:jc w:val="both"/>
      </w:pPr>
    </w:p>
    <w:p w14:paraId="0C1332B9" w14:textId="578D902A" w:rsidR="00CB0BB0" w:rsidRDefault="00CB0BB0" w:rsidP="00CB3EE6">
      <w:pPr>
        <w:jc w:val="both"/>
      </w:pPr>
    </w:p>
    <w:p w14:paraId="79E212C9" w14:textId="3A1E135A" w:rsidR="00CB0BB0" w:rsidRPr="00CB0BB0" w:rsidRDefault="00CB0BB0" w:rsidP="00CB0BB0">
      <w:pPr>
        <w:pStyle w:val="FINMAGliederungEbene3"/>
      </w:pPr>
      <w:bookmarkStart w:id="23" w:name="_Toc185241476"/>
      <w:r w:rsidRPr="00CB0BB0">
        <w:t>Ausgabe und Rücknahme der Anteile (BA-2)</w:t>
      </w:r>
      <w:bookmarkEnd w:id="23"/>
    </w:p>
    <w:p w14:paraId="70F7A386"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150E2F4A" w14:textId="77777777" w:rsidTr="00D9403D">
        <w:trPr>
          <w:trHeight w:val="563"/>
        </w:trPr>
        <w:tc>
          <w:tcPr>
            <w:tcW w:w="1932" w:type="dxa"/>
          </w:tcPr>
          <w:p w14:paraId="67494B48"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01D9EFE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0D48C11"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6C4D674D" w14:textId="77777777" w:rsidTr="00D9403D">
        <w:trPr>
          <w:trHeight w:val="698"/>
        </w:trPr>
        <w:tc>
          <w:tcPr>
            <w:tcW w:w="1932" w:type="dxa"/>
          </w:tcPr>
          <w:p w14:paraId="5C38DC75"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0C6E65A6"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23E4F6D"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79ABF7"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5C6F261"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2F4F10" w14:paraId="336F5524" w14:textId="77777777" w:rsidTr="00D9403D">
        <w:trPr>
          <w:trHeight w:val="636"/>
        </w:trPr>
        <w:tc>
          <w:tcPr>
            <w:tcW w:w="9180" w:type="dxa"/>
            <w:gridSpan w:val="4"/>
          </w:tcPr>
          <w:p w14:paraId="7080DCBF" w14:textId="77777777" w:rsidR="00CB0BB0" w:rsidRDefault="00CB0BB0" w:rsidP="00D9403D">
            <w:pPr>
              <w:jc w:val="both"/>
              <w:rPr>
                <w:rFonts w:ascii="Arial" w:hAnsi="Arial" w:cs="Arial"/>
                <w:sz w:val="18"/>
                <w:szCs w:val="18"/>
              </w:rPr>
            </w:pPr>
          </w:p>
          <w:p w14:paraId="1AA17B42"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0024DCC" w14:textId="5437458C" w:rsidR="00CB0BB0" w:rsidRPr="002F4F10" w:rsidRDefault="002F4F10" w:rsidP="00D9403D">
            <w:pPr>
              <w:jc w:val="both"/>
              <w:rPr>
                <w:rFonts w:ascii="Arial" w:hAnsi="Arial" w:cs="Arial"/>
                <w:sz w:val="18"/>
                <w:szCs w:val="18"/>
              </w:rPr>
            </w:pPr>
            <w:r w:rsidRPr="002F4F10">
              <w:rPr>
                <w:rFonts w:ascii="Arial" w:hAnsi="Arial" w:cs="Arial"/>
                <w:sz w:val="18"/>
                <w:szCs w:val="18"/>
                <w:highlight w:val="yellow"/>
              </w:rPr>
              <w:t xml:space="preserve">Art. 43 Abs. 3 IUG, Art. 33 Abs. 1 Bst. a UCITSG, Art. 59 Abs. 1 f AIFMG, </w:t>
            </w:r>
            <w:proofErr w:type="spellStart"/>
            <w:r w:rsidRPr="002F4F10">
              <w:rPr>
                <w:rFonts w:ascii="Arial" w:hAnsi="Arial" w:cs="Arial"/>
                <w:sz w:val="18"/>
                <w:szCs w:val="18"/>
                <w:highlight w:val="yellow"/>
              </w:rPr>
              <w:t>DelVO</w:t>
            </w:r>
            <w:proofErr w:type="spellEnd"/>
            <w:r w:rsidRPr="002F4F10">
              <w:rPr>
                <w:rFonts w:ascii="Arial" w:hAnsi="Arial" w:cs="Arial"/>
                <w:sz w:val="18"/>
                <w:szCs w:val="18"/>
                <w:highlight w:val="yellow"/>
              </w:rPr>
              <w:t xml:space="preserve"> (EU) N</w:t>
            </w:r>
            <w:r w:rsidR="00FF684E">
              <w:rPr>
                <w:rFonts w:ascii="Arial" w:hAnsi="Arial" w:cs="Arial"/>
                <w:sz w:val="18"/>
                <w:szCs w:val="18"/>
                <w:highlight w:val="yellow"/>
              </w:rPr>
              <w:t>r</w:t>
            </w:r>
            <w:r w:rsidRPr="002F4F10">
              <w:rPr>
                <w:rFonts w:ascii="Arial" w:hAnsi="Arial" w:cs="Arial"/>
                <w:sz w:val="18"/>
                <w:szCs w:val="18"/>
                <w:highlight w:val="yellow"/>
              </w:rPr>
              <w:t>. 2016/438</w:t>
            </w:r>
            <w:r w:rsidR="006B4893">
              <w:rPr>
                <w:rFonts w:ascii="Arial" w:hAnsi="Arial" w:cs="Arial"/>
                <w:sz w:val="18"/>
                <w:szCs w:val="18"/>
                <w:highlight w:val="yellow"/>
              </w:rPr>
              <w:t xml:space="preserve"> Art. 4</w:t>
            </w:r>
            <w:r w:rsidR="00AE7751">
              <w:rPr>
                <w:rFonts w:ascii="Arial" w:hAnsi="Arial" w:cs="Arial"/>
                <w:sz w:val="18"/>
                <w:szCs w:val="18"/>
                <w:highlight w:val="yellow"/>
              </w:rPr>
              <w:t xml:space="preserve">; </w:t>
            </w:r>
            <w:proofErr w:type="spellStart"/>
            <w:r w:rsidR="00AE7751">
              <w:rPr>
                <w:rFonts w:ascii="Arial" w:hAnsi="Arial" w:cs="Arial"/>
                <w:sz w:val="18"/>
                <w:szCs w:val="18"/>
                <w:highlight w:val="yellow"/>
              </w:rPr>
              <w:t>DelVO</w:t>
            </w:r>
            <w:proofErr w:type="spellEnd"/>
            <w:r w:rsidR="00AE7751">
              <w:rPr>
                <w:rFonts w:ascii="Arial" w:hAnsi="Arial" w:cs="Arial"/>
                <w:sz w:val="18"/>
                <w:szCs w:val="18"/>
                <w:highlight w:val="yellow"/>
              </w:rPr>
              <w:t xml:space="preserve"> (EU) Nr. 231/2013 Art. 93</w:t>
            </w:r>
            <w:r w:rsidR="001B5960">
              <w:rPr>
                <w:rFonts w:ascii="Arial" w:hAnsi="Arial" w:cs="Arial"/>
                <w:sz w:val="18"/>
                <w:szCs w:val="18"/>
                <w:highlight w:val="yellow"/>
              </w:rPr>
              <w:t>;</w:t>
            </w:r>
            <w:r w:rsidR="00FC6CFC">
              <w:rPr>
                <w:rFonts w:ascii="Arial" w:hAnsi="Arial" w:cs="Arial"/>
                <w:sz w:val="18"/>
                <w:szCs w:val="18"/>
                <w:highlight w:val="yellow"/>
              </w:rPr>
              <w:t xml:space="preserve"> FMA-Mitteilung 2019/1</w:t>
            </w:r>
            <w:r w:rsidR="00054C52">
              <w:rPr>
                <w:rFonts w:ascii="Arial" w:hAnsi="Arial" w:cs="Arial"/>
                <w:sz w:val="18"/>
                <w:szCs w:val="18"/>
                <w:highlight w:val="yellow"/>
              </w:rPr>
              <w:t>, FMA-Mitteilung 2018/1</w:t>
            </w:r>
          </w:p>
        </w:tc>
      </w:tr>
      <w:tr w:rsidR="00CB0BB0" w:rsidRPr="002F4F10" w14:paraId="2215EFBD" w14:textId="77777777" w:rsidTr="00D9403D">
        <w:trPr>
          <w:trHeight w:val="294"/>
        </w:trPr>
        <w:tc>
          <w:tcPr>
            <w:tcW w:w="9180" w:type="dxa"/>
            <w:gridSpan w:val="4"/>
          </w:tcPr>
          <w:p w14:paraId="51220B3C" w14:textId="77777777" w:rsidR="00CB0BB0" w:rsidRPr="002F4F10" w:rsidRDefault="00CB0BB0" w:rsidP="00D9403D">
            <w:pPr>
              <w:jc w:val="both"/>
              <w:rPr>
                <w:rFonts w:ascii="Arial" w:hAnsi="Arial" w:cs="Arial"/>
                <w:sz w:val="18"/>
                <w:szCs w:val="18"/>
              </w:rPr>
            </w:pPr>
          </w:p>
        </w:tc>
      </w:tr>
      <w:tr w:rsidR="00CB0BB0" w:rsidRPr="009872F3" w14:paraId="6D7FB8B5" w14:textId="77777777" w:rsidTr="00D9403D">
        <w:tc>
          <w:tcPr>
            <w:tcW w:w="5798" w:type="dxa"/>
            <w:gridSpan w:val="3"/>
          </w:tcPr>
          <w:p w14:paraId="3E9AF190" w14:textId="0A835173" w:rsidR="00CB0BB0" w:rsidRPr="00AD0DCA" w:rsidRDefault="00CB0BB0" w:rsidP="00D9403D">
            <w:pPr>
              <w:jc w:val="both"/>
              <w:rPr>
                <w:rFonts w:ascii="Arial" w:hAnsi="Arial" w:cs="Arial"/>
                <w:sz w:val="18"/>
                <w:szCs w:val="18"/>
                <w:highlight w:val="cyan"/>
              </w:rPr>
            </w:pPr>
            <w:r w:rsidRPr="006949BD">
              <w:rPr>
                <w:rFonts w:ascii="Arial" w:hAnsi="Arial" w:cs="Arial"/>
                <w:sz w:val="18"/>
                <w:szCs w:val="18"/>
              </w:rPr>
              <w:t xml:space="preserve">Bestätigung, dass angemessene interne Verfahren </w:t>
            </w:r>
            <w:r w:rsidR="006949BD" w:rsidRPr="006949BD">
              <w:rPr>
                <w:rFonts w:ascii="Arial" w:hAnsi="Arial" w:cs="Arial"/>
                <w:sz w:val="18"/>
                <w:szCs w:val="18"/>
              </w:rPr>
              <w:t>zum</w:t>
            </w:r>
            <w:r w:rsidR="006949BD">
              <w:rPr>
                <w:rFonts w:ascii="Arial" w:hAnsi="Arial" w:cs="Arial"/>
                <w:sz w:val="18"/>
                <w:szCs w:val="18"/>
              </w:rPr>
              <w:t xml:space="preserve"> ordnungsgemässen</w:t>
            </w:r>
            <w:r w:rsidR="006949BD" w:rsidRPr="006949BD">
              <w:rPr>
                <w:rFonts w:ascii="Arial" w:hAnsi="Arial" w:cs="Arial"/>
                <w:sz w:val="18"/>
                <w:szCs w:val="18"/>
              </w:rPr>
              <w:t xml:space="preserve"> Verkauf, Ausgabe, Rücknahme, Auszahlung und </w:t>
            </w:r>
            <w:r w:rsidR="00C45760" w:rsidRPr="006949BD">
              <w:rPr>
                <w:rFonts w:ascii="Arial" w:hAnsi="Arial" w:cs="Arial"/>
                <w:sz w:val="18"/>
                <w:szCs w:val="18"/>
              </w:rPr>
              <w:t>Annullierung</w:t>
            </w:r>
            <w:r w:rsidR="006949BD" w:rsidRPr="006949BD">
              <w:rPr>
                <w:rFonts w:ascii="Arial" w:hAnsi="Arial" w:cs="Arial"/>
                <w:sz w:val="18"/>
                <w:szCs w:val="18"/>
              </w:rPr>
              <w:t xml:space="preserve"> von Fondsanteilen nach </w:t>
            </w:r>
            <w:r w:rsidR="001C621F">
              <w:rPr>
                <w:rFonts w:ascii="Arial" w:hAnsi="Arial" w:cs="Arial"/>
                <w:sz w:val="18"/>
                <w:szCs w:val="18"/>
              </w:rPr>
              <w:t xml:space="preserve">den </w:t>
            </w:r>
            <w:r w:rsidR="006949BD" w:rsidRPr="006949BD">
              <w:rPr>
                <w:rFonts w:ascii="Arial" w:hAnsi="Arial" w:cs="Arial"/>
                <w:sz w:val="18"/>
                <w:szCs w:val="18"/>
              </w:rPr>
              <w:t>massgebenden Gesetzesbestimmungen</w:t>
            </w:r>
            <w:r w:rsidR="00BB5D50">
              <w:rPr>
                <w:rFonts w:ascii="Arial" w:hAnsi="Arial" w:cs="Arial"/>
                <w:sz w:val="18"/>
                <w:szCs w:val="18"/>
              </w:rPr>
              <w:t xml:space="preserve"> und konstituierenden Dokumenten</w:t>
            </w:r>
            <w:r w:rsidR="00DD2B83">
              <w:rPr>
                <w:rFonts w:ascii="Arial" w:hAnsi="Arial" w:cs="Arial"/>
                <w:sz w:val="18"/>
                <w:szCs w:val="18"/>
              </w:rPr>
              <w:t xml:space="preserve"> (u.a. Berücksichtigung im Vorfeld von Cut-off-Zeiten, Mindestanlage, Anlegerkreis)</w:t>
            </w:r>
            <w:r w:rsidR="006949BD" w:rsidRPr="006949BD">
              <w:rPr>
                <w:rFonts w:ascii="Arial" w:hAnsi="Arial" w:cs="Arial"/>
                <w:sz w:val="18"/>
                <w:szCs w:val="18"/>
              </w:rPr>
              <w:t xml:space="preserve"> </w:t>
            </w:r>
            <w:r w:rsidR="001C621F" w:rsidRPr="006949BD">
              <w:rPr>
                <w:rFonts w:ascii="Arial" w:hAnsi="Arial" w:cs="Arial"/>
                <w:sz w:val="18"/>
                <w:szCs w:val="18"/>
              </w:rPr>
              <w:t xml:space="preserve">bestehen </w:t>
            </w:r>
            <w:r w:rsidR="006949BD">
              <w:rPr>
                <w:rFonts w:ascii="Arial" w:hAnsi="Arial" w:cs="Arial"/>
                <w:sz w:val="18"/>
                <w:szCs w:val="18"/>
              </w:rPr>
              <w:t>und im Falle der Prüftiefe Detailprüfung effektiv angewendet wurden</w:t>
            </w:r>
          </w:p>
        </w:tc>
        <w:tc>
          <w:tcPr>
            <w:tcW w:w="3382" w:type="dxa"/>
          </w:tcPr>
          <w:p w14:paraId="5931FB3A" w14:textId="77777777" w:rsidR="00CB0BB0" w:rsidRPr="00E109DF" w:rsidRDefault="00CB0BB0" w:rsidP="00D9403D">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45760" w:rsidRPr="009872F3" w14:paraId="7032E684" w14:textId="77777777" w:rsidTr="00D9403D">
        <w:tc>
          <w:tcPr>
            <w:tcW w:w="5798" w:type="dxa"/>
            <w:gridSpan w:val="3"/>
          </w:tcPr>
          <w:p w14:paraId="2AFE443E" w14:textId="6AD8519C" w:rsidR="00C45760" w:rsidRPr="006949BD" w:rsidRDefault="00BB5D50" w:rsidP="00D9403D">
            <w:pPr>
              <w:tabs>
                <w:tab w:val="left" w:pos="4458"/>
              </w:tabs>
              <w:jc w:val="both"/>
              <w:rPr>
                <w:rFonts w:ascii="Arial" w:hAnsi="Arial" w:cs="Arial"/>
                <w:sz w:val="18"/>
                <w:szCs w:val="18"/>
              </w:rPr>
            </w:pPr>
            <w:r>
              <w:rPr>
                <w:rFonts w:ascii="Arial" w:hAnsi="Arial" w:cs="Arial"/>
                <w:sz w:val="18"/>
                <w:szCs w:val="18"/>
              </w:rPr>
              <w:t>Bestätigung, dass die internen Verfahren sicherstellen, dass die Ausgabe und Rücknahme von Fondsanteilen mit dem korrekten Nettoinventarwert abgerechnet werden</w:t>
            </w:r>
            <w:r w:rsidR="00C51181">
              <w:rPr>
                <w:rFonts w:ascii="Arial" w:hAnsi="Arial" w:cs="Arial"/>
                <w:sz w:val="18"/>
                <w:szCs w:val="18"/>
              </w:rPr>
              <w:t xml:space="preserve"> und im Falle der Prüftiefe Detailprüfung effektiv angewendet wurden</w:t>
            </w:r>
          </w:p>
        </w:tc>
        <w:tc>
          <w:tcPr>
            <w:tcW w:w="3382" w:type="dxa"/>
          </w:tcPr>
          <w:p w14:paraId="778CD0CB" w14:textId="56132BA1" w:rsidR="00C45760" w:rsidRPr="00E109DF" w:rsidRDefault="00BB5D50"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4543" w:rsidRPr="009872F3" w14:paraId="2C65F027" w14:textId="77777777" w:rsidTr="002C56B9">
        <w:tc>
          <w:tcPr>
            <w:tcW w:w="5798" w:type="dxa"/>
            <w:gridSpan w:val="3"/>
          </w:tcPr>
          <w:p w14:paraId="1FBA9DB3" w14:textId="07BFCDA7" w:rsidR="000F4543" w:rsidRPr="00D20941" w:rsidRDefault="000F4543" w:rsidP="002C56B9">
            <w:pPr>
              <w:tabs>
                <w:tab w:val="left" w:pos="4458"/>
              </w:tabs>
              <w:jc w:val="both"/>
              <w:rPr>
                <w:rFonts w:ascii="Arial" w:hAnsi="Arial" w:cs="Arial"/>
                <w:sz w:val="18"/>
                <w:szCs w:val="18"/>
              </w:rPr>
            </w:pPr>
            <w:r w:rsidRPr="006949BD">
              <w:rPr>
                <w:rFonts w:ascii="Arial" w:hAnsi="Arial" w:cs="Arial"/>
                <w:sz w:val="18"/>
                <w:szCs w:val="18"/>
              </w:rPr>
              <w:t>Bestätigung, dass angemessene interne Verfahren bestehen zur Führung eines vollständigen und aktuellen Anteilsscheinregisters</w:t>
            </w:r>
            <w:r w:rsidR="00C51181">
              <w:rPr>
                <w:rFonts w:ascii="Arial" w:hAnsi="Arial" w:cs="Arial"/>
                <w:sz w:val="18"/>
                <w:szCs w:val="18"/>
              </w:rPr>
              <w:t xml:space="preserve"> und im Falle der Prüftiefe Detailprüfung effektiv angewendet wurden</w:t>
            </w:r>
          </w:p>
        </w:tc>
        <w:tc>
          <w:tcPr>
            <w:tcW w:w="3382" w:type="dxa"/>
          </w:tcPr>
          <w:p w14:paraId="5540A77B" w14:textId="77777777" w:rsidR="000F4543" w:rsidRPr="009872F3" w:rsidRDefault="000F4543" w:rsidP="002C56B9">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F4543" w:rsidRPr="009872F3" w14:paraId="4ECBA842" w14:textId="77777777" w:rsidTr="00D9403D">
        <w:tc>
          <w:tcPr>
            <w:tcW w:w="5798" w:type="dxa"/>
            <w:gridSpan w:val="3"/>
          </w:tcPr>
          <w:p w14:paraId="5161E478" w14:textId="64413C6F" w:rsidR="000F4543" w:rsidRPr="006949BD" w:rsidRDefault="000F3843" w:rsidP="00D9403D">
            <w:pPr>
              <w:tabs>
                <w:tab w:val="left" w:pos="4458"/>
              </w:tabs>
              <w:jc w:val="both"/>
              <w:rPr>
                <w:rFonts w:ascii="Arial" w:hAnsi="Arial" w:cs="Arial"/>
                <w:sz w:val="18"/>
                <w:szCs w:val="18"/>
              </w:rPr>
            </w:pPr>
            <w:r>
              <w:rPr>
                <w:rFonts w:ascii="Arial" w:hAnsi="Arial" w:cs="Arial"/>
                <w:sz w:val="18"/>
                <w:szCs w:val="18"/>
              </w:rPr>
              <w:t>Bestätigung, dass angemessene Abstimmungsverfahren bestehe</w:t>
            </w:r>
            <w:r w:rsidR="00FF684E">
              <w:rPr>
                <w:rFonts w:ascii="Arial" w:hAnsi="Arial" w:cs="Arial"/>
                <w:sz w:val="18"/>
                <w:szCs w:val="18"/>
              </w:rPr>
              <w:t>n und im Falle der Prüftiefe Detailprüfung effektiv angewendet wurden</w:t>
            </w:r>
            <w:r>
              <w:rPr>
                <w:rFonts w:ascii="Arial" w:hAnsi="Arial" w:cs="Arial"/>
                <w:sz w:val="18"/>
                <w:szCs w:val="18"/>
              </w:rPr>
              <w:t xml:space="preserve"> </w:t>
            </w:r>
          </w:p>
        </w:tc>
        <w:tc>
          <w:tcPr>
            <w:tcW w:w="3382" w:type="dxa"/>
          </w:tcPr>
          <w:p w14:paraId="3386A098" w14:textId="4945A2D9" w:rsidR="000F4543" w:rsidRPr="00E109DF" w:rsidRDefault="000F3843"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B0BB0" w:rsidRPr="009872F3" w14:paraId="3535A1A6" w14:textId="77777777" w:rsidTr="00D9403D">
        <w:tc>
          <w:tcPr>
            <w:tcW w:w="5798" w:type="dxa"/>
            <w:gridSpan w:val="3"/>
          </w:tcPr>
          <w:p w14:paraId="57DDF362" w14:textId="4F653E43" w:rsidR="00CB0BB0" w:rsidRPr="00AD0DCA" w:rsidRDefault="00CB0BB0" w:rsidP="00D9403D">
            <w:pPr>
              <w:tabs>
                <w:tab w:val="left" w:pos="4458"/>
              </w:tabs>
              <w:jc w:val="both"/>
              <w:rPr>
                <w:rFonts w:ascii="Arial" w:hAnsi="Arial" w:cs="Arial"/>
                <w:sz w:val="18"/>
                <w:szCs w:val="18"/>
                <w:highlight w:val="cyan"/>
              </w:rPr>
            </w:pPr>
          </w:p>
        </w:tc>
        <w:tc>
          <w:tcPr>
            <w:tcW w:w="3382" w:type="dxa"/>
          </w:tcPr>
          <w:p w14:paraId="78CEEBB6" w14:textId="47D0E3E6" w:rsidR="00CB0BB0" w:rsidRPr="009872F3" w:rsidRDefault="00CB0BB0" w:rsidP="00D9403D">
            <w:pPr>
              <w:jc w:val="both"/>
              <w:rPr>
                <w:rFonts w:ascii="Arial" w:hAnsi="Arial" w:cs="Arial"/>
                <w:sz w:val="18"/>
                <w:szCs w:val="18"/>
              </w:rPr>
            </w:pPr>
          </w:p>
        </w:tc>
      </w:tr>
      <w:tr w:rsidR="00AB459F" w:rsidRPr="009872F3" w14:paraId="3EFAA0EA" w14:textId="77777777" w:rsidTr="008034B7">
        <w:tc>
          <w:tcPr>
            <w:tcW w:w="9180" w:type="dxa"/>
            <w:gridSpan w:val="4"/>
          </w:tcPr>
          <w:p w14:paraId="036EB879"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49A7A1E5"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658732F2" w14:textId="77777777" w:rsidR="00CB0BB0" w:rsidRDefault="00CB0BB0" w:rsidP="00CB0BB0">
      <w:pPr>
        <w:jc w:val="both"/>
      </w:pPr>
    </w:p>
    <w:tbl>
      <w:tblPr>
        <w:tblStyle w:val="Tabellenraster"/>
        <w:tblW w:w="0" w:type="auto"/>
        <w:tblLook w:val="04A0" w:firstRow="1" w:lastRow="0" w:firstColumn="1" w:lastColumn="0" w:noHBand="0" w:noVBand="1"/>
      </w:tblPr>
      <w:tblGrid>
        <w:gridCol w:w="2660"/>
        <w:gridCol w:w="6520"/>
      </w:tblGrid>
      <w:tr w:rsidR="00CB0BB0" w:rsidRPr="00CE3194" w14:paraId="6BB3ABF7" w14:textId="77777777" w:rsidTr="00D9403D">
        <w:tc>
          <w:tcPr>
            <w:tcW w:w="2660" w:type="dxa"/>
          </w:tcPr>
          <w:p w14:paraId="0EBA5F5C"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EE9000D"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CB0BB0" w:rsidRPr="00CE3194" w14:paraId="2FC5567D" w14:textId="77777777" w:rsidTr="00D9403D">
        <w:tc>
          <w:tcPr>
            <w:tcW w:w="2660" w:type="dxa"/>
          </w:tcPr>
          <w:p w14:paraId="66D91A3D" w14:textId="09EE7964" w:rsidR="00CB0BB0" w:rsidRPr="00BB5D50" w:rsidRDefault="00615DA1" w:rsidP="00D9403D">
            <w:pPr>
              <w:jc w:val="both"/>
              <w:rPr>
                <w:rFonts w:ascii="Arial" w:hAnsi="Arial" w:cs="Arial"/>
                <w:i/>
                <w:sz w:val="20"/>
                <w:szCs w:val="20"/>
                <w:highlight w:val="lightGray"/>
              </w:rPr>
            </w:pPr>
            <w:r w:rsidRPr="00BB5D50">
              <w:rPr>
                <w:rFonts w:ascii="Arial" w:hAnsi="Arial" w:cs="Arial"/>
                <w:i/>
                <w:sz w:val="20"/>
                <w:szCs w:val="20"/>
                <w:highlight w:val="lightGray"/>
              </w:rPr>
              <w:t>Ausgabe und Rücknahme der Anteile</w:t>
            </w:r>
          </w:p>
        </w:tc>
        <w:tc>
          <w:tcPr>
            <w:tcW w:w="6520" w:type="dxa"/>
          </w:tcPr>
          <w:p w14:paraId="4F2B85FB" w14:textId="63219419" w:rsidR="00CB0BB0" w:rsidRPr="00BB5D50" w:rsidRDefault="001C621F"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Die internen Verfahren stellen sicher, dass der Verkauf, die Ausgabe, die Rücknahme, die Auszahlung und die Annullierung von Fondsanteilen nach massgebenden Gesetzesbestimmungen angemessen erfolgt</w:t>
            </w:r>
            <w:r w:rsidR="007C6440">
              <w:rPr>
                <w:rFonts w:cs="Arial"/>
                <w:i/>
                <w:szCs w:val="20"/>
                <w:highlight w:val="lightGray"/>
              </w:rPr>
              <w:t>.</w:t>
            </w:r>
          </w:p>
          <w:p w14:paraId="4DF3E695" w14:textId="3AD23358" w:rsidR="001C621F" w:rsidRPr="00BB5D50" w:rsidRDefault="001C621F"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 xml:space="preserve">Die internen Verfahren stellen sicher, dass Bestimmungen aus den konstituierenden Dokumenten wie </w:t>
            </w:r>
            <w:r w:rsidR="000F3843">
              <w:rPr>
                <w:rFonts w:cs="Arial"/>
                <w:i/>
                <w:szCs w:val="20"/>
                <w:highlight w:val="lightGray"/>
              </w:rPr>
              <w:t xml:space="preserve">z.B. </w:t>
            </w:r>
            <w:r w:rsidRPr="00BB5D50">
              <w:rPr>
                <w:rFonts w:cs="Arial"/>
                <w:i/>
                <w:szCs w:val="20"/>
                <w:highlight w:val="lightGray"/>
              </w:rPr>
              <w:t>Cut-off-Zeiten</w:t>
            </w:r>
            <w:r w:rsidR="001B3132">
              <w:rPr>
                <w:rFonts w:cs="Arial"/>
                <w:i/>
                <w:szCs w:val="20"/>
                <w:highlight w:val="lightGray"/>
              </w:rPr>
              <w:t xml:space="preserve">, </w:t>
            </w:r>
            <w:r w:rsidRPr="00BB5D50">
              <w:rPr>
                <w:rFonts w:cs="Arial"/>
                <w:i/>
                <w:szCs w:val="20"/>
                <w:highlight w:val="lightGray"/>
              </w:rPr>
              <w:t xml:space="preserve">Mindestanlage </w:t>
            </w:r>
            <w:r w:rsidR="001B3132">
              <w:rPr>
                <w:rFonts w:cs="Arial"/>
                <w:i/>
                <w:szCs w:val="20"/>
                <w:highlight w:val="lightGray"/>
              </w:rPr>
              <w:t xml:space="preserve">und Anlegerkreis </w:t>
            </w:r>
            <w:r w:rsidRPr="00BB5D50">
              <w:rPr>
                <w:rFonts w:cs="Arial"/>
                <w:i/>
                <w:szCs w:val="20"/>
                <w:highlight w:val="lightGray"/>
              </w:rPr>
              <w:t xml:space="preserve">vor dem Verkauf, </w:t>
            </w:r>
            <w:r w:rsidR="000D3257">
              <w:rPr>
                <w:rFonts w:cs="Arial"/>
                <w:i/>
                <w:szCs w:val="20"/>
                <w:highlight w:val="lightGray"/>
              </w:rPr>
              <w:t xml:space="preserve">der </w:t>
            </w:r>
            <w:r w:rsidRPr="00BB5D50">
              <w:rPr>
                <w:rFonts w:cs="Arial"/>
                <w:i/>
                <w:szCs w:val="20"/>
                <w:highlight w:val="lightGray"/>
              </w:rPr>
              <w:t xml:space="preserve">Ausgabe, </w:t>
            </w:r>
            <w:r w:rsidR="000D3257">
              <w:rPr>
                <w:rFonts w:cs="Arial"/>
                <w:i/>
                <w:szCs w:val="20"/>
                <w:highlight w:val="lightGray"/>
              </w:rPr>
              <w:t xml:space="preserve">der </w:t>
            </w:r>
            <w:r w:rsidRPr="00BB5D50">
              <w:rPr>
                <w:rFonts w:cs="Arial"/>
                <w:i/>
                <w:szCs w:val="20"/>
                <w:highlight w:val="lightGray"/>
              </w:rPr>
              <w:t xml:space="preserve">Rücknahme, </w:t>
            </w:r>
            <w:r w:rsidR="000D3257">
              <w:rPr>
                <w:rFonts w:cs="Arial"/>
                <w:i/>
                <w:szCs w:val="20"/>
                <w:highlight w:val="lightGray"/>
              </w:rPr>
              <w:t xml:space="preserve">der </w:t>
            </w:r>
            <w:r w:rsidRPr="00BB5D50">
              <w:rPr>
                <w:rFonts w:cs="Arial"/>
                <w:i/>
                <w:szCs w:val="20"/>
                <w:highlight w:val="lightGray"/>
              </w:rPr>
              <w:t xml:space="preserve">Auszahlung und </w:t>
            </w:r>
            <w:r w:rsidR="000D3257">
              <w:rPr>
                <w:rFonts w:cs="Arial"/>
                <w:i/>
                <w:szCs w:val="20"/>
                <w:highlight w:val="lightGray"/>
              </w:rPr>
              <w:t xml:space="preserve">der </w:t>
            </w:r>
            <w:r w:rsidRPr="00BB5D50">
              <w:rPr>
                <w:rFonts w:cs="Arial"/>
                <w:i/>
                <w:szCs w:val="20"/>
                <w:highlight w:val="lightGray"/>
              </w:rPr>
              <w:t>Annullierung von Fondsanteilen angemessen überprüft werden</w:t>
            </w:r>
            <w:r w:rsidR="007C6440">
              <w:rPr>
                <w:rFonts w:cs="Arial"/>
                <w:i/>
                <w:szCs w:val="20"/>
                <w:highlight w:val="lightGray"/>
              </w:rPr>
              <w:t>.</w:t>
            </w:r>
          </w:p>
          <w:p w14:paraId="6995219D" w14:textId="7639EF6F" w:rsidR="00BB5D50" w:rsidRPr="00BB5D50" w:rsidRDefault="00BB5D50"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Die internen Verfahren stellen sicher, dass die Ausgabe und Rücknahme von Fondanteilen mit dem korrekten Nettoinventarwert abgerechnet werden</w:t>
            </w:r>
            <w:r w:rsidR="007C6440">
              <w:rPr>
                <w:rFonts w:cs="Arial"/>
                <w:i/>
                <w:szCs w:val="20"/>
                <w:highlight w:val="lightGray"/>
              </w:rPr>
              <w:t>.</w:t>
            </w:r>
          </w:p>
          <w:p w14:paraId="7C83E81E" w14:textId="3C4FDF87" w:rsidR="001C621F" w:rsidRDefault="00486ED9" w:rsidP="00D9403D">
            <w:pPr>
              <w:pStyle w:val="Listenabsatz"/>
              <w:numPr>
                <w:ilvl w:val="1"/>
                <w:numId w:val="17"/>
              </w:numPr>
              <w:ind w:left="317" w:hanging="283"/>
              <w:jc w:val="both"/>
              <w:rPr>
                <w:rFonts w:cs="Arial"/>
                <w:i/>
                <w:szCs w:val="20"/>
                <w:highlight w:val="lightGray"/>
              </w:rPr>
            </w:pPr>
            <w:r w:rsidRPr="00BB5D50">
              <w:rPr>
                <w:rFonts w:cs="Arial"/>
                <w:i/>
                <w:szCs w:val="20"/>
                <w:highlight w:val="lightGray"/>
              </w:rPr>
              <w:t xml:space="preserve">Die internen Verfahren stellen sicher, dass das Anteilsscheinregister vollständig und tagesaktuell geführt wird. </w:t>
            </w:r>
            <w:r w:rsidR="00B32881">
              <w:rPr>
                <w:rFonts w:cs="Arial"/>
                <w:i/>
                <w:szCs w:val="20"/>
                <w:highlight w:val="lightGray"/>
              </w:rPr>
              <w:t xml:space="preserve">Sofern die Führung des </w:t>
            </w:r>
            <w:r w:rsidR="00B32881">
              <w:rPr>
                <w:rFonts w:cs="Arial"/>
                <w:i/>
                <w:szCs w:val="20"/>
                <w:highlight w:val="lightGray"/>
              </w:rPr>
              <w:lastRenderedPageBreak/>
              <w:t>Anteilsscheinregister</w:t>
            </w:r>
            <w:r w:rsidR="000D3257">
              <w:rPr>
                <w:rFonts w:cs="Arial"/>
                <w:i/>
                <w:szCs w:val="20"/>
                <w:highlight w:val="lightGray"/>
              </w:rPr>
              <w:t>s</w:t>
            </w:r>
            <w:r w:rsidR="00B32881">
              <w:rPr>
                <w:rFonts w:cs="Arial"/>
                <w:i/>
                <w:szCs w:val="20"/>
                <w:highlight w:val="lightGray"/>
              </w:rPr>
              <w:t xml:space="preserve"> durch die Verwahrstelle nicht selbst durchgeführt wird, hat diese im Rahmen ihrer Überwachungspflichten sicherzustellen, dass das Anteilsscheinregister durch d</w:t>
            </w:r>
            <w:r w:rsidR="00054C52">
              <w:rPr>
                <w:rFonts w:cs="Arial"/>
                <w:i/>
                <w:szCs w:val="20"/>
                <w:highlight w:val="lightGray"/>
              </w:rPr>
              <w:t xml:space="preserve">ie Verwaltungsgesellschaft/AIFM </w:t>
            </w:r>
            <w:r w:rsidR="00B32881">
              <w:rPr>
                <w:rFonts w:cs="Arial"/>
                <w:i/>
                <w:szCs w:val="20"/>
                <w:highlight w:val="lightGray"/>
              </w:rPr>
              <w:t xml:space="preserve">aktuell und vollständig </w:t>
            </w:r>
            <w:r w:rsidR="00054C52">
              <w:rPr>
                <w:rFonts w:cs="Arial"/>
                <w:i/>
                <w:szCs w:val="20"/>
                <w:highlight w:val="lightGray"/>
              </w:rPr>
              <w:t>ge</w:t>
            </w:r>
            <w:r w:rsidR="00B32881">
              <w:rPr>
                <w:rFonts w:cs="Arial"/>
                <w:i/>
                <w:szCs w:val="20"/>
                <w:highlight w:val="lightGray"/>
              </w:rPr>
              <w:t>führt</w:t>
            </w:r>
            <w:r w:rsidR="00054C52">
              <w:rPr>
                <w:rFonts w:cs="Arial"/>
                <w:i/>
                <w:szCs w:val="20"/>
                <w:highlight w:val="lightGray"/>
              </w:rPr>
              <w:t xml:space="preserve"> wird</w:t>
            </w:r>
            <w:r w:rsidR="00B32881">
              <w:rPr>
                <w:rFonts w:cs="Arial"/>
                <w:i/>
                <w:szCs w:val="20"/>
                <w:highlight w:val="lightGray"/>
              </w:rPr>
              <w:t xml:space="preserve">. </w:t>
            </w:r>
          </w:p>
          <w:p w14:paraId="3472B638" w14:textId="2353AA00" w:rsidR="001C621F" w:rsidRPr="00AE7751" w:rsidRDefault="00AE7751" w:rsidP="00AE7751">
            <w:pPr>
              <w:pStyle w:val="Listenabsatz"/>
              <w:numPr>
                <w:ilvl w:val="1"/>
                <w:numId w:val="17"/>
              </w:numPr>
              <w:ind w:left="317" w:hanging="283"/>
              <w:jc w:val="both"/>
              <w:rPr>
                <w:rFonts w:cs="Arial"/>
                <w:i/>
                <w:szCs w:val="20"/>
                <w:highlight w:val="lightGray"/>
              </w:rPr>
            </w:pPr>
            <w:r w:rsidRPr="00AE7751">
              <w:rPr>
                <w:rFonts w:cs="Arial"/>
                <w:i/>
                <w:szCs w:val="20"/>
                <w:highlight w:val="lightGray"/>
              </w:rPr>
              <w:t>Die internen Verfahren stellen die Überprüfung der Existenz, Konsistenz und Angemessenheit des Abstimmungsverfahrens (</w:t>
            </w:r>
            <w:r w:rsidR="000F3843" w:rsidRPr="00AE7751">
              <w:rPr>
                <w:rFonts w:cs="Arial"/>
                <w:i/>
                <w:szCs w:val="20"/>
                <w:highlight w:val="lightGray"/>
              </w:rPr>
              <w:t>Zeichnungsaufträge mit den Zeichnungserlösen und die Anzahl der ausgegebenen Anteile mit den erhaltenen Zeichnungserlösen; Auszahlungsaufträge mit den tatsächlichen Auszahlungen und die Anzahl der annullierten Anteile mit den geleisteten Auszahlungen</w:t>
            </w:r>
            <w:r w:rsidRPr="00AE7751">
              <w:rPr>
                <w:rFonts w:cs="Arial"/>
                <w:i/>
                <w:szCs w:val="20"/>
                <w:highlight w:val="lightGray"/>
              </w:rPr>
              <w:t xml:space="preserve">) der </w:t>
            </w:r>
            <w:r w:rsidR="00CE2CD8">
              <w:rPr>
                <w:rFonts w:cs="Arial"/>
                <w:i/>
                <w:szCs w:val="20"/>
                <w:highlight w:val="lightGray"/>
              </w:rPr>
              <w:t>Fonds</w:t>
            </w:r>
            <w:r w:rsidRPr="00AE7751">
              <w:rPr>
                <w:rFonts w:cs="Arial"/>
                <w:i/>
                <w:szCs w:val="20"/>
                <w:highlight w:val="lightGray"/>
              </w:rPr>
              <w:t xml:space="preserve"> sicher. Diesbezüglich prüft die Verwahrstelle regelmässig (unter Berücksichtigung der Zeichnungs- und Rücknahmehäufigkeit) die Übereinstimmung der Gesamt</w:t>
            </w:r>
            <w:r w:rsidR="00D20941" w:rsidRPr="00AE7751">
              <w:rPr>
                <w:rFonts w:cs="Arial"/>
                <w:i/>
                <w:szCs w:val="20"/>
                <w:highlight w:val="lightGray"/>
              </w:rPr>
              <w:t xml:space="preserve">anzahl der Anteile auf den Konten mit </w:t>
            </w:r>
            <w:r>
              <w:rPr>
                <w:rFonts w:cs="Arial"/>
                <w:i/>
                <w:szCs w:val="20"/>
                <w:highlight w:val="lightGray"/>
              </w:rPr>
              <w:t xml:space="preserve">der </w:t>
            </w:r>
            <w:r w:rsidR="00D20941" w:rsidRPr="00AE7751">
              <w:rPr>
                <w:rFonts w:cs="Arial"/>
                <w:i/>
                <w:szCs w:val="20"/>
                <w:highlight w:val="lightGray"/>
              </w:rPr>
              <w:t>Gesamtanzahl der ausstehenden Anteile im Register</w:t>
            </w:r>
            <w:r>
              <w:rPr>
                <w:rFonts w:cs="Arial"/>
                <w:i/>
                <w:szCs w:val="20"/>
                <w:highlight w:val="lightGray"/>
              </w:rPr>
              <w:t xml:space="preserve">. </w:t>
            </w:r>
            <w:r w:rsidR="00D20941" w:rsidRPr="00AE7751">
              <w:rPr>
                <w:rFonts w:cs="Arial"/>
                <w:i/>
                <w:szCs w:val="20"/>
                <w:highlight w:val="lightGray"/>
              </w:rPr>
              <w:t xml:space="preserve"> </w:t>
            </w:r>
          </w:p>
        </w:tc>
      </w:tr>
    </w:tbl>
    <w:p w14:paraId="75385B99" w14:textId="77777777" w:rsidR="00CB0BB0" w:rsidRDefault="00CB0BB0" w:rsidP="00CB0BB0">
      <w:pPr>
        <w:jc w:val="both"/>
      </w:pPr>
    </w:p>
    <w:p w14:paraId="0E1EE8C8" w14:textId="77777777" w:rsidR="00CB0BB0" w:rsidRPr="00276C60"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6CE0747F" w14:textId="52D4FF38" w:rsidR="00CB0BB0" w:rsidRDefault="00CB0BB0" w:rsidP="00CB3EE6">
      <w:pPr>
        <w:jc w:val="both"/>
      </w:pPr>
    </w:p>
    <w:p w14:paraId="504FFAE2" w14:textId="27588D64" w:rsidR="00CB0BB0" w:rsidRDefault="00CB0BB0" w:rsidP="00CB3EE6">
      <w:pPr>
        <w:jc w:val="both"/>
      </w:pPr>
    </w:p>
    <w:p w14:paraId="08A5CF12" w14:textId="787AEFA5" w:rsidR="00CB0BB0" w:rsidRPr="00CB0BB0" w:rsidRDefault="00CB0BB0" w:rsidP="00CB0BB0">
      <w:pPr>
        <w:pStyle w:val="FINMAGliederungEbene3"/>
      </w:pPr>
      <w:bookmarkStart w:id="24" w:name="_Toc185241477"/>
      <w:r w:rsidRPr="00CB0BB0">
        <w:t>Besorgung des Zahlungsverkehrs (BA-3)</w:t>
      </w:r>
      <w:bookmarkEnd w:id="24"/>
    </w:p>
    <w:p w14:paraId="5C059EA2"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7515EFA3" w14:textId="77777777" w:rsidTr="00D9403D">
        <w:trPr>
          <w:trHeight w:val="563"/>
        </w:trPr>
        <w:tc>
          <w:tcPr>
            <w:tcW w:w="1932" w:type="dxa"/>
          </w:tcPr>
          <w:p w14:paraId="5EA3966D"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44CEAAD0"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77BD7E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2439C44F" w14:textId="77777777" w:rsidTr="00D9403D">
        <w:trPr>
          <w:trHeight w:val="698"/>
        </w:trPr>
        <w:tc>
          <w:tcPr>
            <w:tcW w:w="1932" w:type="dxa"/>
          </w:tcPr>
          <w:p w14:paraId="659727B0"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72DA854B"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4387FD6"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68D1CAB"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E91A37D"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FF684E" w14:paraId="5E18A1FC" w14:textId="77777777" w:rsidTr="00D9403D">
        <w:trPr>
          <w:trHeight w:val="636"/>
        </w:trPr>
        <w:tc>
          <w:tcPr>
            <w:tcW w:w="9180" w:type="dxa"/>
            <w:gridSpan w:val="4"/>
          </w:tcPr>
          <w:p w14:paraId="572CD2A1" w14:textId="77777777" w:rsidR="00CB0BB0" w:rsidRDefault="00CB0BB0" w:rsidP="00D9403D">
            <w:pPr>
              <w:jc w:val="both"/>
              <w:rPr>
                <w:rFonts w:ascii="Arial" w:hAnsi="Arial" w:cs="Arial"/>
                <w:sz w:val="18"/>
                <w:szCs w:val="18"/>
              </w:rPr>
            </w:pPr>
          </w:p>
          <w:p w14:paraId="6D9952B6"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E07035C" w14:textId="563C45AB" w:rsidR="00CB0BB0" w:rsidRPr="00FF684E" w:rsidRDefault="00FF684E" w:rsidP="00D9403D">
            <w:pPr>
              <w:jc w:val="both"/>
              <w:rPr>
                <w:rFonts w:ascii="Arial" w:hAnsi="Arial" w:cs="Arial"/>
                <w:sz w:val="18"/>
                <w:szCs w:val="18"/>
              </w:rPr>
            </w:pPr>
            <w:r w:rsidRPr="00FF684E">
              <w:rPr>
                <w:rFonts w:ascii="Arial" w:hAnsi="Arial" w:cs="Arial"/>
                <w:sz w:val="18"/>
                <w:szCs w:val="18"/>
                <w:highlight w:val="yellow"/>
              </w:rPr>
              <w:t xml:space="preserve">Art. 43 Abs. 3 IUG; Art. 33 Abs. 1 Bst. c ff UCITSG; Art. 59 Abs. 1 Bst. c ff AIFMG; </w:t>
            </w:r>
            <w:proofErr w:type="spellStart"/>
            <w:r w:rsidRPr="002F4F10">
              <w:rPr>
                <w:rFonts w:ascii="Arial" w:hAnsi="Arial" w:cs="Arial"/>
                <w:sz w:val="18"/>
                <w:szCs w:val="18"/>
                <w:highlight w:val="yellow"/>
              </w:rPr>
              <w:t>DelVO</w:t>
            </w:r>
            <w:proofErr w:type="spellEnd"/>
            <w:r w:rsidRPr="002F4F10">
              <w:rPr>
                <w:rFonts w:ascii="Arial" w:hAnsi="Arial" w:cs="Arial"/>
                <w:sz w:val="18"/>
                <w:szCs w:val="18"/>
                <w:highlight w:val="yellow"/>
              </w:rPr>
              <w:t xml:space="preserve"> (EU) N</w:t>
            </w:r>
            <w:r>
              <w:rPr>
                <w:rFonts w:ascii="Arial" w:hAnsi="Arial" w:cs="Arial"/>
                <w:sz w:val="18"/>
                <w:szCs w:val="18"/>
                <w:highlight w:val="yellow"/>
              </w:rPr>
              <w:t>r</w:t>
            </w:r>
            <w:r w:rsidRPr="002F4F10">
              <w:rPr>
                <w:rFonts w:ascii="Arial" w:hAnsi="Arial" w:cs="Arial"/>
                <w:sz w:val="18"/>
                <w:szCs w:val="18"/>
                <w:highlight w:val="yellow"/>
              </w:rPr>
              <w:t>. 2016/438</w:t>
            </w:r>
            <w:r w:rsidR="00FC4464">
              <w:rPr>
                <w:rFonts w:ascii="Arial" w:hAnsi="Arial" w:cs="Arial"/>
                <w:sz w:val="18"/>
                <w:szCs w:val="18"/>
                <w:highlight w:val="yellow"/>
              </w:rPr>
              <w:t xml:space="preserve"> Art. 9 ff</w:t>
            </w:r>
            <w:r>
              <w:rPr>
                <w:rFonts w:ascii="Arial" w:hAnsi="Arial" w:cs="Arial"/>
                <w:sz w:val="18"/>
                <w:szCs w:val="18"/>
                <w:highlight w:val="yellow"/>
              </w:rPr>
              <w:t>;</w:t>
            </w:r>
            <w:r w:rsidR="00FC4464">
              <w:rPr>
                <w:rFonts w:ascii="Arial" w:hAnsi="Arial" w:cs="Arial"/>
                <w:sz w:val="18"/>
                <w:szCs w:val="18"/>
                <w:highlight w:val="yellow"/>
              </w:rPr>
              <w:t xml:space="preserve"> </w:t>
            </w:r>
            <w:proofErr w:type="spellStart"/>
            <w:r w:rsidR="00F577A6">
              <w:rPr>
                <w:rFonts w:ascii="Arial" w:hAnsi="Arial" w:cs="Arial"/>
                <w:sz w:val="18"/>
                <w:szCs w:val="18"/>
                <w:highlight w:val="yellow"/>
              </w:rPr>
              <w:t>DelVO</w:t>
            </w:r>
            <w:proofErr w:type="spellEnd"/>
            <w:r w:rsidR="00F577A6">
              <w:rPr>
                <w:rFonts w:ascii="Arial" w:hAnsi="Arial" w:cs="Arial"/>
                <w:sz w:val="18"/>
                <w:szCs w:val="18"/>
                <w:highlight w:val="yellow"/>
              </w:rPr>
              <w:t xml:space="preserve"> (EU) Nr. 231/2013 Art. 86</w:t>
            </w:r>
            <w:r w:rsidR="00054C52">
              <w:rPr>
                <w:rFonts w:ascii="Arial" w:hAnsi="Arial" w:cs="Arial"/>
                <w:sz w:val="18"/>
                <w:szCs w:val="18"/>
                <w:highlight w:val="yellow"/>
              </w:rPr>
              <w:t>, FMA-Mitteilung 2018/1</w:t>
            </w:r>
          </w:p>
        </w:tc>
      </w:tr>
      <w:tr w:rsidR="00CB0BB0" w:rsidRPr="00FF684E" w14:paraId="2EA13DE8" w14:textId="77777777" w:rsidTr="00D9403D">
        <w:trPr>
          <w:trHeight w:val="294"/>
        </w:trPr>
        <w:tc>
          <w:tcPr>
            <w:tcW w:w="9180" w:type="dxa"/>
            <w:gridSpan w:val="4"/>
          </w:tcPr>
          <w:p w14:paraId="720B17E9" w14:textId="77777777" w:rsidR="00CB0BB0" w:rsidRPr="00FF684E" w:rsidRDefault="00CB0BB0" w:rsidP="00D9403D">
            <w:pPr>
              <w:jc w:val="both"/>
              <w:rPr>
                <w:rFonts w:ascii="Arial" w:hAnsi="Arial" w:cs="Arial"/>
                <w:sz w:val="18"/>
                <w:szCs w:val="18"/>
              </w:rPr>
            </w:pPr>
          </w:p>
        </w:tc>
      </w:tr>
      <w:tr w:rsidR="00CB0BB0" w:rsidRPr="009872F3" w14:paraId="0C6D553D" w14:textId="77777777" w:rsidTr="00D9403D">
        <w:tc>
          <w:tcPr>
            <w:tcW w:w="5798" w:type="dxa"/>
            <w:gridSpan w:val="3"/>
          </w:tcPr>
          <w:p w14:paraId="7AD0B549" w14:textId="4948D07B" w:rsidR="00CB0BB0" w:rsidRPr="009936B4" w:rsidRDefault="009936B4" w:rsidP="00D9403D">
            <w:pPr>
              <w:jc w:val="both"/>
              <w:rPr>
                <w:rFonts w:ascii="Arial" w:hAnsi="Arial" w:cs="Arial"/>
                <w:sz w:val="18"/>
                <w:szCs w:val="18"/>
              </w:rPr>
            </w:pPr>
            <w:r w:rsidRPr="009936B4">
              <w:rPr>
                <w:rFonts w:ascii="Arial" w:hAnsi="Arial" w:cs="Arial"/>
                <w:sz w:val="18"/>
                <w:szCs w:val="18"/>
              </w:rPr>
              <w:t>Bestätigung, dass die internen Verfahren sicherstellen, dass die Verwahrstelle</w:t>
            </w:r>
            <w:r>
              <w:rPr>
                <w:rFonts w:ascii="Arial" w:hAnsi="Arial" w:cs="Arial"/>
                <w:sz w:val="18"/>
                <w:szCs w:val="18"/>
              </w:rPr>
              <w:t xml:space="preserve"> einen</w:t>
            </w:r>
            <w:r w:rsidRPr="009936B4">
              <w:rPr>
                <w:rFonts w:ascii="Arial" w:hAnsi="Arial" w:cs="Arial"/>
                <w:sz w:val="18"/>
                <w:szCs w:val="18"/>
              </w:rPr>
              <w:t xml:space="preserve"> vollständigen und klaren Überblick über alle ein- und ausgehenden Barmittelströme hat</w:t>
            </w:r>
          </w:p>
        </w:tc>
        <w:tc>
          <w:tcPr>
            <w:tcW w:w="3382" w:type="dxa"/>
          </w:tcPr>
          <w:p w14:paraId="33C7A0B7" w14:textId="77777777" w:rsidR="00CB0BB0" w:rsidRPr="00E109DF" w:rsidRDefault="00CB0BB0" w:rsidP="00D9403D">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05CF6" w:rsidRPr="009872F3" w14:paraId="1CD80B0A" w14:textId="77777777" w:rsidTr="00D9403D">
        <w:tc>
          <w:tcPr>
            <w:tcW w:w="5798" w:type="dxa"/>
            <w:gridSpan w:val="3"/>
          </w:tcPr>
          <w:p w14:paraId="55730C39" w14:textId="143035F1" w:rsidR="00C05CF6" w:rsidRPr="009936B4" w:rsidRDefault="00C05CF6" w:rsidP="00D9403D">
            <w:pPr>
              <w:tabs>
                <w:tab w:val="left" w:pos="4458"/>
              </w:tabs>
              <w:jc w:val="both"/>
              <w:rPr>
                <w:rFonts w:ascii="Arial" w:hAnsi="Arial" w:cs="Arial"/>
                <w:sz w:val="18"/>
                <w:szCs w:val="18"/>
              </w:rPr>
            </w:pPr>
            <w:r>
              <w:rPr>
                <w:rFonts w:ascii="Arial" w:hAnsi="Arial" w:cs="Arial"/>
                <w:sz w:val="18"/>
                <w:szCs w:val="18"/>
              </w:rPr>
              <w:t>Bestätigung, dass die flüssigen Mittel auf Konten de</w:t>
            </w:r>
            <w:r w:rsidR="00AB26C8">
              <w:rPr>
                <w:rFonts w:ascii="Arial" w:hAnsi="Arial" w:cs="Arial"/>
                <w:sz w:val="18"/>
                <w:szCs w:val="18"/>
              </w:rPr>
              <w:t>s</w:t>
            </w:r>
            <w:r>
              <w:rPr>
                <w:rFonts w:ascii="Arial" w:hAnsi="Arial" w:cs="Arial"/>
                <w:sz w:val="18"/>
                <w:szCs w:val="18"/>
              </w:rPr>
              <w:t xml:space="preserve"> Fonds geführt werden, </w:t>
            </w:r>
            <w:r w:rsidR="00AB26C8">
              <w:rPr>
                <w:rFonts w:ascii="Arial" w:hAnsi="Arial" w:cs="Arial"/>
                <w:sz w:val="18"/>
                <w:szCs w:val="18"/>
              </w:rPr>
              <w:t>welche</w:t>
            </w:r>
            <w:r>
              <w:rPr>
                <w:rFonts w:ascii="Arial" w:hAnsi="Arial" w:cs="Arial"/>
                <w:sz w:val="18"/>
                <w:szCs w:val="18"/>
              </w:rPr>
              <w:t xml:space="preserve"> eindeutig d</w:t>
            </w:r>
            <w:r w:rsidR="00AB26C8">
              <w:rPr>
                <w:rFonts w:ascii="Arial" w:hAnsi="Arial" w:cs="Arial"/>
                <w:sz w:val="18"/>
                <w:szCs w:val="18"/>
              </w:rPr>
              <w:t>em Fonds</w:t>
            </w:r>
            <w:r>
              <w:rPr>
                <w:rFonts w:ascii="Arial" w:hAnsi="Arial" w:cs="Arial"/>
                <w:sz w:val="18"/>
                <w:szCs w:val="18"/>
              </w:rPr>
              <w:t xml:space="preserve"> zugeordnet werden können</w:t>
            </w:r>
            <w:r w:rsidR="00AB26C8">
              <w:rPr>
                <w:rFonts w:ascii="Arial" w:hAnsi="Arial" w:cs="Arial"/>
                <w:sz w:val="18"/>
                <w:szCs w:val="18"/>
              </w:rPr>
              <w:t xml:space="preserve"> und den gesetzlichen Bestimmungen entsprechen</w:t>
            </w:r>
            <w:r>
              <w:rPr>
                <w:rFonts w:ascii="Arial" w:hAnsi="Arial" w:cs="Arial"/>
                <w:sz w:val="18"/>
                <w:szCs w:val="18"/>
              </w:rPr>
              <w:t xml:space="preserve"> </w:t>
            </w:r>
          </w:p>
        </w:tc>
        <w:tc>
          <w:tcPr>
            <w:tcW w:w="3382" w:type="dxa"/>
          </w:tcPr>
          <w:p w14:paraId="39A8D3F4" w14:textId="16778068" w:rsidR="00C05CF6" w:rsidRPr="00E109DF" w:rsidRDefault="00AB26C8"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B0BB0" w:rsidRPr="009872F3" w14:paraId="49DEDCF8" w14:textId="77777777" w:rsidTr="00D9403D">
        <w:tc>
          <w:tcPr>
            <w:tcW w:w="5798" w:type="dxa"/>
            <w:gridSpan w:val="3"/>
          </w:tcPr>
          <w:p w14:paraId="596BC6F2" w14:textId="2D08996D" w:rsidR="00CB0BB0" w:rsidRPr="009936B4" w:rsidRDefault="009936B4" w:rsidP="00D9403D">
            <w:pPr>
              <w:tabs>
                <w:tab w:val="left" w:pos="4458"/>
              </w:tabs>
              <w:jc w:val="both"/>
              <w:rPr>
                <w:rFonts w:ascii="Arial" w:hAnsi="Arial" w:cs="Arial"/>
                <w:sz w:val="18"/>
                <w:szCs w:val="18"/>
              </w:rPr>
            </w:pPr>
            <w:r w:rsidRPr="009936B4">
              <w:rPr>
                <w:rFonts w:ascii="Arial" w:hAnsi="Arial" w:cs="Arial"/>
                <w:sz w:val="18"/>
                <w:szCs w:val="18"/>
              </w:rPr>
              <w:t xml:space="preserve">Bestätigung, dass die internen Verfahren sicherstellen, dass bei Führung von Geldkonten auf anderen Instituten geeignete Massnahmen getroffen wurden, um der Verwahrstelle den Zugang zu den für die Überwachung der Cashflows notwendigen Informationen zu sichern </w:t>
            </w:r>
          </w:p>
        </w:tc>
        <w:tc>
          <w:tcPr>
            <w:tcW w:w="3382" w:type="dxa"/>
          </w:tcPr>
          <w:p w14:paraId="16BC1E30" w14:textId="77777777" w:rsidR="00CB0BB0" w:rsidRPr="009872F3" w:rsidRDefault="00CB0BB0" w:rsidP="00D9403D">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936B4" w:rsidRPr="009872F3" w14:paraId="11A591D6" w14:textId="77777777" w:rsidTr="00D9403D">
        <w:tc>
          <w:tcPr>
            <w:tcW w:w="5798" w:type="dxa"/>
            <w:gridSpan w:val="3"/>
          </w:tcPr>
          <w:p w14:paraId="6D3E1461" w14:textId="27E37802" w:rsidR="009936B4" w:rsidRPr="009936B4" w:rsidRDefault="00FC4464" w:rsidP="00D9403D">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sämtliche Zahlungen vor Ausführung </w:t>
            </w:r>
            <w:r w:rsidR="00F577A6">
              <w:rPr>
                <w:rFonts w:ascii="Arial" w:hAnsi="Arial" w:cs="Arial"/>
                <w:sz w:val="18"/>
                <w:szCs w:val="18"/>
              </w:rPr>
              <w:t xml:space="preserve">auf </w:t>
            </w:r>
            <w:r w:rsidR="005B1D1D">
              <w:rPr>
                <w:rFonts w:ascii="Arial" w:hAnsi="Arial" w:cs="Arial"/>
                <w:sz w:val="18"/>
                <w:szCs w:val="18"/>
              </w:rPr>
              <w:t xml:space="preserve">Vollständigkeit, Richtigkeit und </w:t>
            </w:r>
            <w:r w:rsidR="00F577A6">
              <w:rPr>
                <w:rFonts w:ascii="Arial" w:hAnsi="Arial" w:cs="Arial"/>
                <w:sz w:val="18"/>
                <w:szCs w:val="18"/>
              </w:rPr>
              <w:t xml:space="preserve">Legitimation </w:t>
            </w:r>
            <w:r>
              <w:rPr>
                <w:rFonts w:ascii="Arial" w:hAnsi="Arial" w:cs="Arial"/>
                <w:sz w:val="18"/>
                <w:szCs w:val="18"/>
              </w:rPr>
              <w:t>kontrolliert werden</w:t>
            </w:r>
            <w:r w:rsidR="005B1D1D">
              <w:rPr>
                <w:rFonts w:ascii="Arial" w:hAnsi="Arial" w:cs="Arial"/>
                <w:sz w:val="18"/>
                <w:szCs w:val="18"/>
              </w:rPr>
              <w:t xml:space="preserve"> und im Falle der Prüftiefe Detailprüfung effektiv angewandt wurden</w:t>
            </w:r>
          </w:p>
        </w:tc>
        <w:tc>
          <w:tcPr>
            <w:tcW w:w="3382" w:type="dxa"/>
          </w:tcPr>
          <w:p w14:paraId="01A0D204" w14:textId="6D9CE800" w:rsidR="009936B4" w:rsidRPr="00E109DF" w:rsidRDefault="00F577A6"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577A6" w:rsidRPr="009872F3" w14:paraId="23327631" w14:textId="77777777" w:rsidTr="00D9403D">
        <w:tc>
          <w:tcPr>
            <w:tcW w:w="5798" w:type="dxa"/>
            <w:gridSpan w:val="3"/>
          </w:tcPr>
          <w:p w14:paraId="26DF76A8" w14:textId="5C7FBFB0" w:rsidR="00F577A6" w:rsidRDefault="00C05CF6" w:rsidP="00D9403D">
            <w:pPr>
              <w:tabs>
                <w:tab w:val="left" w:pos="4458"/>
              </w:tabs>
              <w:jc w:val="both"/>
              <w:rPr>
                <w:rFonts w:ascii="Arial" w:hAnsi="Arial" w:cs="Arial"/>
                <w:sz w:val="18"/>
                <w:szCs w:val="18"/>
              </w:rPr>
            </w:pPr>
            <w:r>
              <w:rPr>
                <w:rFonts w:ascii="Arial" w:hAnsi="Arial" w:cs="Arial"/>
                <w:sz w:val="18"/>
                <w:szCs w:val="18"/>
              </w:rPr>
              <w:t xml:space="preserve">Bestätigung, dass die internen Verfahren sicherstellen, dass </w:t>
            </w:r>
            <w:r w:rsidR="002554D7">
              <w:rPr>
                <w:rFonts w:ascii="Arial" w:hAnsi="Arial" w:cs="Arial"/>
                <w:sz w:val="18"/>
                <w:szCs w:val="18"/>
              </w:rPr>
              <w:t xml:space="preserve">sämtliche Zahlungen aus der Anteilszeichnung von oder im Namen von Anlegern eingehen </w:t>
            </w:r>
            <w:r w:rsidR="005B1D1D">
              <w:rPr>
                <w:rFonts w:ascii="Arial" w:hAnsi="Arial" w:cs="Arial"/>
                <w:sz w:val="18"/>
                <w:szCs w:val="18"/>
              </w:rPr>
              <w:t>und im Falle der Prüftiefe Detailprüfung effektiv angewandt wurden</w:t>
            </w:r>
          </w:p>
        </w:tc>
        <w:tc>
          <w:tcPr>
            <w:tcW w:w="3382" w:type="dxa"/>
          </w:tcPr>
          <w:p w14:paraId="65D7CF24" w14:textId="19122EA2" w:rsidR="00F577A6" w:rsidRPr="00E109DF" w:rsidRDefault="00BA0406" w:rsidP="00D9403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1495B" w:rsidRPr="009872F3" w14:paraId="780E177F" w14:textId="77777777" w:rsidTr="00D9403D">
        <w:tc>
          <w:tcPr>
            <w:tcW w:w="5798" w:type="dxa"/>
            <w:gridSpan w:val="3"/>
          </w:tcPr>
          <w:p w14:paraId="3B845A18" w14:textId="2BE9B069" w:rsidR="00B1495B" w:rsidRDefault="00B1495B" w:rsidP="00B1495B">
            <w:pPr>
              <w:tabs>
                <w:tab w:val="left" w:pos="4458"/>
              </w:tabs>
              <w:jc w:val="both"/>
              <w:rPr>
                <w:rFonts w:ascii="Arial" w:hAnsi="Arial" w:cs="Arial"/>
                <w:sz w:val="18"/>
                <w:szCs w:val="18"/>
              </w:rPr>
            </w:pPr>
            <w:r>
              <w:rPr>
                <w:rFonts w:ascii="Arial" w:hAnsi="Arial" w:cs="Arial"/>
                <w:sz w:val="18"/>
                <w:szCs w:val="18"/>
              </w:rPr>
              <w:t>Bestätigung, dass angemessene Abstimmungsverfahren der Barmittelströme bestehen und im Falle der Prüftiefe Detailprüfung effektiv angewendet wurden</w:t>
            </w:r>
          </w:p>
        </w:tc>
        <w:tc>
          <w:tcPr>
            <w:tcW w:w="3382" w:type="dxa"/>
          </w:tcPr>
          <w:p w14:paraId="5F81224F" w14:textId="6C90CECD" w:rsidR="00B1495B" w:rsidRPr="00E109DF" w:rsidRDefault="00B1495B" w:rsidP="00B1495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459F" w:rsidRPr="009872F3" w14:paraId="1E4F702C" w14:textId="77777777" w:rsidTr="00D9403D">
        <w:tc>
          <w:tcPr>
            <w:tcW w:w="5798" w:type="dxa"/>
            <w:gridSpan w:val="3"/>
          </w:tcPr>
          <w:p w14:paraId="099F007F" w14:textId="77777777" w:rsidR="00AB459F" w:rsidRDefault="00AB459F" w:rsidP="00B1495B">
            <w:pPr>
              <w:tabs>
                <w:tab w:val="left" w:pos="4458"/>
              </w:tabs>
              <w:jc w:val="both"/>
              <w:rPr>
                <w:rFonts w:ascii="Arial" w:hAnsi="Arial" w:cs="Arial"/>
                <w:sz w:val="18"/>
                <w:szCs w:val="18"/>
              </w:rPr>
            </w:pPr>
          </w:p>
        </w:tc>
        <w:tc>
          <w:tcPr>
            <w:tcW w:w="3382" w:type="dxa"/>
          </w:tcPr>
          <w:p w14:paraId="33E2C940" w14:textId="77777777" w:rsidR="00AB459F" w:rsidRPr="00E109DF" w:rsidRDefault="00AB459F" w:rsidP="00B1495B">
            <w:pPr>
              <w:jc w:val="both"/>
              <w:rPr>
                <w:rFonts w:ascii="Arial" w:hAnsi="Arial" w:cs="Arial"/>
                <w:i/>
                <w:sz w:val="18"/>
                <w:szCs w:val="18"/>
                <w:highlight w:val="yellow"/>
              </w:rPr>
            </w:pPr>
          </w:p>
        </w:tc>
      </w:tr>
      <w:tr w:rsidR="00AB459F" w:rsidRPr="009872F3" w14:paraId="5BFB86DC" w14:textId="77777777" w:rsidTr="008034B7">
        <w:tc>
          <w:tcPr>
            <w:tcW w:w="9180" w:type="dxa"/>
            <w:gridSpan w:val="4"/>
          </w:tcPr>
          <w:p w14:paraId="6413F44A"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6C8F995D"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05D00584" w14:textId="77777777" w:rsidR="00CB0BB0" w:rsidRDefault="00CB0BB0" w:rsidP="00CB0BB0">
      <w:pPr>
        <w:jc w:val="both"/>
      </w:pPr>
    </w:p>
    <w:tbl>
      <w:tblPr>
        <w:tblStyle w:val="Tabellenraster"/>
        <w:tblW w:w="0" w:type="auto"/>
        <w:tblLook w:val="04A0" w:firstRow="1" w:lastRow="0" w:firstColumn="1" w:lastColumn="0" w:noHBand="0" w:noVBand="1"/>
      </w:tblPr>
      <w:tblGrid>
        <w:gridCol w:w="2660"/>
        <w:gridCol w:w="6520"/>
      </w:tblGrid>
      <w:tr w:rsidR="00CB0BB0" w:rsidRPr="00CE3194" w14:paraId="1286DDAB" w14:textId="77777777" w:rsidTr="00D9403D">
        <w:tc>
          <w:tcPr>
            <w:tcW w:w="2660" w:type="dxa"/>
          </w:tcPr>
          <w:p w14:paraId="18705041"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7C3830A"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CB0BB0" w:rsidRPr="00CE3194" w14:paraId="4BE76D4B" w14:textId="77777777" w:rsidTr="00D9403D">
        <w:tc>
          <w:tcPr>
            <w:tcW w:w="2660" w:type="dxa"/>
          </w:tcPr>
          <w:p w14:paraId="5AF2A417" w14:textId="12602489" w:rsidR="00CB0BB0" w:rsidRPr="00BA0406" w:rsidRDefault="00C17E4A" w:rsidP="00D9403D">
            <w:pPr>
              <w:jc w:val="both"/>
              <w:rPr>
                <w:rFonts w:ascii="Arial" w:hAnsi="Arial" w:cs="Arial"/>
                <w:i/>
                <w:sz w:val="20"/>
                <w:szCs w:val="20"/>
                <w:highlight w:val="lightGray"/>
              </w:rPr>
            </w:pPr>
            <w:r w:rsidRPr="00BA0406">
              <w:rPr>
                <w:rFonts w:ascii="Arial" w:hAnsi="Arial" w:cs="Arial"/>
                <w:i/>
                <w:sz w:val="20"/>
                <w:szCs w:val="20"/>
                <w:highlight w:val="lightGray"/>
              </w:rPr>
              <w:t>Besorgung des Zahlungsve</w:t>
            </w:r>
            <w:r w:rsidR="00883702">
              <w:rPr>
                <w:rFonts w:ascii="Arial" w:hAnsi="Arial" w:cs="Arial"/>
                <w:i/>
                <w:sz w:val="20"/>
                <w:szCs w:val="20"/>
                <w:highlight w:val="lightGray"/>
              </w:rPr>
              <w:t>r</w:t>
            </w:r>
            <w:r w:rsidRPr="00BA0406">
              <w:rPr>
                <w:rFonts w:ascii="Arial" w:hAnsi="Arial" w:cs="Arial"/>
                <w:i/>
                <w:sz w:val="20"/>
                <w:szCs w:val="20"/>
                <w:highlight w:val="lightGray"/>
              </w:rPr>
              <w:t>kehrs</w:t>
            </w:r>
          </w:p>
        </w:tc>
        <w:tc>
          <w:tcPr>
            <w:tcW w:w="6520" w:type="dxa"/>
          </w:tcPr>
          <w:p w14:paraId="298DDE53" w14:textId="293BBC0B" w:rsidR="00C17E4A" w:rsidRPr="00BA0406" w:rsidRDefault="00CB0BB0"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Es besteh</w:t>
            </w:r>
            <w:r w:rsidR="00BA0406">
              <w:rPr>
                <w:rFonts w:cs="Arial"/>
                <w:i/>
                <w:szCs w:val="20"/>
                <w:highlight w:val="lightGray"/>
              </w:rPr>
              <w:t>en</w:t>
            </w:r>
            <w:r w:rsidRPr="00BA0406">
              <w:rPr>
                <w:rFonts w:cs="Arial"/>
                <w:i/>
                <w:szCs w:val="20"/>
                <w:highlight w:val="lightGray"/>
              </w:rPr>
              <w:t xml:space="preserve"> </w:t>
            </w:r>
            <w:r w:rsidR="00BA0406" w:rsidRPr="00BA0406">
              <w:rPr>
                <w:rFonts w:cs="Arial"/>
                <w:i/>
                <w:szCs w:val="20"/>
                <w:highlight w:val="lightGray"/>
              </w:rPr>
              <w:t xml:space="preserve">angemessene interne Verfahren, die sicherstellen, dass die Verwahrstelle einen vollständigen und klaren Überblick über alle ein- und ausgehenden Barmittelströme hat. </w:t>
            </w:r>
          </w:p>
          <w:p w14:paraId="6839CFB4" w14:textId="73A9BDBF" w:rsidR="00BA0406" w:rsidRPr="00BA0406" w:rsidRDefault="00BA0406"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 xml:space="preserve">Die internen Verfahren stellen sicher, dass die Verwahrstelle über sämtliche vorhandenen Geldkonten, die im Namen der Verwaltungsgesellschaft/AIFM oder des Fonds eröffnet wurde, informiert ist. </w:t>
            </w:r>
          </w:p>
          <w:p w14:paraId="30C24993" w14:textId="27A360FF" w:rsidR="00BA0406" w:rsidRPr="00BA0406" w:rsidRDefault="00BA0406"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Die internen Verfahren stellen sicher, dass Geldkonten eindeutig dem Fonds zugeordnet werden können und den gesetzlichen Bestimmungen entsprechen (u.a. Führung von Konten bei liechtensteinischen Bank, Zentralbank, einem Kreditinstitut mit Sitz im EWR oder einem vergleichbarem Institut in einem Drittstatt in dem Geldkonten verlangt werden)</w:t>
            </w:r>
            <w:r w:rsidR="007C6440">
              <w:rPr>
                <w:rFonts w:cs="Arial"/>
                <w:i/>
                <w:szCs w:val="20"/>
                <w:highlight w:val="lightGray"/>
              </w:rPr>
              <w:t>.</w:t>
            </w:r>
          </w:p>
          <w:p w14:paraId="70005FA8" w14:textId="23F27CF1" w:rsidR="00BA0406" w:rsidRPr="00BA0406" w:rsidRDefault="00BA0406" w:rsidP="00C17E4A">
            <w:pPr>
              <w:pStyle w:val="Listenabsatz"/>
              <w:numPr>
                <w:ilvl w:val="1"/>
                <w:numId w:val="17"/>
              </w:numPr>
              <w:ind w:left="317" w:hanging="283"/>
              <w:jc w:val="both"/>
              <w:rPr>
                <w:rFonts w:cs="Arial"/>
                <w:i/>
                <w:szCs w:val="20"/>
                <w:highlight w:val="lightGray"/>
              </w:rPr>
            </w:pPr>
            <w:r w:rsidRPr="00BA0406">
              <w:rPr>
                <w:rFonts w:cs="Arial"/>
                <w:i/>
                <w:szCs w:val="20"/>
                <w:highlight w:val="lightGray"/>
              </w:rPr>
              <w:t>Die internen Verfahren stellen sicher, dass die Verwahrstelle bei der Führung von Geldkonten auf anderen Instituten Zugang zu den für die Überwachung der Cashflows notwendigen Informationen</w:t>
            </w:r>
            <w:r>
              <w:rPr>
                <w:rFonts w:cs="Arial"/>
                <w:i/>
                <w:szCs w:val="20"/>
                <w:highlight w:val="lightGray"/>
              </w:rPr>
              <w:t xml:space="preserve"> erhält</w:t>
            </w:r>
            <w:r w:rsidR="00933ED8">
              <w:rPr>
                <w:rFonts w:cs="Arial"/>
                <w:i/>
                <w:szCs w:val="20"/>
                <w:highlight w:val="lightGray"/>
              </w:rPr>
              <w:t>.</w:t>
            </w:r>
          </w:p>
          <w:p w14:paraId="4DAA7790" w14:textId="2389A3D4" w:rsidR="00BA0406" w:rsidRDefault="00BA0406" w:rsidP="00C17E4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sämtliche Zahlungen vor der Ausführung auf ihre </w:t>
            </w:r>
            <w:r w:rsidR="005B1D1D">
              <w:rPr>
                <w:rFonts w:cs="Arial"/>
                <w:i/>
                <w:szCs w:val="20"/>
                <w:highlight w:val="lightGray"/>
              </w:rPr>
              <w:t xml:space="preserve">Vollständigkeit, Richtigkeit und </w:t>
            </w:r>
            <w:r>
              <w:rPr>
                <w:rFonts w:cs="Arial"/>
                <w:i/>
                <w:szCs w:val="20"/>
                <w:highlight w:val="lightGray"/>
              </w:rPr>
              <w:t>Legitimation</w:t>
            </w:r>
            <w:r w:rsidR="005B1D1D">
              <w:rPr>
                <w:rFonts w:cs="Arial"/>
                <w:i/>
                <w:szCs w:val="20"/>
                <w:highlight w:val="lightGray"/>
              </w:rPr>
              <w:t xml:space="preserve"> </w:t>
            </w:r>
            <w:r>
              <w:rPr>
                <w:rFonts w:cs="Arial"/>
                <w:i/>
                <w:szCs w:val="20"/>
                <w:highlight w:val="lightGray"/>
              </w:rPr>
              <w:t xml:space="preserve"> hin kontrolliert wurden. </w:t>
            </w:r>
          </w:p>
          <w:p w14:paraId="70A7E5F7" w14:textId="41CCF13A" w:rsidR="00BA0406" w:rsidRPr="00BA0406" w:rsidRDefault="00BA0406" w:rsidP="00C17E4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Zahlungen aus der Anteilszeichnung von oder im Namen von Anlegern eingehen</w:t>
            </w:r>
            <w:r w:rsidR="007C6440">
              <w:rPr>
                <w:rFonts w:cs="Arial"/>
                <w:i/>
                <w:szCs w:val="20"/>
                <w:highlight w:val="lightGray"/>
              </w:rPr>
              <w:t>.</w:t>
            </w:r>
          </w:p>
          <w:p w14:paraId="6266B7E3" w14:textId="0A5A8071" w:rsidR="00532A1E" w:rsidRDefault="00F10517" w:rsidP="00C17E4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Abgleichverfahren der Barmittelströme (Kontoauszug vs. Fondsbüchern der Verwaltungsgesellschaft/AIF</w:t>
            </w:r>
            <w:r w:rsidR="00B1495B">
              <w:rPr>
                <w:rFonts w:cs="Arial"/>
                <w:i/>
                <w:szCs w:val="20"/>
                <w:highlight w:val="lightGray"/>
              </w:rPr>
              <w:t>M</w:t>
            </w:r>
            <w:r>
              <w:rPr>
                <w:rFonts w:cs="Arial"/>
                <w:i/>
                <w:szCs w:val="20"/>
                <w:highlight w:val="lightGray"/>
              </w:rPr>
              <w:t xml:space="preserve">) implementiert wurde und periodisch </w:t>
            </w:r>
            <w:r w:rsidRPr="00AE7751">
              <w:rPr>
                <w:rFonts w:cs="Arial"/>
                <w:i/>
                <w:szCs w:val="20"/>
                <w:highlight w:val="lightGray"/>
              </w:rPr>
              <w:t>(</w:t>
            </w:r>
            <w:r>
              <w:rPr>
                <w:rFonts w:cs="Arial"/>
                <w:i/>
                <w:szCs w:val="20"/>
                <w:highlight w:val="lightGray"/>
              </w:rPr>
              <w:t>täglich oder bei geringerer Häufigkeit der Bargeldbewegungen bei deren Eintreten</w:t>
            </w:r>
            <w:r w:rsidRPr="00AE7751">
              <w:rPr>
                <w:rFonts w:cs="Arial"/>
                <w:i/>
                <w:szCs w:val="20"/>
                <w:highlight w:val="lightGray"/>
              </w:rPr>
              <w:t xml:space="preserve">) </w:t>
            </w:r>
            <w:r>
              <w:rPr>
                <w:rFonts w:cs="Arial"/>
                <w:i/>
                <w:szCs w:val="20"/>
                <w:highlight w:val="lightGray"/>
              </w:rPr>
              <w:t xml:space="preserve">angewandt wird. </w:t>
            </w:r>
          </w:p>
          <w:p w14:paraId="7AE24D8B" w14:textId="2A4D27DC" w:rsidR="00BA0406" w:rsidRDefault="00532A1E" w:rsidP="00C17E4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resultierende Diskrepanzen resp. Massnahmen aus dem Abstimmungsverfahren kontinuierlich zu überwachen und unverzüglich zu beseitigen sind. </w:t>
            </w:r>
          </w:p>
          <w:p w14:paraId="4BDBD782" w14:textId="725ECEF5" w:rsidR="00CB0BB0" w:rsidRPr="00532A1E" w:rsidRDefault="00532A1E" w:rsidP="00532A1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eine regelmässige Überprüfung des Abstimmungsverfahren</w:t>
            </w:r>
            <w:r w:rsidR="00933ED8">
              <w:rPr>
                <w:rFonts w:cs="Arial"/>
                <w:i/>
                <w:szCs w:val="20"/>
                <w:highlight w:val="lightGray"/>
              </w:rPr>
              <w:t>s,</w:t>
            </w:r>
            <w:r>
              <w:rPr>
                <w:rFonts w:cs="Arial"/>
                <w:i/>
                <w:szCs w:val="20"/>
                <w:highlight w:val="lightGray"/>
              </w:rPr>
              <w:t xml:space="preserve"> um mit unter sicherzustellen, dass alle eröffneten Geldkonten in den Abstimmungsprozess einbezogen wurden</w:t>
            </w:r>
            <w:r w:rsidR="007C6440">
              <w:rPr>
                <w:rFonts w:cs="Arial"/>
                <w:i/>
                <w:szCs w:val="20"/>
                <w:highlight w:val="lightGray"/>
              </w:rPr>
              <w:t>.</w:t>
            </w:r>
          </w:p>
        </w:tc>
      </w:tr>
    </w:tbl>
    <w:p w14:paraId="70A26098" w14:textId="77777777" w:rsidR="00CB0BB0" w:rsidRDefault="00CB0BB0" w:rsidP="00CB0BB0">
      <w:pPr>
        <w:jc w:val="both"/>
      </w:pPr>
    </w:p>
    <w:p w14:paraId="20609763" w14:textId="77777777" w:rsidR="00CB0BB0" w:rsidRPr="00276C60"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55BFFD43" w14:textId="77777777" w:rsidR="00E94778" w:rsidRDefault="00E94778" w:rsidP="00CB3EE6">
      <w:pPr>
        <w:jc w:val="both"/>
      </w:pPr>
    </w:p>
    <w:p w14:paraId="52052146" w14:textId="77777777" w:rsidR="003F2BF8" w:rsidRDefault="003F2BF8" w:rsidP="00897485">
      <w:pPr>
        <w:pStyle w:val="Listenabsatz"/>
        <w:ind w:left="792"/>
        <w:jc w:val="both"/>
      </w:pPr>
    </w:p>
    <w:p w14:paraId="29DA5026" w14:textId="7893023C" w:rsidR="009C6380" w:rsidRDefault="00CB0BB0" w:rsidP="006F7AB5">
      <w:pPr>
        <w:pStyle w:val="FINMAGliederungEbene2"/>
      </w:pPr>
      <w:bookmarkStart w:id="25" w:name="_Toc185241478"/>
      <w:r>
        <w:t>Kontrollaufgaben</w:t>
      </w:r>
      <w:bookmarkEnd w:id="25"/>
    </w:p>
    <w:p w14:paraId="374193DA" w14:textId="77777777" w:rsidR="00801D7B" w:rsidRDefault="00801D7B" w:rsidP="00CB3EE6">
      <w:pPr>
        <w:pStyle w:val="Listenabsatz"/>
        <w:ind w:left="792"/>
        <w:jc w:val="both"/>
      </w:pPr>
    </w:p>
    <w:p w14:paraId="69D1E810" w14:textId="2CD9E8A6" w:rsidR="009C6380" w:rsidRDefault="00CB0BB0" w:rsidP="006F7AB5">
      <w:pPr>
        <w:pStyle w:val="FINMAGliederungEbene3"/>
      </w:pPr>
      <w:bookmarkStart w:id="26" w:name="_Toc185241479"/>
      <w:r>
        <w:t>Berechnung des Nettoinventarwertes und der Ausgabe und Rücknahme</w:t>
      </w:r>
      <w:r w:rsidR="006C13BE">
        <w:t>preise</w:t>
      </w:r>
      <w:r>
        <w:t xml:space="preserve"> der Anteile (KA-1)</w:t>
      </w:r>
      <w:bookmarkEnd w:id="26"/>
    </w:p>
    <w:p w14:paraId="34C08DCC" w14:textId="77777777" w:rsidR="001B7BDD" w:rsidRDefault="001B7BDD"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801D7B" w:rsidRPr="009872F3" w14:paraId="37FC3B4C" w14:textId="77777777" w:rsidTr="008C7535">
        <w:trPr>
          <w:trHeight w:val="563"/>
        </w:trPr>
        <w:tc>
          <w:tcPr>
            <w:tcW w:w="1932" w:type="dxa"/>
          </w:tcPr>
          <w:p w14:paraId="5A0C98B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Nettorisiko</w:t>
            </w:r>
          </w:p>
        </w:tc>
        <w:tc>
          <w:tcPr>
            <w:tcW w:w="2145" w:type="dxa"/>
          </w:tcPr>
          <w:p w14:paraId="304C4508"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010A7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1D7B" w:rsidRPr="009872F3" w14:paraId="035F38BF" w14:textId="77777777" w:rsidTr="008C7535">
        <w:trPr>
          <w:trHeight w:val="698"/>
        </w:trPr>
        <w:tc>
          <w:tcPr>
            <w:tcW w:w="1932" w:type="dxa"/>
          </w:tcPr>
          <w:p w14:paraId="627B9D03" w14:textId="36FC09CC"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B436417" w14:textId="77777777"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363A4B1"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B1E814" w14:textId="77777777" w:rsidR="00801D7B" w:rsidRDefault="00801D7B" w:rsidP="008C753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210F93" w14:textId="77777777" w:rsidR="00801D7B" w:rsidRPr="006749F0" w:rsidRDefault="00801D7B" w:rsidP="008C7535">
            <w:pPr>
              <w:jc w:val="both"/>
              <w:rPr>
                <w:rFonts w:ascii="Arial" w:hAnsi="Arial" w:cs="Arial"/>
                <w:i/>
                <w:sz w:val="18"/>
                <w:szCs w:val="18"/>
              </w:rPr>
            </w:pPr>
            <w:r w:rsidRPr="006749F0">
              <w:rPr>
                <w:rFonts w:ascii="Arial" w:hAnsi="Arial" w:cs="Arial"/>
                <w:i/>
                <w:sz w:val="18"/>
                <w:szCs w:val="18"/>
                <w:highlight w:val="yellow"/>
              </w:rPr>
              <w:t>Jahr</w:t>
            </w:r>
          </w:p>
        </w:tc>
      </w:tr>
      <w:tr w:rsidR="00801D7B" w:rsidRPr="00AB49A4" w14:paraId="323E06A3" w14:textId="77777777" w:rsidTr="008C7535">
        <w:trPr>
          <w:trHeight w:val="133"/>
        </w:trPr>
        <w:tc>
          <w:tcPr>
            <w:tcW w:w="9180" w:type="dxa"/>
            <w:gridSpan w:val="4"/>
          </w:tcPr>
          <w:p w14:paraId="7710AFA8" w14:textId="77777777" w:rsidR="00801D7B" w:rsidRDefault="00801D7B" w:rsidP="008C7535">
            <w:pPr>
              <w:jc w:val="both"/>
              <w:rPr>
                <w:rFonts w:ascii="Arial" w:hAnsi="Arial" w:cs="Arial"/>
                <w:sz w:val="18"/>
                <w:szCs w:val="18"/>
              </w:rPr>
            </w:pPr>
          </w:p>
          <w:p w14:paraId="562FA9AE" w14:textId="77777777" w:rsidR="00801D7B" w:rsidRPr="00F60909" w:rsidRDefault="00801D7B" w:rsidP="008C753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D8D568B" w14:textId="0E102BF8" w:rsidR="00801D7B" w:rsidRPr="00AB49A4" w:rsidRDefault="00AB49A4" w:rsidP="00801D7B">
            <w:pPr>
              <w:jc w:val="both"/>
              <w:rPr>
                <w:rFonts w:ascii="Arial" w:hAnsi="Arial" w:cs="Arial"/>
                <w:sz w:val="18"/>
                <w:szCs w:val="18"/>
              </w:rPr>
            </w:pPr>
            <w:r w:rsidRPr="00AB49A4">
              <w:rPr>
                <w:rFonts w:ascii="Arial" w:hAnsi="Arial" w:cs="Arial"/>
                <w:sz w:val="18"/>
                <w:szCs w:val="18"/>
                <w:highlight w:val="yellow"/>
              </w:rPr>
              <w:t xml:space="preserve">Art. 43 Abs. </w:t>
            </w:r>
            <w:r>
              <w:rPr>
                <w:rFonts w:ascii="Arial" w:hAnsi="Arial" w:cs="Arial"/>
                <w:sz w:val="18"/>
                <w:szCs w:val="18"/>
                <w:highlight w:val="yellow"/>
              </w:rPr>
              <w:t>2</w:t>
            </w:r>
            <w:r w:rsidRPr="00AB49A4">
              <w:rPr>
                <w:rFonts w:ascii="Arial" w:hAnsi="Arial" w:cs="Arial"/>
                <w:sz w:val="18"/>
                <w:szCs w:val="18"/>
                <w:highlight w:val="yellow"/>
              </w:rPr>
              <w:t xml:space="preserve"> Bst. a IUG; Art. 59 Abs. 2 Bst. b AIFMG; Art. 33 Abs. 1 Bst. b UCITSG; </w:t>
            </w:r>
            <w:proofErr w:type="spellStart"/>
            <w:r w:rsidR="007F768B">
              <w:rPr>
                <w:rFonts w:ascii="Arial" w:hAnsi="Arial" w:cs="Arial"/>
                <w:sz w:val="18"/>
                <w:szCs w:val="18"/>
                <w:highlight w:val="yellow"/>
              </w:rPr>
              <w:t>DelVO</w:t>
            </w:r>
            <w:proofErr w:type="spellEnd"/>
            <w:r w:rsidR="007F768B">
              <w:rPr>
                <w:rFonts w:ascii="Arial" w:hAnsi="Arial" w:cs="Arial"/>
                <w:sz w:val="18"/>
                <w:szCs w:val="18"/>
                <w:highlight w:val="yellow"/>
              </w:rPr>
              <w:t xml:space="preserve"> (EU) </w:t>
            </w:r>
            <w:r w:rsidRPr="002F4F10">
              <w:rPr>
                <w:rFonts w:ascii="Arial" w:hAnsi="Arial" w:cs="Arial"/>
                <w:sz w:val="18"/>
                <w:szCs w:val="18"/>
                <w:highlight w:val="yellow"/>
              </w:rPr>
              <w:t>N</w:t>
            </w:r>
            <w:r>
              <w:rPr>
                <w:rFonts w:ascii="Arial" w:hAnsi="Arial" w:cs="Arial"/>
                <w:sz w:val="18"/>
                <w:szCs w:val="18"/>
                <w:highlight w:val="yellow"/>
              </w:rPr>
              <w:t>r</w:t>
            </w:r>
            <w:r w:rsidRPr="002F4F10">
              <w:rPr>
                <w:rFonts w:ascii="Arial" w:hAnsi="Arial" w:cs="Arial"/>
                <w:sz w:val="18"/>
                <w:szCs w:val="18"/>
                <w:highlight w:val="yellow"/>
              </w:rPr>
              <w:t>. 2016/438</w:t>
            </w:r>
            <w:r>
              <w:rPr>
                <w:rFonts w:ascii="Arial" w:hAnsi="Arial" w:cs="Arial"/>
                <w:sz w:val="18"/>
                <w:szCs w:val="18"/>
                <w:highlight w:val="yellow"/>
              </w:rPr>
              <w:t xml:space="preserve"> Art. 5; </w:t>
            </w:r>
            <w:proofErr w:type="spellStart"/>
            <w:r>
              <w:rPr>
                <w:rFonts w:ascii="Arial" w:hAnsi="Arial" w:cs="Arial"/>
                <w:sz w:val="18"/>
                <w:szCs w:val="18"/>
                <w:highlight w:val="yellow"/>
              </w:rPr>
              <w:t>DelVO</w:t>
            </w:r>
            <w:proofErr w:type="spellEnd"/>
            <w:r>
              <w:rPr>
                <w:rFonts w:ascii="Arial" w:hAnsi="Arial" w:cs="Arial"/>
                <w:sz w:val="18"/>
                <w:szCs w:val="18"/>
                <w:highlight w:val="yellow"/>
              </w:rPr>
              <w:t xml:space="preserve"> (EU) Nr. 231/2013 Art. </w:t>
            </w:r>
            <w:r w:rsidR="00207A21">
              <w:rPr>
                <w:rFonts w:ascii="Arial" w:hAnsi="Arial" w:cs="Arial"/>
                <w:sz w:val="18"/>
                <w:szCs w:val="18"/>
                <w:highlight w:val="yellow"/>
              </w:rPr>
              <w:t>94</w:t>
            </w:r>
            <w:r w:rsidR="00A8048D">
              <w:rPr>
                <w:rFonts w:ascii="Arial" w:hAnsi="Arial" w:cs="Arial"/>
                <w:sz w:val="18"/>
                <w:szCs w:val="18"/>
                <w:highlight w:val="yellow"/>
              </w:rPr>
              <w:t xml:space="preserve"> </w:t>
            </w:r>
            <w:proofErr w:type="spellStart"/>
            <w:r w:rsidR="00A8048D">
              <w:rPr>
                <w:rFonts w:ascii="Arial" w:hAnsi="Arial" w:cs="Arial"/>
                <w:sz w:val="18"/>
                <w:szCs w:val="18"/>
                <w:highlight w:val="yellow"/>
              </w:rPr>
              <w:t>iVm</w:t>
            </w:r>
            <w:proofErr w:type="spellEnd"/>
            <w:r w:rsidR="00C80A94">
              <w:rPr>
                <w:rFonts w:ascii="Arial" w:hAnsi="Arial" w:cs="Arial"/>
                <w:sz w:val="18"/>
                <w:szCs w:val="18"/>
                <w:highlight w:val="yellow"/>
              </w:rPr>
              <w:t>.</w:t>
            </w:r>
            <w:r w:rsidR="00A8048D">
              <w:rPr>
                <w:rFonts w:ascii="Arial" w:hAnsi="Arial" w:cs="Arial"/>
                <w:sz w:val="18"/>
                <w:szCs w:val="18"/>
                <w:highlight w:val="yellow"/>
              </w:rPr>
              <w:t xml:space="preserve"> Art. 71</w:t>
            </w:r>
            <w:r w:rsidR="001B5960">
              <w:rPr>
                <w:rFonts w:ascii="Arial" w:hAnsi="Arial" w:cs="Arial"/>
                <w:sz w:val="18"/>
                <w:szCs w:val="18"/>
                <w:highlight w:val="yellow"/>
              </w:rPr>
              <w:t xml:space="preserve">; </w:t>
            </w:r>
            <w:r w:rsidR="00EF023D" w:rsidRPr="00734741">
              <w:rPr>
                <w:rFonts w:ascii="Arial" w:hAnsi="Arial" w:cs="Arial"/>
                <w:sz w:val="18"/>
                <w:szCs w:val="18"/>
                <w:highlight w:val="yellow"/>
              </w:rPr>
              <w:t xml:space="preserve">FMA-Richtlinie 2015/2; </w:t>
            </w:r>
            <w:r w:rsidR="004B4B6F" w:rsidRPr="00EF023D">
              <w:rPr>
                <w:rFonts w:ascii="Arial" w:hAnsi="Arial" w:cs="Arial"/>
                <w:sz w:val="18"/>
                <w:szCs w:val="18"/>
                <w:highlight w:val="yellow"/>
              </w:rPr>
              <w:t>F</w:t>
            </w:r>
            <w:r w:rsidR="004B4B6F">
              <w:rPr>
                <w:rFonts w:ascii="Arial" w:hAnsi="Arial" w:cs="Arial"/>
                <w:sz w:val="18"/>
                <w:szCs w:val="18"/>
                <w:highlight w:val="yellow"/>
              </w:rPr>
              <w:t>MA-Mitteilung 2016/1;</w:t>
            </w:r>
            <w:r w:rsidR="00CF0F98">
              <w:rPr>
                <w:rFonts w:ascii="Arial" w:hAnsi="Arial" w:cs="Arial"/>
                <w:sz w:val="18"/>
                <w:szCs w:val="18"/>
                <w:highlight w:val="yellow"/>
              </w:rPr>
              <w:t xml:space="preserve"> FMA-Mitteilung 2020/2</w:t>
            </w:r>
            <w:r w:rsidR="00054C52">
              <w:rPr>
                <w:rFonts w:ascii="Arial" w:hAnsi="Arial" w:cs="Arial"/>
                <w:sz w:val="18"/>
                <w:szCs w:val="18"/>
                <w:highlight w:val="yellow"/>
              </w:rPr>
              <w:t>, FMA-Mitteilung 2018/1</w:t>
            </w:r>
          </w:p>
        </w:tc>
      </w:tr>
      <w:tr w:rsidR="00801D7B" w:rsidRPr="00AB49A4" w14:paraId="34A989C3" w14:textId="77777777" w:rsidTr="008C7535">
        <w:trPr>
          <w:trHeight w:val="294"/>
        </w:trPr>
        <w:tc>
          <w:tcPr>
            <w:tcW w:w="9180" w:type="dxa"/>
            <w:gridSpan w:val="4"/>
          </w:tcPr>
          <w:p w14:paraId="109163AC" w14:textId="77777777" w:rsidR="00801D7B" w:rsidRPr="00AB49A4" w:rsidRDefault="00801D7B" w:rsidP="008C7535">
            <w:pPr>
              <w:jc w:val="both"/>
              <w:rPr>
                <w:rFonts w:ascii="Arial" w:hAnsi="Arial" w:cs="Arial"/>
                <w:sz w:val="18"/>
                <w:szCs w:val="18"/>
              </w:rPr>
            </w:pPr>
          </w:p>
        </w:tc>
      </w:tr>
      <w:tr w:rsidR="00F73268" w:rsidRPr="009872F3" w14:paraId="242A5386" w14:textId="77777777" w:rsidTr="008C7535">
        <w:tc>
          <w:tcPr>
            <w:tcW w:w="5798" w:type="dxa"/>
            <w:gridSpan w:val="3"/>
          </w:tcPr>
          <w:p w14:paraId="6716D43B" w14:textId="46A21834" w:rsidR="00F73268" w:rsidRPr="00AB49A4" w:rsidRDefault="00A8048D" w:rsidP="00F73268">
            <w:pPr>
              <w:jc w:val="both"/>
              <w:rPr>
                <w:rFonts w:ascii="Arial" w:hAnsi="Arial" w:cs="Arial"/>
                <w:sz w:val="18"/>
                <w:szCs w:val="18"/>
                <w:highlight w:val="cyan"/>
              </w:rPr>
            </w:pPr>
            <w:r w:rsidRPr="006949BD">
              <w:rPr>
                <w:rFonts w:ascii="Arial" w:hAnsi="Arial" w:cs="Arial"/>
                <w:sz w:val="18"/>
                <w:szCs w:val="18"/>
              </w:rPr>
              <w:t>Bestätigung, dass angemessene interne Verfahren zu</w:t>
            </w:r>
            <w:r>
              <w:rPr>
                <w:rFonts w:ascii="Arial" w:hAnsi="Arial" w:cs="Arial"/>
                <w:sz w:val="18"/>
                <w:szCs w:val="18"/>
              </w:rPr>
              <w:t>r ordnungs</w:t>
            </w:r>
            <w:r w:rsidR="00344D24">
              <w:rPr>
                <w:rFonts w:ascii="Arial" w:hAnsi="Arial" w:cs="Arial"/>
                <w:sz w:val="18"/>
                <w:szCs w:val="18"/>
              </w:rPr>
              <w:t xml:space="preserve">gemässen Plausibilisierung </w:t>
            </w:r>
            <w:r>
              <w:rPr>
                <w:rFonts w:ascii="Arial" w:hAnsi="Arial" w:cs="Arial"/>
                <w:sz w:val="18"/>
                <w:szCs w:val="18"/>
              </w:rPr>
              <w:t xml:space="preserve">der Berechnung </w:t>
            </w:r>
            <w:r w:rsidR="00344D24">
              <w:rPr>
                <w:rFonts w:ascii="Arial" w:hAnsi="Arial" w:cs="Arial"/>
                <w:sz w:val="18"/>
                <w:szCs w:val="18"/>
              </w:rPr>
              <w:t>und Bewertung d</w:t>
            </w:r>
            <w:r>
              <w:rPr>
                <w:rFonts w:ascii="Arial" w:hAnsi="Arial" w:cs="Arial"/>
                <w:sz w:val="18"/>
                <w:szCs w:val="18"/>
              </w:rPr>
              <w:t xml:space="preserve">er </w:t>
            </w:r>
            <w:r w:rsidR="00344D24">
              <w:rPr>
                <w:rFonts w:ascii="Arial" w:hAnsi="Arial" w:cs="Arial"/>
                <w:sz w:val="18"/>
                <w:szCs w:val="18"/>
              </w:rPr>
              <w:t>Nettoinventarwerte</w:t>
            </w:r>
            <w:r>
              <w:rPr>
                <w:rFonts w:ascii="Arial" w:hAnsi="Arial" w:cs="Arial"/>
                <w:sz w:val="18"/>
                <w:szCs w:val="18"/>
              </w:rPr>
              <w:t xml:space="preserve"> </w:t>
            </w:r>
            <w:r w:rsidR="00344D24">
              <w:rPr>
                <w:rFonts w:ascii="Arial" w:hAnsi="Arial" w:cs="Arial"/>
                <w:sz w:val="18"/>
                <w:szCs w:val="18"/>
              </w:rPr>
              <w:t xml:space="preserve">und der Ausgabe- und Rücknahmepreise der Anteile </w:t>
            </w:r>
            <w:r w:rsidRPr="006949BD">
              <w:rPr>
                <w:rFonts w:ascii="Arial" w:hAnsi="Arial" w:cs="Arial"/>
                <w:sz w:val="18"/>
                <w:szCs w:val="18"/>
              </w:rPr>
              <w:t xml:space="preserve">nach </w:t>
            </w:r>
            <w:r>
              <w:rPr>
                <w:rFonts w:ascii="Arial" w:hAnsi="Arial" w:cs="Arial"/>
                <w:sz w:val="18"/>
                <w:szCs w:val="18"/>
              </w:rPr>
              <w:t xml:space="preserve">den </w:t>
            </w:r>
            <w:r w:rsidRPr="006949BD">
              <w:rPr>
                <w:rFonts w:ascii="Arial" w:hAnsi="Arial" w:cs="Arial"/>
                <w:sz w:val="18"/>
                <w:szCs w:val="18"/>
              </w:rPr>
              <w:t>massgebenden Gesetzesbestimmungen</w:t>
            </w:r>
            <w:r>
              <w:rPr>
                <w:rFonts w:ascii="Arial" w:hAnsi="Arial" w:cs="Arial"/>
                <w:sz w:val="18"/>
                <w:szCs w:val="18"/>
              </w:rPr>
              <w:t xml:space="preserve"> und konstituierenden Dokumenten </w:t>
            </w:r>
            <w:r w:rsidRPr="006949BD">
              <w:rPr>
                <w:rFonts w:ascii="Arial" w:hAnsi="Arial" w:cs="Arial"/>
                <w:sz w:val="18"/>
                <w:szCs w:val="18"/>
              </w:rPr>
              <w:t xml:space="preserve">bestehen </w:t>
            </w:r>
            <w:r>
              <w:rPr>
                <w:rFonts w:ascii="Arial" w:hAnsi="Arial" w:cs="Arial"/>
                <w:sz w:val="18"/>
                <w:szCs w:val="18"/>
              </w:rPr>
              <w:t>und im Falle der Prüftiefe Detailprüfung effektiv angewendet wurden</w:t>
            </w:r>
          </w:p>
        </w:tc>
        <w:tc>
          <w:tcPr>
            <w:tcW w:w="3382" w:type="dxa"/>
          </w:tcPr>
          <w:p w14:paraId="71D8C5D4" w14:textId="77777777" w:rsidR="00F73268" w:rsidRPr="00C3479D" w:rsidRDefault="00F73268"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01D7B" w:rsidRPr="009872F3" w14:paraId="460FCD49" w14:textId="77777777" w:rsidTr="008C7535">
        <w:tc>
          <w:tcPr>
            <w:tcW w:w="5798" w:type="dxa"/>
            <w:gridSpan w:val="3"/>
          </w:tcPr>
          <w:p w14:paraId="06D2F8C0" w14:textId="53876319" w:rsidR="00801D7B" w:rsidRPr="00CB0BB0" w:rsidRDefault="00344D24" w:rsidP="00F73268">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Plausibilisierung der Berechnung und Bewertung der Nettoinventarwerte und der Ausgabe- und Rücknahmepreise der Anteile unabhängig und </w:t>
            </w:r>
            <w:r w:rsidR="00A57D21">
              <w:rPr>
                <w:rFonts w:ascii="Arial" w:hAnsi="Arial" w:cs="Arial"/>
                <w:sz w:val="18"/>
                <w:szCs w:val="18"/>
              </w:rPr>
              <w:t>auf einer objektiven Bewertungsbasis</w:t>
            </w:r>
            <w:r w:rsidRPr="00F51C73">
              <w:rPr>
                <w:rFonts w:ascii="Arial" w:hAnsi="Arial" w:cs="Arial"/>
                <w:sz w:val="18"/>
                <w:szCs w:val="18"/>
              </w:rPr>
              <w:t xml:space="preserve"> erfolgt</w:t>
            </w:r>
            <w:r w:rsidR="000A15B1">
              <w:rPr>
                <w:rFonts w:ascii="Arial" w:hAnsi="Arial" w:cs="Arial"/>
                <w:sz w:val="18"/>
                <w:szCs w:val="18"/>
              </w:rPr>
              <w:t xml:space="preserve"> und im Falle der Prüftiefe Detailprüfung effektiv angewendet wurden</w:t>
            </w:r>
          </w:p>
        </w:tc>
        <w:tc>
          <w:tcPr>
            <w:tcW w:w="3382" w:type="dxa"/>
          </w:tcPr>
          <w:p w14:paraId="669D92A6" w14:textId="77777777" w:rsidR="00801D7B" w:rsidRPr="00E109DF" w:rsidRDefault="00801D7B" w:rsidP="008C7535">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F51C73" w:rsidRPr="009872F3" w14:paraId="07017070" w14:textId="77777777" w:rsidTr="008C7535">
        <w:tc>
          <w:tcPr>
            <w:tcW w:w="5798" w:type="dxa"/>
            <w:gridSpan w:val="3"/>
          </w:tcPr>
          <w:p w14:paraId="0720A807" w14:textId="4E789367" w:rsidR="00F51C73" w:rsidRDefault="00A57D21" w:rsidP="008C7535">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Plausibilisierung der Berechnung und Bewertung der Nettoinventarwerte und der Ausgabe- und Rücknahmepreise der Anteile </w:t>
            </w:r>
            <w:r>
              <w:rPr>
                <w:rFonts w:ascii="Arial" w:hAnsi="Arial" w:cs="Arial"/>
                <w:sz w:val="18"/>
                <w:szCs w:val="18"/>
              </w:rPr>
              <w:t>periodisch durchgeführt und nachvollziehbar dokumentiert wird</w:t>
            </w:r>
            <w:r w:rsidR="000A15B1">
              <w:rPr>
                <w:rFonts w:ascii="Arial" w:hAnsi="Arial" w:cs="Arial"/>
                <w:sz w:val="18"/>
                <w:szCs w:val="18"/>
              </w:rPr>
              <w:t xml:space="preserve"> und im Falle der Prüftiefe Detailprüfung effektiv angewendet wurden</w:t>
            </w:r>
          </w:p>
        </w:tc>
        <w:tc>
          <w:tcPr>
            <w:tcW w:w="3382" w:type="dxa"/>
          </w:tcPr>
          <w:p w14:paraId="0ADACD44" w14:textId="7BA8BBEA" w:rsidR="00F51C73" w:rsidRPr="00C3479D" w:rsidRDefault="000A15B1" w:rsidP="008C7535">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6121B" w:rsidRPr="009872F3" w14:paraId="1E432A53" w14:textId="77777777" w:rsidTr="008C7535">
        <w:tc>
          <w:tcPr>
            <w:tcW w:w="5798" w:type="dxa"/>
            <w:gridSpan w:val="3"/>
          </w:tcPr>
          <w:p w14:paraId="73F2DE39" w14:textId="02BBC47E" w:rsidR="0026121B" w:rsidRPr="00A57D21" w:rsidRDefault="0026121B" w:rsidP="0026121B">
            <w:pPr>
              <w:jc w:val="both"/>
              <w:rPr>
                <w:rFonts w:ascii="Arial" w:hAnsi="Arial" w:cs="Arial"/>
                <w:sz w:val="18"/>
                <w:szCs w:val="18"/>
              </w:rPr>
            </w:pPr>
            <w:r w:rsidRPr="00F51C73">
              <w:rPr>
                <w:rFonts w:ascii="Arial" w:hAnsi="Arial" w:cs="Arial"/>
                <w:sz w:val="18"/>
                <w:szCs w:val="18"/>
              </w:rPr>
              <w:t xml:space="preserve">Bestätigung, dass </w:t>
            </w:r>
            <w:r>
              <w:rPr>
                <w:rFonts w:ascii="Arial" w:hAnsi="Arial" w:cs="Arial"/>
                <w:sz w:val="18"/>
                <w:szCs w:val="18"/>
              </w:rPr>
              <w:t>angemessene</w:t>
            </w:r>
            <w:r w:rsidRPr="00F51C73">
              <w:rPr>
                <w:rFonts w:ascii="Arial" w:hAnsi="Arial" w:cs="Arial"/>
                <w:sz w:val="18"/>
                <w:szCs w:val="18"/>
              </w:rPr>
              <w:t xml:space="preserve"> interne Verfahren</w:t>
            </w:r>
            <w:r>
              <w:rPr>
                <w:rFonts w:ascii="Arial" w:hAnsi="Arial" w:cs="Arial"/>
                <w:sz w:val="18"/>
                <w:szCs w:val="18"/>
              </w:rPr>
              <w:t xml:space="preserve"> zur</w:t>
            </w:r>
            <w:r w:rsidRPr="00F51C73">
              <w:rPr>
                <w:rFonts w:ascii="Arial" w:hAnsi="Arial" w:cs="Arial"/>
                <w:sz w:val="18"/>
                <w:szCs w:val="18"/>
              </w:rPr>
              <w:t xml:space="preserve"> </w:t>
            </w:r>
            <w:r>
              <w:rPr>
                <w:rFonts w:ascii="Arial" w:hAnsi="Arial" w:cs="Arial"/>
                <w:sz w:val="18"/>
                <w:szCs w:val="18"/>
              </w:rPr>
              <w:t xml:space="preserve">Überprüfung der Bewertungsbasis (Vollständigkeit, Korrektheit der Daten) und der Informationsquellen </w:t>
            </w:r>
            <w:r w:rsidR="00C51181">
              <w:rPr>
                <w:rFonts w:ascii="Arial" w:hAnsi="Arial" w:cs="Arial"/>
                <w:sz w:val="18"/>
                <w:szCs w:val="18"/>
              </w:rPr>
              <w:t xml:space="preserve">(Aktualität, Unabhängigkeit) </w:t>
            </w:r>
            <w:r>
              <w:rPr>
                <w:rFonts w:ascii="Arial" w:hAnsi="Arial" w:cs="Arial"/>
                <w:sz w:val="18"/>
                <w:szCs w:val="18"/>
              </w:rPr>
              <w:t xml:space="preserve">zur </w:t>
            </w:r>
            <w:r w:rsidRPr="0026121B">
              <w:rPr>
                <w:rFonts w:ascii="Arial" w:hAnsi="Arial" w:cs="Arial"/>
                <w:sz w:val="18"/>
                <w:szCs w:val="18"/>
              </w:rPr>
              <w:t xml:space="preserve">Plausibilisierung der Berechnung und Bewertung der Nettoinventarwerte und der Ausgabe- und Rücknahmepreise </w:t>
            </w:r>
            <w:r>
              <w:rPr>
                <w:rFonts w:ascii="Arial" w:hAnsi="Arial" w:cs="Arial"/>
                <w:sz w:val="18"/>
                <w:szCs w:val="18"/>
              </w:rPr>
              <w:t>bestehen und im Falle der Prüftiefe Detailprüfung effektiv angewendet wurden</w:t>
            </w:r>
          </w:p>
        </w:tc>
        <w:tc>
          <w:tcPr>
            <w:tcW w:w="3382" w:type="dxa"/>
          </w:tcPr>
          <w:p w14:paraId="4744321C" w14:textId="40730800" w:rsidR="0026121B" w:rsidRPr="00C3479D" w:rsidRDefault="0026121B" w:rsidP="0026121B">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6121B" w:rsidRPr="009872F3" w14:paraId="7E2DE25C" w14:textId="77777777" w:rsidTr="008C7535">
        <w:tc>
          <w:tcPr>
            <w:tcW w:w="5798" w:type="dxa"/>
            <w:gridSpan w:val="3"/>
          </w:tcPr>
          <w:p w14:paraId="12645CF5" w14:textId="3ECE3642" w:rsidR="0026121B" w:rsidRPr="00A57D21" w:rsidRDefault="0026121B" w:rsidP="0026121B">
            <w:pPr>
              <w:jc w:val="both"/>
              <w:rPr>
                <w:rFonts w:ascii="Arial" w:hAnsi="Arial" w:cs="Arial"/>
                <w:sz w:val="18"/>
                <w:szCs w:val="18"/>
              </w:rPr>
            </w:pPr>
            <w:r w:rsidRPr="00A57D21">
              <w:rPr>
                <w:rFonts w:ascii="Arial" w:hAnsi="Arial" w:cs="Arial"/>
                <w:sz w:val="18"/>
                <w:szCs w:val="18"/>
              </w:rPr>
              <w:t xml:space="preserve">Die internen Verfahren stellen sicher, dass die Bewertungsrichtlinien und </w:t>
            </w:r>
            <w:r w:rsidR="00EF023D">
              <w:rPr>
                <w:rFonts w:ascii="Arial" w:hAnsi="Arial" w:cs="Arial"/>
                <w:sz w:val="18"/>
                <w:szCs w:val="18"/>
              </w:rPr>
              <w:t>-</w:t>
            </w:r>
            <w:r w:rsidRPr="00A57D21">
              <w:rPr>
                <w:rFonts w:ascii="Arial" w:hAnsi="Arial" w:cs="Arial"/>
                <w:sz w:val="18"/>
                <w:szCs w:val="18"/>
              </w:rPr>
              <w:t xml:space="preserve">verfahren </w:t>
            </w:r>
            <w:r>
              <w:rPr>
                <w:rFonts w:ascii="Arial" w:hAnsi="Arial" w:cs="Arial"/>
                <w:sz w:val="18"/>
                <w:szCs w:val="18"/>
              </w:rPr>
              <w:t xml:space="preserve">und die Kontrollstrategie zur Berechnung des Nettoinventarwerts und der Ausgabe- und Rücknahmepreise </w:t>
            </w:r>
            <w:r w:rsidRPr="00A57D21">
              <w:rPr>
                <w:rFonts w:ascii="Arial" w:hAnsi="Arial" w:cs="Arial"/>
                <w:sz w:val="18"/>
                <w:szCs w:val="18"/>
              </w:rPr>
              <w:t xml:space="preserve">konsistent umgesetzt werden und in regelmässigen Abständen </w:t>
            </w:r>
            <w:r>
              <w:rPr>
                <w:rFonts w:ascii="Arial" w:hAnsi="Arial" w:cs="Arial"/>
                <w:sz w:val="18"/>
                <w:szCs w:val="18"/>
              </w:rPr>
              <w:t>überprüft</w:t>
            </w:r>
            <w:r w:rsidRPr="00A57D21">
              <w:rPr>
                <w:rFonts w:ascii="Arial" w:hAnsi="Arial" w:cs="Arial"/>
                <w:sz w:val="18"/>
                <w:szCs w:val="18"/>
              </w:rPr>
              <w:t xml:space="preserve"> werden</w:t>
            </w:r>
          </w:p>
        </w:tc>
        <w:tc>
          <w:tcPr>
            <w:tcW w:w="3382" w:type="dxa"/>
          </w:tcPr>
          <w:p w14:paraId="2F4ED429" w14:textId="133DFD37" w:rsidR="0026121B" w:rsidRPr="00C3479D" w:rsidRDefault="0026121B" w:rsidP="0026121B">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6121B" w:rsidRPr="009872F3" w14:paraId="17FB7C68" w14:textId="77777777" w:rsidTr="008C7535">
        <w:tc>
          <w:tcPr>
            <w:tcW w:w="5798" w:type="dxa"/>
            <w:gridSpan w:val="3"/>
          </w:tcPr>
          <w:p w14:paraId="2E7A8A7E" w14:textId="25D4592D" w:rsidR="0026121B" w:rsidRDefault="0026121B" w:rsidP="0026121B">
            <w:pPr>
              <w:jc w:val="both"/>
              <w:rPr>
                <w:rFonts w:ascii="Arial" w:hAnsi="Arial" w:cs="Arial"/>
                <w:sz w:val="18"/>
                <w:szCs w:val="18"/>
                <w:highlight w:val="cyan"/>
              </w:rPr>
            </w:pPr>
            <w:r>
              <w:rPr>
                <w:rFonts w:ascii="Arial" w:hAnsi="Arial" w:cs="Arial"/>
                <w:sz w:val="18"/>
                <w:szCs w:val="18"/>
              </w:rPr>
              <w:t xml:space="preserve">Bestätigung, dass die internen Verfahren sicherstellen, dass </w:t>
            </w:r>
            <w:r w:rsidRPr="000A15B1">
              <w:rPr>
                <w:rFonts w:ascii="Arial" w:hAnsi="Arial" w:cs="Arial"/>
                <w:sz w:val="18"/>
                <w:szCs w:val="18"/>
              </w:rPr>
              <w:t>bei einer Divergenz der Bewertung der Anteile zu den geltenden massgebenden Gesetzesbestimmungen und konstituierenden Dokumenten</w:t>
            </w:r>
            <w:r>
              <w:rPr>
                <w:rFonts w:ascii="Arial" w:hAnsi="Arial" w:cs="Arial"/>
                <w:sz w:val="18"/>
                <w:szCs w:val="18"/>
              </w:rPr>
              <w:t xml:space="preserve"> («NAV-Differenzen»)</w:t>
            </w:r>
            <w:r w:rsidRPr="000A15B1">
              <w:rPr>
                <w:rFonts w:ascii="Arial" w:hAnsi="Arial" w:cs="Arial"/>
                <w:sz w:val="18"/>
                <w:szCs w:val="18"/>
              </w:rPr>
              <w:t xml:space="preserve"> eine angemessene Eskalation erfolgt und zeitnah Abhilfemassnahmen ergriffen werden</w:t>
            </w:r>
            <w:r>
              <w:rPr>
                <w:rFonts w:ascii="Arial" w:hAnsi="Arial" w:cs="Arial"/>
                <w:sz w:val="18"/>
                <w:szCs w:val="18"/>
              </w:rPr>
              <w:t xml:space="preserve"> und im Falle der Prüftiefe Detailprüfung effektiv angewendet wurden</w:t>
            </w:r>
          </w:p>
        </w:tc>
        <w:tc>
          <w:tcPr>
            <w:tcW w:w="3382" w:type="dxa"/>
          </w:tcPr>
          <w:p w14:paraId="2E1FE0B0" w14:textId="4C27EE89" w:rsidR="0026121B" w:rsidRPr="00C3479D" w:rsidRDefault="0026121B" w:rsidP="0026121B">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B459F" w:rsidRPr="009872F3" w14:paraId="6DD267E3" w14:textId="77777777" w:rsidTr="008C7535">
        <w:tc>
          <w:tcPr>
            <w:tcW w:w="5798" w:type="dxa"/>
            <w:gridSpan w:val="3"/>
          </w:tcPr>
          <w:p w14:paraId="6CF7519C" w14:textId="77777777" w:rsidR="00AB459F" w:rsidRDefault="00AB459F" w:rsidP="0026121B">
            <w:pPr>
              <w:jc w:val="both"/>
              <w:rPr>
                <w:rFonts w:ascii="Arial" w:hAnsi="Arial" w:cs="Arial"/>
                <w:sz w:val="18"/>
                <w:szCs w:val="18"/>
              </w:rPr>
            </w:pPr>
          </w:p>
        </w:tc>
        <w:tc>
          <w:tcPr>
            <w:tcW w:w="3382" w:type="dxa"/>
          </w:tcPr>
          <w:p w14:paraId="6702B479" w14:textId="77777777" w:rsidR="00AB459F" w:rsidRPr="00C3479D" w:rsidRDefault="00AB459F" w:rsidP="0026121B">
            <w:pPr>
              <w:jc w:val="both"/>
              <w:rPr>
                <w:rFonts w:ascii="Arial" w:hAnsi="Arial" w:cs="Arial"/>
                <w:i/>
                <w:sz w:val="18"/>
                <w:szCs w:val="18"/>
                <w:highlight w:val="yellow"/>
              </w:rPr>
            </w:pPr>
          </w:p>
        </w:tc>
      </w:tr>
      <w:tr w:rsidR="00AB459F" w:rsidRPr="009872F3" w14:paraId="3F73AD33" w14:textId="77777777" w:rsidTr="008034B7">
        <w:tc>
          <w:tcPr>
            <w:tcW w:w="9180" w:type="dxa"/>
            <w:gridSpan w:val="4"/>
          </w:tcPr>
          <w:p w14:paraId="2232E297"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152B76A7"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62E4F6EC" w14:textId="77777777" w:rsidR="00801D7B" w:rsidRDefault="00801D7B" w:rsidP="00801D7B">
      <w:pPr>
        <w:jc w:val="both"/>
      </w:pPr>
    </w:p>
    <w:tbl>
      <w:tblPr>
        <w:tblStyle w:val="Tabellenraster"/>
        <w:tblW w:w="0" w:type="auto"/>
        <w:tblLook w:val="04A0" w:firstRow="1" w:lastRow="0" w:firstColumn="1" w:lastColumn="0" w:noHBand="0" w:noVBand="1"/>
      </w:tblPr>
      <w:tblGrid>
        <w:gridCol w:w="2785"/>
        <w:gridCol w:w="6520"/>
      </w:tblGrid>
      <w:tr w:rsidR="00801D7B" w:rsidRPr="00CE3194" w14:paraId="2A0181F4" w14:textId="77777777" w:rsidTr="008C7535">
        <w:tc>
          <w:tcPr>
            <w:tcW w:w="2785" w:type="dxa"/>
          </w:tcPr>
          <w:p w14:paraId="04E199EC" w14:textId="77777777" w:rsidR="00801D7B" w:rsidRPr="00CE3194" w:rsidRDefault="00801D7B" w:rsidP="008C753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DDAB292" w14:textId="77777777" w:rsidR="00801D7B" w:rsidRPr="00CE3194" w:rsidRDefault="00801D7B" w:rsidP="008C7535">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801D7B" w:rsidRPr="00CE3194" w14:paraId="70208AAA" w14:textId="77777777" w:rsidTr="008C7535">
        <w:tc>
          <w:tcPr>
            <w:tcW w:w="2785" w:type="dxa"/>
          </w:tcPr>
          <w:p w14:paraId="16E32B3C" w14:textId="1557741A" w:rsidR="00801D7B" w:rsidRPr="00F51C73" w:rsidRDefault="00A8048D" w:rsidP="008C7535">
            <w:pPr>
              <w:jc w:val="both"/>
              <w:rPr>
                <w:rFonts w:ascii="Arial" w:hAnsi="Arial" w:cs="Arial"/>
                <w:i/>
                <w:sz w:val="20"/>
                <w:szCs w:val="20"/>
                <w:highlight w:val="lightGray"/>
              </w:rPr>
            </w:pPr>
            <w:r w:rsidRPr="00F51C73">
              <w:rPr>
                <w:rFonts w:ascii="Arial" w:hAnsi="Arial" w:cs="Arial"/>
                <w:i/>
                <w:sz w:val="20"/>
                <w:szCs w:val="20"/>
                <w:highlight w:val="lightGray"/>
              </w:rPr>
              <w:t>Berechnung Netto-Inventarwert und der Ausgabe- und Rücknahmepreise der Anteile</w:t>
            </w:r>
          </w:p>
        </w:tc>
        <w:tc>
          <w:tcPr>
            <w:tcW w:w="6520" w:type="dxa"/>
          </w:tcPr>
          <w:p w14:paraId="555958C6" w14:textId="690D9191" w:rsidR="00801D7B" w:rsidRPr="00F51C73" w:rsidRDefault="00A8048D"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stellen sicher, dass die </w:t>
            </w:r>
            <w:r w:rsidR="00F51C73" w:rsidRPr="00F51C73">
              <w:rPr>
                <w:rFonts w:cs="Arial"/>
                <w:i/>
                <w:szCs w:val="20"/>
                <w:highlight w:val="lightGray"/>
              </w:rPr>
              <w:t>Berechnung und Bewertung der Nettoinventarwerte und der Ausgabe- und Rücknahmepreise der Anteile nach den massgebenden Gesetzesbestimmungen und konstituierenden Dokumenten</w:t>
            </w:r>
            <w:r w:rsidRPr="00F51C73">
              <w:rPr>
                <w:rFonts w:cs="Arial"/>
                <w:i/>
                <w:szCs w:val="20"/>
                <w:highlight w:val="lightGray"/>
              </w:rPr>
              <w:t xml:space="preserve"> angemessen plausibilisiert werden</w:t>
            </w:r>
            <w:r w:rsidR="007C6440">
              <w:rPr>
                <w:rFonts w:cs="Arial"/>
                <w:i/>
                <w:szCs w:val="20"/>
                <w:highlight w:val="lightGray"/>
              </w:rPr>
              <w:t>.</w:t>
            </w:r>
          </w:p>
          <w:p w14:paraId="6A5EFEE9" w14:textId="48966016" w:rsidR="00344D24" w:rsidRDefault="00344D24"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Die internen Verfahren stellen sicher, dass die Plausibilisierung der Berechnung und Bewertung des Nettoinventarwerts und der Ausgabe- und Rücknahmepreise unabhängig und objektiv erfolgt</w:t>
            </w:r>
            <w:r w:rsidR="007C6440">
              <w:rPr>
                <w:rFonts w:cs="Arial"/>
                <w:i/>
                <w:szCs w:val="20"/>
                <w:highlight w:val="lightGray"/>
              </w:rPr>
              <w:t>.</w:t>
            </w:r>
          </w:p>
          <w:p w14:paraId="756460FA" w14:textId="4BF101DC" w:rsidR="00C903C8" w:rsidRPr="00F51C73" w:rsidRDefault="00C903C8" w:rsidP="00F7326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Bewertungsrichtlinien- und verfahren konsistent umgesetzt werden und in regelmässigen Abständen überprüft werden</w:t>
            </w:r>
            <w:r w:rsidR="007C6440">
              <w:rPr>
                <w:rFonts w:cs="Arial"/>
                <w:i/>
                <w:szCs w:val="20"/>
                <w:highlight w:val="lightGray"/>
              </w:rPr>
              <w:t>.</w:t>
            </w:r>
          </w:p>
          <w:p w14:paraId="3E79C3A8" w14:textId="77E134E7" w:rsidR="00F51C73" w:rsidRPr="00F51C73" w:rsidRDefault="00F51C73"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Die internen Verfahren stellen sicher, dass die Plausibilisierung der Berechnung und Bewertung des Nettoinventarwerts und der Ausgabe- und Rücknahmepreise nachvollziehbar dokumentiert ist</w:t>
            </w:r>
            <w:r w:rsidR="007C6440">
              <w:rPr>
                <w:rFonts w:cs="Arial"/>
                <w:i/>
                <w:szCs w:val="20"/>
                <w:highlight w:val="lightGray"/>
              </w:rPr>
              <w:t>.</w:t>
            </w:r>
          </w:p>
          <w:p w14:paraId="424B0395" w14:textId="15B775E9" w:rsidR="00A57D21" w:rsidRDefault="00F51C73"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stellen sicher, dass die die Plausibilisierung der Berechnung und Bewertung des Nettoinventarwerts und der Ausgabe- und Rücknahmepreise periodisch </w:t>
            </w:r>
            <w:r w:rsidR="009E4161">
              <w:rPr>
                <w:rFonts w:cs="Arial"/>
                <w:i/>
                <w:szCs w:val="20"/>
                <w:highlight w:val="lightGray"/>
              </w:rPr>
              <w:t xml:space="preserve">(gemäss </w:t>
            </w:r>
            <w:r w:rsidR="009E4161">
              <w:rPr>
                <w:rFonts w:cs="Arial"/>
                <w:i/>
                <w:szCs w:val="20"/>
                <w:highlight w:val="lightGray"/>
              </w:rPr>
              <w:lastRenderedPageBreak/>
              <w:t xml:space="preserve">Bewertungshäufigkeit des zugrundenliegenden Fonds) </w:t>
            </w:r>
            <w:r w:rsidR="00A57D21">
              <w:rPr>
                <w:rFonts w:cs="Arial"/>
                <w:i/>
                <w:szCs w:val="20"/>
                <w:highlight w:val="lightGray"/>
              </w:rPr>
              <w:t xml:space="preserve">gemäss </w:t>
            </w:r>
            <w:r w:rsidR="000A15B1">
              <w:rPr>
                <w:rFonts w:cs="Arial"/>
                <w:i/>
                <w:szCs w:val="20"/>
                <w:highlight w:val="lightGray"/>
              </w:rPr>
              <w:t>der</w:t>
            </w:r>
            <w:r w:rsidR="00A57D21">
              <w:rPr>
                <w:rFonts w:cs="Arial"/>
                <w:i/>
                <w:szCs w:val="20"/>
                <w:highlight w:val="lightGray"/>
              </w:rPr>
              <w:t xml:space="preserve"> intern festgelegten Kontrollstrategie </w:t>
            </w:r>
            <w:r w:rsidRPr="00F51C73">
              <w:rPr>
                <w:rFonts w:cs="Arial"/>
                <w:i/>
                <w:szCs w:val="20"/>
                <w:highlight w:val="lightGray"/>
              </w:rPr>
              <w:t>durchgeführt wird</w:t>
            </w:r>
            <w:r w:rsidR="007C6440">
              <w:rPr>
                <w:rFonts w:cs="Arial"/>
                <w:i/>
                <w:szCs w:val="20"/>
                <w:highlight w:val="lightGray"/>
              </w:rPr>
              <w:t>.</w:t>
            </w:r>
          </w:p>
          <w:p w14:paraId="4076086F" w14:textId="3F216E15" w:rsidR="00F51C73" w:rsidRPr="00F51C73" w:rsidRDefault="00A57D21" w:rsidP="00F7326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Kontrollstrategie für die Plausibilisierung des Nettoinventarwerts und der Ausgabe- und Rücknahme von Anteilen periodisch </w:t>
            </w:r>
            <w:r w:rsidR="00FC6CFC">
              <w:rPr>
                <w:rFonts w:cs="Arial"/>
                <w:i/>
                <w:szCs w:val="20"/>
                <w:highlight w:val="lightGray"/>
              </w:rPr>
              <w:t xml:space="preserve">(mind. jährlich) </w:t>
            </w:r>
            <w:r>
              <w:rPr>
                <w:rFonts w:cs="Arial"/>
                <w:i/>
                <w:szCs w:val="20"/>
                <w:highlight w:val="lightGray"/>
              </w:rPr>
              <w:t>überprüft wird</w:t>
            </w:r>
            <w:r w:rsidR="007C6440">
              <w:rPr>
                <w:rFonts w:cs="Arial"/>
                <w:i/>
                <w:szCs w:val="20"/>
                <w:highlight w:val="lightGray"/>
              </w:rPr>
              <w:t>.</w:t>
            </w:r>
          </w:p>
          <w:p w14:paraId="673447A1" w14:textId="02191D3F" w:rsidR="00F51C73" w:rsidRPr="00F51C73" w:rsidRDefault="00F51C73" w:rsidP="00F73268">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gewährleisten, dass die </w:t>
            </w:r>
            <w:r w:rsidR="009E4161" w:rsidRPr="00F51C73">
              <w:rPr>
                <w:rFonts w:cs="Arial"/>
                <w:i/>
                <w:szCs w:val="20"/>
                <w:highlight w:val="lightGray"/>
              </w:rPr>
              <w:t xml:space="preserve">Berechnung und Bewertung der Nettoinventarwerte und der Ausgabe- und Rücknahmepreise der Anteile </w:t>
            </w:r>
            <w:r w:rsidRPr="00F51C73">
              <w:rPr>
                <w:rFonts w:cs="Arial"/>
                <w:i/>
                <w:szCs w:val="20"/>
                <w:highlight w:val="lightGray"/>
              </w:rPr>
              <w:t>auf Basis vollständige</w:t>
            </w:r>
            <w:r w:rsidR="00FB6539">
              <w:rPr>
                <w:rFonts w:cs="Arial"/>
                <w:i/>
                <w:szCs w:val="20"/>
                <w:highlight w:val="lightGray"/>
              </w:rPr>
              <w:t>r,</w:t>
            </w:r>
            <w:r w:rsidRPr="00F51C73">
              <w:rPr>
                <w:rFonts w:cs="Arial"/>
                <w:i/>
                <w:szCs w:val="20"/>
                <w:highlight w:val="lightGray"/>
              </w:rPr>
              <w:t xml:space="preserve"> richtiger</w:t>
            </w:r>
            <w:r w:rsidR="00FB6539">
              <w:rPr>
                <w:rFonts w:cs="Arial"/>
                <w:i/>
                <w:szCs w:val="20"/>
                <w:highlight w:val="lightGray"/>
              </w:rPr>
              <w:t xml:space="preserve"> und unabhängiger</w:t>
            </w:r>
            <w:r w:rsidRPr="00F51C73">
              <w:rPr>
                <w:rFonts w:cs="Arial"/>
                <w:i/>
                <w:szCs w:val="20"/>
                <w:highlight w:val="lightGray"/>
              </w:rPr>
              <w:t xml:space="preserve"> Daten (Bewertungsbasis) durchgeführt w</w:t>
            </w:r>
            <w:r w:rsidR="0026121B">
              <w:rPr>
                <w:rFonts w:cs="Arial"/>
                <w:i/>
                <w:szCs w:val="20"/>
                <w:highlight w:val="lightGray"/>
              </w:rPr>
              <w:t>erden.</w:t>
            </w:r>
          </w:p>
          <w:p w14:paraId="78065323" w14:textId="3A369021" w:rsidR="00FB6539" w:rsidRPr="00FB6539" w:rsidRDefault="00F51C73" w:rsidP="00FB6539">
            <w:pPr>
              <w:pStyle w:val="Listenabsatz"/>
              <w:numPr>
                <w:ilvl w:val="1"/>
                <w:numId w:val="17"/>
              </w:numPr>
              <w:ind w:left="317" w:hanging="283"/>
              <w:jc w:val="both"/>
              <w:rPr>
                <w:rFonts w:cs="Arial"/>
                <w:i/>
                <w:szCs w:val="20"/>
                <w:highlight w:val="lightGray"/>
              </w:rPr>
            </w:pPr>
            <w:r w:rsidRPr="00F51C73">
              <w:rPr>
                <w:rFonts w:cs="Arial"/>
                <w:i/>
                <w:szCs w:val="20"/>
                <w:highlight w:val="lightGray"/>
              </w:rPr>
              <w:t xml:space="preserve">Die internen Verfahren stellen sicher, dass </w:t>
            </w:r>
            <w:r w:rsidR="009E4161" w:rsidRPr="00F51C73">
              <w:rPr>
                <w:rFonts w:cs="Arial"/>
                <w:i/>
                <w:szCs w:val="20"/>
                <w:highlight w:val="lightGray"/>
              </w:rPr>
              <w:t xml:space="preserve">die </w:t>
            </w:r>
            <w:r w:rsidR="009E4161">
              <w:rPr>
                <w:rFonts w:cs="Arial"/>
                <w:i/>
                <w:szCs w:val="20"/>
                <w:highlight w:val="lightGray"/>
              </w:rPr>
              <w:t>unterschiedlichen Informationsquellen</w:t>
            </w:r>
            <w:r w:rsidRPr="00F51C73">
              <w:rPr>
                <w:rFonts w:cs="Arial"/>
                <w:i/>
                <w:szCs w:val="20"/>
                <w:highlight w:val="lightGray"/>
              </w:rPr>
              <w:t xml:space="preserve"> zur Plausibilisierung der Berechnung und Bewertung der Nettoinventarwerte und der Ausgabe- und Rücknahmepreise </w:t>
            </w:r>
            <w:r w:rsidR="009E4161">
              <w:rPr>
                <w:rFonts w:cs="Arial"/>
                <w:i/>
                <w:szCs w:val="20"/>
                <w:highlight w:val="lightGray"/>
              </w:rPr>
              <w:t>überprüft werden</w:t>
            </w:r>
            <w:r w:rsidR="00FB6539">
              <w:rPr>
                <w:rFonts w:cs="Arial"/>
                <w:i/>
                <w:szCs w:val="20"/>
                <w:highlight w:val="lightGray"/>
              </w:rPr>
              <w:t xml:space="preserve"> (z.B. Kontrolle der publizierten Kurse</w:t>
            </w:r>
            <w:r w:rsidR="00B1220F">
              <w:rPr>
                <w:rFonts w:cs="Arial"/>
                <w:i/>
                <w:szCs w:val="20"/>
                <w:highlight w:val="lightGray"/>
              </w:rPr>
              <w:t xml:space="preserve"> (Titelposition, FX)</w:t>
            </w:r>
            <w:r w:rsidR="00933ED8">
              <w:rPr>
                <w:rFonts w:cs="Arial"/>
                <w:i/>
                <w:szCs w:val="20"/>
                <w:highlight w:val="lightGray"/>
              </w:rPr>
              <w:t>;</w:t>
            </w:r>
            <w:r w:rsidR="00FB6539">
              <w:rPr>
                <w:rFonts w:cs="Arial"/>
                <w:i/>
                <w:szCs w:val="20"/>
                <w:highlight w:val="lightGray"/>
              </w:rPr>
              <w:t xml:space="preserve"> Kontrolle von Bewertungskursen von illiquiden </w:t>
            </w:r>
            <w:r w:rsidR="00140523">
              <w:rPr>
                <w:rFonts w:cs="Arial"/>
                <w:i/>
                <w:szCs w:val="20"/>
                <w:highlight w:val="lightGray"/>
              </w:rPr>
              <w:t>und/oder</w:t>
            </w:r>
            <w:r w:rsidR="00FB6539">
              <w:rPr>
                <w:rFonts w:cs="Arial"/>
                <w:i/>
                <w:szCs w:val="20"/>
                <w:highlight w:val="lightGray"/>
              </w:rPr>
              <w:t xml:space="preserve"> nicht marktgängigen Anlagen</w:t>
            </w:r>
            <w:r w:rsidR="00744D08">
              <w:rPr>
                <w:rFonts w:cs="Arial"/>
                <w:i/>
                <w:szCs w:val="20"/>
                <w:highlight w:val="lightGray"/>
              </w:rPr>
              <w:t xml:space="preserve"> (schwer bewertbare Zielanlagen)</w:t>
            </w:r>
            <w:r w:rsidR="00FB6539">
              <w:rPr>
                <w:rFonts w:cs="Arial"/>
                <w:i/>
                <w:szCs w:val="20"/>
                <w:highlight w:val="lightGray"/>
              </w:rPr>
              <w:t xml:space="preserve">; </w:t>
            </w:r>
            <w:r w:rsidR="00CD5DCC">
              <w:rPr>
                <w:rFonts w:cs="Arial"/>
                <w:i/>
                <w:szCs w:val="20"/>
                <w:highlight w:val="lightGray"/>
              </w:rPr>
              <w:t xml:space="preserve">intern </w:t>
            </w:r>
            <w:r w:rsidR="00FB6539">
              <w:rPr>
                <w:rFonts w:cs="Arial"/>
                <w:i/>
                <w:szCs w:val="20"/>
                <w:highlight w:val="lightGray"/>
              </w:rPr>
              <w:t>vorab festgelegte Auswahlkriterien für Kurs-/Informationsquellen</w:t>
            </w:r>
            <w:r w:rsidR="00CD5DCC">
              <w:rPr>
                <w:rFonts w:cs="Arial"/>
                <w:i/>
                <w:szCs w:val="20"/>
                <w:highlight w:val="lightGray"/>
              </w:rPr>
              <w:t xml:space="preserve"> etc.</w:t>
            </w:r>
            <w:r w:rsidR="00FB6539">
              <w:rPr>
                <w:rFonts w:cs="Arial"/>
                <w:i/>
                <w:szCs w:val="20"/>
                <w:highlight w:val="lightGray"/>
              </w:rPr>
              <w:t>)</w:t>
            </w:r>
            <w:r w:rsidR="007672C2">
              <w:rPr>
                <w:rFonts w:cs="Arial"/>
                <w:i/>
                <w:szCs w:val="20"/>
                <w:highlight w:val="lightGray"/>
              </w:rPr>
              <w:t>.</w:t>
            </w:r>
          </w:p>
          <w:p w14:paraId="23FE5C1D" w14:textId="66E4309D" w:rsidR="009E4161" w:rsidRPr="00F51C73" w:rsidRDefault="00C903C8" w:rsidP="00F7326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bei einer Divergenz der Bewertung der Anteile zu den geltenden massgebenden Gesetzesbestimmungen und konstituierenden Dokumenten eine angemessene Eskalation erfolgt</w:t>
            </w:r>
            <w:r w:rsidR="000D0F18">
              <w:rPr>
                <w:rFonts w:cs="Arial"/>
                <w:i/>
                <w:szCs w:val="20"/>
                <w:highlight w:val="lightGray"/>
              </w:rPr>
              <w:t xml:space="preserve"> (u.a. Kommunikation mit Verwaltungsgesellschaft/AIFM)</w:t>
            </w:r>
            <w:r>
              <w:rPr>
                <w:rFonts w:cs="Arial"/>
                <w:i/>
                <w:szCs w:val="20"/>
                <w:highlight w:val="lightGray"/>
              </w:rPr>
              <w:t xml:space="preserve"> und zeitnah Abhilfemassnahmen ergriffen werden</w:t>
            </w:r>
            <w:r w:rsidR="007672C2">
              <w:rPr>
                <w:rFonts w:cs="Arial"/>
                <w:i/>
                <w:szCs w:val="20"/>
                <w:highlight w:val="lightGray"/>
              </w:rPr>
              <w:t>.</w:t>
            </w:r>
            <w:r>
              <w:rPr>
                <w:rFonts w:cs="Arial"/>
                <w:i/>
                <w:szCs w:val="20"/>
                <w:highlight w:val="lightGray"/>
              </w:rPr>
              <w:t xml:space="preserve"> </w:t>
            </w:r>
          </w:p>
        </w:tc>
      </w:tr>
    </w:tbl>
    <w:p w14:paraId="58C86769" w14:textId="77777777" w:rsidR="001B7BDD" w:rsidRDefault="001B7BDD" w:rsidP="00CB3EE6">
      <w:pPr>
        <w:jc w:val="both"/>
      </w:pPr>
    </w:p>
    <w:p w14:paraId="1B340A47" w14:textId="77777777" w:rsidR="00801D7B" w:rsidRPr="00667026" w:rsidRDefault="00801D7B" w:rsidP="00801D7B">
      <w:pPr>
        <w:jc w:val="both"/>
        <w:rPr>
          <w:rFonts w:ascii="Arial" w:hAnsi="Arial" w:cs="Arial"/>
          <w:i/>
          <w:sz w:val="20"/>
          <w:szCs w:val="20"/>
        </w:rPr>
      </w:pPr>
      <w:r w:rsidRPr="00276C60">
        <w:rPr>
          <w:rFonts w:ascii="Arial" w:hAnsi="Arial" w:cs="Arial"/>
          <w:i/>
          <w:sz w:val="20"/>
          <w:szCs w:val="20"/>
          <w:highlight w:val="yellow"/>
        </w:rPr>
        <w:t>Text</w:t>
      </w:r>
    </w:p>
    <w:p w14:paraId="367B052F" w14:textId="6B91306B" w:rsidR="001B7BDD" w:rsidRDefault="001B7BDD" w:rsidP="00CB3EE6">
      <w:pPr>
        <w:jc w:val="both"/>
      </w:pPr>
    </w:p>
    <w:p w14:paraId="22069FBE" w14:textId="72258723" w:rsidR="00CB0BB0" w:rsidRDefault="00983C75" w:rsidP="00CB0BB0">
      <w:pPr>
        <w:pStyle w:val="FINMAGliederungEbene3"/>
      </w:pPr>
      <w:bookmarkStart w:id="27" w:name="_Toc185241480"/>
      <w:r>
        <w:t xml:space="preserve">Überwachung der </w:t>
      </w:r>
      <w:r w:rsidR="00CB0BB0">
        <w:t>Anlageentscheide (KA-2)</w:t>
      </w:r>
      <w:bookmarkEnd w:id="27"/>
    </w:p>
    <w:p w14:paraId="732B029A"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253B472F" w14:textId="77777777" w:rsidTr="00D9403D">
        <w:trPr>
          <w:trHeight w:val="563"/>
        </w:trPr>
        <w:tc>
          <w:tcPr>
            <w:tcW w:w="1932" w:type="dxa"/>
          </w:tcPr>
          <w:p w14:paraId="540FD231"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7DFF9290"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0A6ACAD"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3664E4E7" w14:textId="77777777" w:rsidTr="00D9403D">
        <w:trPr>
          <w:trHeight w:val="698"/>
        </w:trPr>
        <w:tc>
          <w:tcPr>
            <w:tcW w:w="1932" w:type="dxa"/>
          </w:tcPr>
          <w:p w14:paraId="6E26A3D9"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5B68AA80"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961D547"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93FEA66"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4100A38"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9872F3" w14:paraId="45D73E51" w14:textId="77777777" w:rsidTr="00D9403D">
        <w:trPr>
          <w:trHeight w:val="133"/>
        </w:trPr>
        <w:tc>
          <w:tcPr>
            <w:tcW w:w="9180" w:type="dxa"/>
            <w:gridSpan w:val="4"/>
          </w:tcPr>
          <w:p w14:paraId="57AE5499" w14:textId="77777777" w:rsidR="00CB0BB0" w:rsidRDefault="00CB0BB0" w:rsidP="00D9403D">
            <w:pPr>
              <w:jc w:val="both"/>
              <w:rPr>
                <w:rFonts w:ascii="Arial" w:hAnsi="Arial" w:cs="Arial"/>
                <w:sz w:val="18"/>
                <w:szCs w:val="18"/>
              </w:rPr>
            </w:pPr>
          </w:p>
          <w:p w14:paraId="55F053E3"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FCF114A" w14:textId="79E6FBB8" w:rsidR="00CB0BB0" w:rsidRPr="009872F3" w:rsidRDefault="00CB0BB0" w:rsidP="00D9403D">
            <w:pPr>
              <w:jc w:val="both"/>
              <w:rPr>
                <w:rFonts w:ascii="Arial" w:hAnsi="Arial" w:cs="Arial"/>
                <w:sz w:val="18"/>
                <w:szCs w:val="18"/>
              </w:rPr>
            </w:pPr>
            <w:r w:rsidRPr="00C620F7">
              <w:rPr>
                <w:rFonts w:ascii="Arial" w:hAnsi="Arial" w:cs="Arial"/>
                <w:sz w:val="18"/>
                <w:szCs w:val="18"/>
                <w:highlight w:val="yellow"/>
              </w:rPr>
              <w:t>Art</w:t>
            </w:r>
            <w:r w:rsidR="008E518E" w:rsidRPr="00C620F7">
              <w:rPr>
                <w:rFonts w:ascii="Arial" w:hAnsi="Arial" w:cs="Arial"/>
                <w:sz w:val="18"/>
                <w:szCs w:val="18"/>
                <w:highlight w:val="yellow"/>
              </w:rPr>
              <w:t xml:space="preserve">. 43 Abs. 2 Bst. b IUG; Art. 33 Abs. </w:t>
            </w:r>
            <w:r w:rsidR="0003699A">
              <w:rPr>
                <w:rFonts w:ascii="Arial" w:hAnsi="Arial" w:cs="Arial"/>
                <w:sz w:val="18"/>
                <w:szCs w:val="18"/>
                <w:highlight w:val="yellow"/>
              </w:rPr>
              <w:t>2</w:t>
            </w:r>
            <w:r w:rsidR="008E518E" w:rsidRPr="00C620F7">
              <w:rPr>
                <w:rFonts w:ascii="Arial" w:hAnsi="Arial" w:cs="Arial"/>
                <w:sz w:val="18"/>
                <w:szCs w:val="18"/>
                <w:highlight w:val="yellow"/>
              </w:rPr>
              <w:t xml:space="preserve"> UCITSG</w:t>
            </w:r>
            <w:r w:rsidR="0003699A">
              <w:rPr>
                <w:rFonts w:ascii="Arial" w:hAnsi="Arial" w:cs="Arial"/>
                <w:sz w:val="18"/>
                <w:szCs w:val="18"/>
                <w:highlight w:val="yellow"/>
              </w:rPr>
              <w:t>,</w:t>
            </w:r>
            <w:r w:rsidR="008E518E" w:rsidRPr="00C620F7">
              <w:rPr>
                <w:rFonts w:ascii="Arial" w:hAnsi="Arial" w:cs="Arial"/>
                <w:sz w:val="18"/>
                <w:szCs w:val="18"/>
                <w:highlight w:val="yellow"/>
              </w:rPr>
              <w:t xml:space="preserve"> </w:t>
            </w:r>
            <w:proofErr w:type="spellStart"/>
            <w:r w:rsidR="00C620F7" w:rsidRPr="00C620F7">
              <w:rPr>
                <w:rFonts w:ascii="Arial" w:hAnsi="Arial" w:cs="Arial"/>
                <w:sz w:val="18"/>
                <w:szCs w:val="18"/>
                <w:highlight w:val="yellow"/>
              </w:rPr>
              <w:t>DelVO</w:t>
            </w:r>
            <w:proofErr w:type="spellEnd"/>
            <w:r w:rsidR="00C620F7" w:rsidRPr="00C620F7">
              <w:rPr>
                <w:rFonts w:ascii="Arial" w:hAnsi="Arial" w:cs="Arial"/>
                <w:sz w:val="18"/>
                <w:szCs w:val="18"/>
                <w:highlight w:val="yellow"/>
              </w:rPr>
              <w:t xml:space="preserve"> (EU) Nr. 2016/438</w:t>
            </w:r>
            <w:r w:rsidR="00073781">
              <w:rPr>
                <w:rFonts w:ascii="Arial" w:hAnsi="Arial" w:cs="Arial"/>
                <w:sz w:val="18"/>
                <w:szCs w:val="18"/>
                <w:highlight w:val="yellow"/>
              </w:rPr>
              <w:t xml:space="preserve"> Art. </w:t>
            </w:r>
            <w:r w:rsidR="006943CC">
              <w:rPr>
                <w:rFonts w:ascii="Arial" w:hAnsi="Arial" w:cs="Arial"/>
                <w:sz w:val="18"/>
                <w:szCs w:val="18"/>
                <w:highlight w:val="yellow"/>
              </w:rPr>
              <w:t xml:space="preserve">3 Abs. </w:t>
            </w:r>
            <w:r w:rsidR="0003699A">
              <w:rPr>
                <w:rFonts w:ascii="Arial" w:hAnsi="Arial" w:cs="Arial"/>
                <w:sz w:val="18"/>
                <w:szCs w:val="18"/>
                <w:highlight w:val="yellow"/>
              </w:rPr>
              <w:t>2</w:t>
            </w:r>
            <w:r w:rsidR="006943CC">
              <w:rPr>
                <w:rFonts w:ascii="Arial" w:hAnsi="Arial" w:cs="Arial"/>
                <w:sz w:val="18"/>
                <w:szCs w:val="18"/>
                <w:highlight w:val="yellow"/>
              </w:rPr>
              <w:t xml:space="preserve">; </w:t>
            </w:r>
            <w:r w:rsidR="006810E2">
              <w:rPr>
                <w:rFonts w:ascii="Arial" w:hAnsi="Arial" w:cs="Arial"/>
                <w:sz w:val="18"/>
                <w:szCs w:val="18"/>
                <w:highlight w:val="yellow"/>
              </w:rPr>
              <w:t>Art</w:t>
            </w:r>
            <w:r w:rsidR="0003699A">
              <w:rPr>
                <w:rFonts w:ascii="Arial" w:hAnsi="Arial" w:cs="Arial"/>
                <w:sz w:val="18"/>
                <w:szCs w:val="18"/>
                <w:highlight w:val="yellow"/>
              </w:rPr>
              <w:t>; Art. 59 Abs. 2 Bst. c AIFMG</w:t>
            </w:r>
            <w:r w:rsidR="00C620F7">
              <w:rPr>
                <w:rFonts w:ascii="Arial" w:hAnsi="Arial" w:cs="Arial"/>
                <w:sz w:val="18"/>
                <w:szCs w:val="18"/>
                <w:highlight w:val="yellow"/>
              </w:rPr>
              <w:t xml:space="preserve">; </w:t>
            </w:r>
            <w:r w:rsidR="0003699A" w:rsidRPr="00734741">
              <w:rPr>
                <w:rFonts w:ascii="Arial" w:hAnsi="Arial" w:cs="Arial"/>
                <w:sz w:val="18"/>
                <w:szCs w:val="18"/>
                <w:highlight w:val="yellow"/>
              </w:rPr>
              <w:t>FMA-Richtlinie 2015/2</w:t>
            </w:r>
            <w:r w:rsidR="00054C52">
              <w:rPr>
                <w:rFonts w:ascii="Arial" w:hAnsi="Arial" w:cs="Arial"/>
                <w:sz w:val="18"/>
                <w:szCs w:val="18"/>
                <w:highlight w:val="yellow"/>
              </w:rPr>
              <w:t>, FMA-Mitteilung 2018/1</w:t>
            </w:r>
          </w:p>
        </w:tc>
      </w:tr>
      <w:tr w:rsidR="00CB0BB0" w:rsidRPr="009872F3" w14:paraId="285F264F" w14:textId="77777777" w:rsidTr="00D9403D">
        <w:trPr>
          <w:trHeight w:val="294"/>
        </w:trPr>
        <w:tc>
          <w:tcPr>
            <w:tcW w:w="9180" w:type="dxa"/>
            <w:gridSpan w:val="4"/>
          </w:tcPr>
          <w:p w14:paraId="6D7E7BC5" w14:textId="77777777" w:rsidR="00CB0BB0" w:rsidRPr="009872F3" w:rsidRDefault="00CB0BB0" w:rsidP="00D9403D">
            <w:pPr>
              <w:jc w:val="both"/>
              <w:rPr>
                <w:rFonts w:ascii="Arial" w:hAnsi="Arial" w:cs="Arial"/>
                <w:sz w:val="18"/>
                <w:szCs w:val="18"/>
              </w:rPr>
            </w:pPr>
          </w:p>
        </w:tc>
      </w:tr>
      <w:tr w:rsidR="00CB0BB0" w:rsidRPr="009872F3" w14:paraId="1BA68819" w14:textId="77777777" w:rsidTr="00D9403D">
        <w:tc>
          <w:tcPr>
            <w:tcW w:w="5798" w:type="dxa"/>
            <w:gridSpan w:val="3"/>
          </w:tcPr>
          <w:p w14:paraId="654D7459" w14:textId="39CF6082" w:rsidR="00CB0BB0" w:rsidRPr="00C824E9" w:rsidRDefault="00B1220F" w:rsidP="00D9403D">
            <w:pPr>
              <w:jc w:val="both"/>
              <w:rPr>
                <w:rFonts w:ascii="Arial" w:hAnsi="Arial" w:cs="Arial"/>
                <w:sz w:val="18"/>
                <w:szCs w:val="18"/>
              </w:rPr>
            </w:pPr>
            <w:r w:rsidRPr="00B1220F">
              <w:rPr>
                <w:rFonts w:ascii="Arial" w:hAnsi="Arial" w:cs="Arial"/>
                <w:sz w:val="18"/>
                <w:szCs w:val="18"/>
              </w:rPr>
              <w:t xml:space="preserve">Bestätigung, dass </w:t>
            </w:r>
            <w:r w:rsidR="00C620F7">
              <w:rPr>
                <w:rFonts w:ascii="Arial" w:hAnsi="Arial" w:cs="Arial"/>
                <w:sz w:val="18"/>
                <w:szCs w:val="18"/>
              </w:rPr>
              <w:t xml:space="preserve">angemessene </w:t>
            </w:r>
            <w:r w:rsidR="00C824E9">
              <w:rPr>
                <w:rFonts w:ascii="Arial" w:hAnsi="Arial" w:cs="Arial"/>
                <w:sz w:val="18"/>
                <w:szCs w:val="18"/>
              </w:rPr>
              <w:t>Verfahren</w:t>
            </w:r>
            <w:r w:rsidR="00C620F7">
              <w:rPr>
                <w:rFonts w:ascii="Arial" w:hAnsi="Arial" w:cs="Arial"/>
                <w:sz w:val="18"/>
                <w:szCs w:val="18"/>
              </w:rPr>
              <w:t xml:space="preserve"> bestehen, </w:t>
            </w:r>
            <w:r w:rsidRPr="00B1220F">
              <w:rPr>
                <w:rFonts w:ascii="Arial" w:hAnsi="Arial" w:cs="Arial"/>
                <w:sz w:val="18"/>
                <w:szCs w:val="18"/>
              </w:rPr>
              <w:t>die</w:t>
            </w:r>
            <w:r w:rsidR="00C620F7">
              <w:rPr>
                <w:rFonts w:ascii="Arial" w:hAnsi="Arial" w:cs="Arial"/>
                <w:sz w:val="18"/>
                <w:szCs w:val="18"/>
              </w:rPr>
              <w:t xml:space="preserve"> die </w:t>
            </w:r>
            <w:r w:rsidR="00C824E9">
              <w:rPr>
                <w:rFonts w:ascii="Arial" w:hAnsi="Arial" w:cs="Arial"/>
                <w:sz w:val="18"/>
                <w:szCs w:val="18"/>
              </w:rPr>
              <w:t>ex-post-Kontrolle</w:t>
            </w:r>
            <w:r w:rsidR="00C620F7">
              <w:rPr>
                <w:rFonts w:ascii="Arial" w:hAnsi="Arial" w:cs="Arial"/>
                <w:sz w:val="18"/>
                <w:szCs w:val="18"/>
              </w:rPr>
              <w:t xml:space="preserve"> </w:t>
            </w:r>
            <w:r w:rsidR="0012762C">
              <w:rPr>
                <w:rFonts w:ascii="Arial" w:hAnsi="Arial" w:cs="Arial"/>
                <w:sz w:val="18"/>
                <w:szCs w:val="18"/>
              </w:rPr>
              <w:t xml:space="preserve">hinsichtlich </w:t>
            </w:r>
            <w:r w:rsidR="00C620F7">
              <w:rPr>
                <w:rFonts w:ascii="Arial" w:hAnsi="Arial" w:cs="Arial"/>
                <w:sz w:val="18"/>
                <w:szCs w:val="18"/>
              </w:rPr>
              <w:t>der</w:t>
            </w:r>
            <w:r w:rsidRPr="00B1220F">
              <w:rPr>
                <w:rFonts w:ascii="Arial" w:hAnsi="Arial" w:cs="Arial"/>
                <w:sz w:val="18"/>
                <w:szCs w:val="18"/>
              </w:rPr>
              <w:t xml:space="preserve"> </w:t>
            </w:r>
            <w:r w:rsidR="00C824E9">
              <w:rPr>
                <w:rFonts w:ascii="Arial" w:hAnsi="Arial" w:cs="Arial"/>
                <w:sz w:val="18"/>
                <w:szCs w:val="18"/>
              </w:rPr>
              <w:t xml:space="preserve">Übereinstimmung der </w:t>
            </w:r>
            <w:r w:rsidRPr="00B1220F">
              <w:rPr>
                <w:rFonts w:ascii="Arial" w:hAnsi="Arial" w:cs="Arial"/>
                <w:sz w:val="18"/>
                <w:szCs w:val="18"/>
              </w:rPr>
              <w:t>Verwendung des Fondsvermögens mit den massgebenden Gesetzesbestimmungen und konstituierenden Dokumenten</w:t>
            </w:r>
            <w:r w:rsidR="00C620F7">
              <w:rPr>
                <w:rFonts w:ascii="Arial" w:hAnsi="Arial" w:cs="Arial"/>
                <w:sz w:val="18"/>
                <w:szCs w:val="18"/>
              </w:rPr>
              <w:t xml:space="preserve"> </w:t>
            </w:r>
            <w:r w:rsidR="0012762C">
              <w:rPr>
                <w:rFonts w:ascii="Arial" w:hAnsi="Arial" w:cs="Arial"/>
                <w:sz w:val="18"/>
                <w:szCs w:val="18"/>
              </w:rPr>
              <w:t xml:space="preserve">vollständig </w:t>
            </w:r>
            <w:r w:rsidR="00C824E9">
              <w:rPr>
                <w:rFonts w:ascii="Arial" w:hAnsi="Arial" w:cs="Arial"/>
                <w:sz w:val="18"/>
                <w:szCs w:val="18"/>
              </w:rPr>
              <w:t xml:space="preserve">sicherstellen </w:t>
            </w:r>
            <w:r w:rsidRPr="00B1220F">
              <w:rPr>
                <w:rFonts w:ascii="Arial" w:hAnsi="Arial" w:cs="Arial"/>
                <w:sz w:val="18"/>
                <w:szCs w:val="18"/>
              </w:rPr>
              <w:t>und im Falle einer Detailprüfung effektiv angewendet wurde</w:t>
            </w:r>
          </w:p>
        </w:tc>
        <w:tc>
          <w:tcPr>
            <w:tcW w:w="3382" w:type="dxa"/>
          </w:tcPr>
          <w:p w14:paraId="67755764" w14:textId="77777777" w:rsidR="00CB0BB0" w:rsidRPr="00C3479D" w:rsidRDefault="00CB0BB0"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B0BB0" w:rsidRPr="009872F3" w14:paraId="247FE77D" w14:textId="77777777" w:rsidTr="00D9403D">
        <w:tc>
          <w:tcPr>
            <w:tcW w:w="5798" w:type="dxa"/>
            <w:gridSpan w:val="3"/>
          </w:tcPr>
          <w:p w14:paraId="5EBFE8B8" w14:textId="63B62747" w:rsidR="00CB0BB0" w:rsidRPr="00CB0BB0" w:rsidRDefault="00C824E9" w:rsidP="00D9403D">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w:t>
            </w:r>
            <w:r>
              <w:rPr>
                <w:rFonts w:ascii="Arial" w:hAnsi="Arial" w:cs="Arial"/>
                <w:sz w:val="18"/>
                <w:szCs w:val="18"/>
              </w:rPr>
              <w:t xml:space="preserve">ex-post-Kontrolle der Anlageentscheide </w:t>
            </w:r>
            <w:r w:rsidRPr="00F51C73">
              <w:rPr>
                <w:rFonts w:ascii="Arial" w:hAnsi="Arial" w:cs="Arial"/>
                <w:sz w:val="18"/>
                <w:szCs w:val="18"/>
              </w:rPr>
              <w:t xml:space="preserve">unabhängig und </w:t>
            </w:r>
            <w:r>
              <w:rPr>
                <w:rFonts w:ascii="Arial" w:hAnsi="Arial" w:cs="Arial"/>
                <w:sz w:val="18"/>
                <w:szCs w:val="18"/>
              </w:rPr>
              <w:t>objektiv erfolgt und im Falle der Prüftiefe Detailprüfung effektiv angewendet wurden</w:t>
            </w:r>
          </w:p>
        </w:tc>
        <w:tc>
          <w:tcPr>
            <w:tcW w:w="3382" w:type="dxa"/>
          </w:tcPr>
          <w:p w14:paraId="034FB92F" w14:textId="77777777" w:rsidR="00CB0BB0" w:rsidRPr="00E109DF" w:rsidRDefault="00CB0BB0" w:rsidP="00D9403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B0BB0" w:rsidRPr="009872F3" w14:paraId="4C9E2D01" w14:textId="77777777" w:rsidTr="00D9403D">
        <w:tc>
          <w:tcPr>
            <w:tcW w:w="5798" w:type="dxa"/>
            <w:gridSpan w:val="3"/>
          </w:tcPr>
          <w:p w14:paraId="59E06EB8" w14:textId="5E0DB6A4" w:rsidR="00CB0BB0" w:rsidRPr="00CB0BB0" w:rsidRDefault="00C824E9" w:rsidP="00D9403D">
            <w:pPr>
              <w:jc w:val="both"/>
              <w:rPr>
                <w:rFonts w:ascii="Arial" w:hAnsi="Arial" w:cs="Arial"/>
                <w:sz w:val="18"/>
                <w:szCs w:val="18"/>
                <w:highlight w:val="cyan"/>
              </w:rPr>
            </w:pPr>
            <w:r w:rsidRPr="00F51C73">
              <w:rPr>
                <w:rFonts w:ascii="Arial" w:hAnsi="Arial" w:cs="Arial"/>
                <w:sz w:val="18"/>
                <w:szCs w:val="18"/>
              </w:rPr>
              <w:t xml:space="preserve">Bestätigung, dass die internen Verfahren sicherstellen, dass die </w:t>
            </w:r>
            <w:r>
              <w:rPr>
                <w:rFonts w:ascii="Arial" w:hAnsi="Arial" w:cs="Arial"/>
                <w:sz w:val="18"/>
                <w:szCs w:val="18"/>
              </w:rPr>
              <w:t>ex-post-Kontrolle der Anlageentscheide periodisch durchgeführt und nachvollziehbar dokumentiert wird und im Falle der Prüftiefe Detailprüfung effektiv angewendet wurden</w:t>
            </w:r>
          </w:p>
        </w:tc>
        <w:tc>
          <w:tcPr>
            <w:tcW w:w="3382" w:type="dxa"/>
          </w:tcPr>
          <w:p w14:paraId="12045E31" w14:textId="77777777" w:rsidR="00CB0BB0" w:rsidRPr="00E109DF" w:rsidRDefault="00CB0BB0"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F353F" w:rsidRPr="009872F3" w14:paraId="3F754D83" w14:textId="77777777" w:rsidTr="00D9403D">
        <w:tc>
          <w:tcPr>
            <w:tcW w:w="5798" w:type="dxa"/>
            <w:gridSpan w:val="3"/>
          </w:tcPr>
          <w:p w14:paraId="3FC9E4E6" w14:textId="4F24A857" w:rsidR="00EF353F" w:rsidRDefault="00EF353F" w:rsidP="00D9403D">
            <w:pPr>
              <w:jc w:val="both"/>
              <w:rPr>
                <w:rFonts w:ascii="Arial" w:hAnsi="Arial" w:cs="Arial"/>
                <w:sz w:val="18"/>
                <w:szCs w:val="18"/>
              </w:rPr>
            </w:pPr>
            <w:r>
              <w:rPr>
                <w:rFonts w:ascii="Arial" w:hAnsi="Arial" w:cs="Arial"/>
                <w:sz w:val="18"/>
                <w:szCs w:val="18"/>
              </w:rPr>
              <w:t xml:space="preserve">Bestätigung, dass die internen Verfahren sicherstellen, dass nur legitimierte Personen </w:t>
            </w:r>
            <w:r w:rsidR="008E5F94">
              <w:rPr>
                <w:rFonts w:ascii="Arial" w:hAnsi="Arial" w:cs="Arial"/>
                <w:sz w:val="18"/>
                <w:szCs w:val="18"/>
              </w:rPr>
              <w:t>Anlageentscheide aufgeben resp. autorisieren und im Falle der Prüftiefe Detailprüfung effektiv angewendet wurden</w:t>
            </w:r>
          </w:p>
        </w:tc>
        <w:tc>
          <w:tcPr>
            <w:tcW w:w="3382" w:type="dxa"/>
          </w:tcPr>
          <w:p w14:paraId="3F5F20AC" w14:textId="2E80D3F4" w:rsidR="00EF353F" w:rsidRPr="00C3479D" w:rsidRDefault="008E5F94"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824E9" w:rsidRPr="009872F3" w14:paraId="232E723B" w14:textId="77777777" w:rsidTr="00D9403D">
        <w:tc>
          <w:tcPr>
            <w:tcW w:w="5798" w:type="dxa"/>
            <w:gridSpan w:val="3"/>
          </w:tcPr>
          <w:p w14:paraId="2D80D388" w14:textId="5A441708" w:rsidR="00C824E9" w:rsidRPr="00F51C73" w:rsidRDefault="00C824E9" w:rsidP="00D9403D">
            <w:pPr>
              <w:jc w:val="both"/>
              <w:rPr>
                <w:rFonts w:ascii="Arial" w:hAnsi="Arial" w:cs="Arial"/>
                <w:sz w:val="18"/>
                <w:szCs w:val="18"/>
              </w:rPr>
            </w:pPr>
            <w:r>
              <w:rPr>
                <w:rFonts w:ascii="Arial" w:hAnsi="Arial" w:cs="Arial"/>
                <w:sz w:val="18"/>
                <w:szCs w:val="18"/>
              </w:rPr>
              <w:t xml:space="preserve">Bestätigung, dass die internen Verfahren sicherstellen, dass </w:t>
            </w:r>
            <w:r w:rsidRPr="000A15B1">
              <w:rPr>
                <w:rFonts w:ascii="Arial" w:hAnsi="Arial" w:cs="Arial"/>
                <w:sz w:val="18"/>
                <w:szCs w:val="18"/>
              </w:rPr>
              <w:t xml:space="preserve">bei einer Divergenz der </w:t>
            </w:r>
            <w:r>
              <w:rPr>
                <w:rFonts w:ascii="Arial" w:hAnsi="Arial" w:cs="Arial"/>
                <w:sz w:val="18"/>
                <w:szCs w:val="18"/>
              </w:rPr>
              <w:t xml:space="preserve">Anlageentscheide zu den festgelegten Grenzen oder </w:t>
            </w:r>
            <w:r>
              <w:rPr>
                <w:rFonts w:ascii="Arial" w:hAnsi="Arial" w:cs="Arial"/>
                <w:sz w:val="18"/>
                <w:szCs w:val="18"/>
              </w:rPr>
              <w:lastRenderedPageBreak/>
              <w:t xml:space="preserve">Beschränkungen zu den </w:t>
            </w:r>
            <w:r w:rsidRPr="000A15B1">
              <w:rPr>
                <w:rFonts w:ascii="Arial" w:hAnsi="Arial" w:cs="Arial"/>
                <w:sz w:val="18"/>
                <w:szCs w:val="18"/>
              </w:rPr>
              <w:t>geltenden massgebenden Gesetzesbestimmungen und konstituierenden Dokumenten</w:t>
            </w:r>
            <w:r>
              <w:rPr>
                <w:rFonts w:ascii="Arial" w:hAnsi="Arial" w:cs="Arial"/>
                <w:sz w:val="18"/>
                <w:szCs w:val="18"/>
              </w:rPr>
              <w:t xml:space="preserve"> </w:t>
            </w:r>
            <w:r w:rsidRPr="000A15B1">
              <w:rPr>
                <w:rFonts w:ascii="Arial" w:hAnsi="Arial" w:cs="Arial"/>
                <w:sz w:val="18"/>
                <w:szCs w:val="18"/>
              </w:rPr>
              <w:t>eine angemessene Eskalation erfolgt und zeitnah Abhilfemassnahmen ergriffen werden</w:t>
            </w:r>
            <w:r>
              <w:rPr>
                <w:rFonts w:ascii="Arial" w:hAnsi="Arial" w:cs="Arial"/>
                <w:sz w:val="18"/>
                <w:szCs w:val="18"/>
              </w:rPr>
              <w:t xml:space="preserve"> und im Falle der Prüftiefe Detailprüfung effektiv angewendet wurden</w:t>
            </w:r>
          </w:p>
        </w:tc>
        <w:tc>
          <w:tcPr>
            <w:tcW w:w="3382" w:type="dxa"/>
          </w:tcPr>
          <w:p w14:paraId="423FC326" w14:textId="74FD8F79" w:rsidR="00C824E9" w:rsidRPr="00C3479D" w:rsidRDefault="00C824E9" w:rsidP="00D9403D">
            <w:pPr>
              <w:jc w:val="both"/>
              <w:rPr>
                <w:rFonts w:ascii="Arial" w:hAnsi="Arial" w:cs="Arial"/>
                <w:i/>
                <w:sz w:val="18"/>
                <w:szCs w:val="18"/>
                <w:highlight w:val="yellow"/>
              </w:rPr>
            </w:pPr>
            <w:r w:rsidRPr="00C3479D">
              <w:rPr>
                <w:rFonts w:ascii="Arial" w:hAnsi="Arial" w:cs="Arial"/>
                <w:i/>
                <w:sz w:val="18"/>
                <w:szCs w:val="18"/>
                <w:highlight w:val="yellow"/>
              </w:rPr>
              <w:lastRenderedPageBreak/>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B459F" w:rsidRPr="009872F3" w14:paraId="45806BF8" w14:textId="77777777" w:rsidTr="00D9403D">
        <w:tc>
          <w:tcPr>
            <w:tcW w:w="5798" w:type="dxa"/>
            <w:gridSpan w:val="3"/>
          </w:tcPr>
          <w:p w14:paraId="238F254D" w14:textId="77777777" w:rsidR="00AB459F" w:rsidRDefault="00AB459F" w:rsidP="00D9403D">
            <w:pPr>
              <w:jc w:val="both"/>
              <w:rPr>
                <w:rFonts w:ascii="Arial" w:hAnsi="Arial" w:cs="Arial"/>
                <w:sz w:val="18"/>
                <w:szCs w:val="18"/>
              </w:rPr>
            </w:pPr>
          </w:p>
        </w:tc>
        <w:tc>
          <w:tcPr>
            <w:tcW w:w="3382" w:type="dxa"/>
          </w:tcPr>
          <w:p w14:paraId="4596CE98" w14:textId="77777777" w:rsidR="00AB459F" w:rsidRPr="00C3479D" w:rsidRDefault="00AB459F" w:rsidP="00D9403D">
            <w:pPr>
              <w:jc w:val="both"/>
              <w:rPr>
                <w:rFonts w:ascii="Arial" w:hAnsi="Arial" w:cs="Arial"/>
                <w:i/>
                <w:sz w:val="18"/>
                <w:szCs w:val="18"/>
                <w:highlight w:val="yellow"/>
              </w:rPr>
            </w:pPr>
          </w:p>
        </w:tc>
      </w:tr>
      <w:tr w:rsidR="00AB459F" w:rsidRPr="009872F3" w14:paraId="2B1E82CD" w14:textId="77777777" w:rsidTr="008034B7">
        <w:tc>
          <w:tcPr>
            <w:tcW w:w="9180" w:type="dxa"/>
            <w:gridSpan w:val="4"/>
          </w:tcPr>
          <w:p w14:paraId="7CE9A1B8"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29EE040F"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6B3169D6" w14:textId="77777777" w:rsidR="00CB0BB0" w:rsidRDefault="00CB0BB0" w:rsidP="00CB0BB0">
      <w:pPr>
        <w:jc w:val="both"/>
      </w:pPr>
    </w:p>
    <w:tbl>
      <w:tblPr>
        <w:tblStyle w:val="Tabellenraster"/>
        <w:tblW w:w="0" w:type="auto"/>
        <w:tblLook w:val="04A0" w:firstRow="1" w:lastRow="0" w:firstColumn="1" w:lastColumn="0" w:noHBand="0" w:noVBand="1"/>
      </w:tblPr>
      <w:tblGrid>
        <w:gridCol w:w="2785"/>
        <w:gridCol w:w="6520"/>
      </w:tblGrid>
      <w:tr w:rsidR="00CB0BB0" w:rsidRPr="00CE3194" w14:paraId="4DDE26A1" w14:textId="77777777" w:rsidTr="00D9403D">
        <w:tc>
          <w:tcPr>
            <w:tcW w:w="2785" w:type="dxa"/>
          </w:tcPr>
          <w:p w14:paraId="61B614DA"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14ACE6E"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CB0BB0" w:rsidRPr="00CE3194" w14:paraId="4021A09D" w14:textId="77777777" w:rsidTr="00D9403D">
        <w:tc>
          <w:tcPr>
            <w:tcW w:w="2785" w:type="dxa"/>
          </w:tcPr>
          <w:p w14:paraId="5E7CD211" w14:textId="14A24F61" w:rsidR="00CB0BB0" w:rsidRPr="008D22FB" w:rsidRDefault="00983C75" w:rsidP="00D9403D">
            <w:pPr>
              <w:jc w:val="both"/>
              <w:rPr>
                <w:rFonts w:ascii="Arial" w:hAnsi="Arial" w:cs="Arial"/>
                <w:i/>
                <w:sz w:val="20"/>
                <w:szCs w:val="20"/>
                <w:highlight w:val="lightGray"/>
              </w:rPr>
            </w:pPr>
            <w:r>
              <w:rPr>
                <w:rFonts w:ascii="Arial" w:hAnsi="Arial" w:cs="Arial"/>
                <w:i/>
                <w:sz w:val="20"/>
                <w:szCs w:val="20"/>
                <w:highlight w:val="lightGray"/>
              </w:rPr>
              <w:t xml:space="preserve">Überwachung der </w:t>
            </w:r>
            <w:r w:rsidR="008E518E" w:rsidRPr="008D22FB">
              <w:rPr>
                <w:rFonts w:ascii="Arial" w:hAnsi="Arial" w:cs="Arial"/>
                <w:i/>
                <w:sz w:val="20"/>
                <w:szCs w:val="20"/>
                <w:highlight w:val="lightGray"/>
              </w:rPr>
              <w:t>Anlageentscheide</w:t>
            </w:r>
          </w:p>
        </w:tc>
        <w:tc>
          <w:tcPr>
            <w:tcW w:w="6520" w:type="dxa"/>
          </w:tcPr>
          <w:p w14:paraId="404AA32F" w14:textId="5B29E840" w:rsidR="00C620F7" w:rsidRDefault="00C620F7"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 xml:space="preserve">Es besteht eine angemessene ex-post-Kontrolle </w:t>
            </w:r>
            <w:r w:rsidR="0012762C">
              <w:rPr>
                <w:rFonts w:cs="Arial"/>
                <w:i/>
                <w:szCs w:val="20"/>
                <w:highlight w:val="lightGray"/>
              </w:rPr>
              <w:t xml:space="preserve">(u.a. Periodizität) </w:t>
            </w:r>
            <w:r w:rsidRPr="008D22FB">
              <w:rPr>
                <w:rFonts w:cs="Arial"/>
                <w:i/>
                <w:szCs w:val="20"/>
                <w:highlight w:val="lightGray"/>
              </w:rPr>
              <w:t>der Verwahrstelle, welche sicherstellt, dass die Anlageentscheide mit den massgebenden Gesetzesbestimmungen und konstituierenden Dokumenten (</w:t>
            </w:r>
            <w:r w:rsidR="008D22FB" w:rsidRPr="008D22FB">
              <w:rPr>
                <w:rFonts w:cs="Arial"/>
                <w:i/>
                <w:szCs w:val="20"/>
                <w:highlight w:val="lightGray"/>
              </w:rPr>
              <w:t>u.a.</w:t>
            </w:r>
            <w:r w:rsidRPr="008D22FB">
              <w:rPr>
                <w:rFonts w:cs="Arial"/>
                <w:i/>
                <w:szCs w:val="20"/>
                <w:highlight w:val="lightGray"/>
              </w:rPr>
              <w:t xml:space="preserve"> Anlagestrategien, Anlagebeschränkungen</w:t>
            </w:r>
            <w:r w:rsidR="00F06CA8">
              <w:rPr>
                <w:rFonts w:cs="Arial"/>
                <w:i/>
                <w:szCs w:val="20"/>
                <w:highlight w:val="lightGray"/>
              </w:rPr>
              <w:t>, Risikodiversifikation</w:t>
            </w:r>
            <w:r w:rsidRPr="008D22FB">
              <w:rPr>
                <w:rFonts w:cs="Arial"/>
                <w:i/>
                <w:szCs w:val="20"/>
                <w:highlight w:val="lightGray"/>
              </w:rPr>
              <w:t>) übereinstimm</w:t>
            </w:r>
            <w:r w:rsidR="009D797C">
              <w:rPr>
                <w:rFonts w:cs="Arial"/>
                <w:i/>
                <w:szCs w:val="20"/>
                <w:highlight w:val="lightGray"/>
              </w:rPr>
              <w:t>en</w:t>
            </w:r>
            <w:r w:rsidR="007672C2">
              <w:rPr>
                <w:rFonts w:cs="Arial"/>
                <w:i/>
                <w:szCs w:val="20"/>
                <w:highlight w:val="lightGray"/>
              </w:rPr>
              <w:t>.</w:t>
            </w:r>
          </w:p>
          <w:p w14:paraId="6B878145" w14:textId="71BFCAB2" w:rsidR="009D797C" w:rsidRPr="008D22FB" w:rsidRDefault="009D797C" w:rsidP="00D9403D">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interne Verfahren, die sicherstellen, dass Anlageentscheide nur von legitimierten </w:t>
            </w:r>
            <w:r w:rsidR="008E5F94">
              <w:rPr>
                <w:rFonts w:cs="Arial"/>
                <w:i/>
                <w:szCs w:val="20"/>
                <w:highlight w:val="lightGray"/>
              </w:rPr>
              <w:t>Personen</w:t>
            </w:r>
            <w:r>
              <w:rPr>
                <w:rFonts w:cs="Arial"/>
                <w:i/>
                <w:szCs w:val="20"/>
                <w:highlight w:val="lightGray"/>
              </w:rPr>
              <w:t xml:space="preserve"> aufgegeben resp. autorisiert werden</w:t>
            </w:r>
            <w:r w:rsidR="007672C2">
              <w:rPr>
                <w:rFonts w:cs="Arial"/>
                <w:i/>
                <w:szCs w:val="20"/>
                <w:highlight w:val="lightGray"/>
              </w:rPr>
              <w:t>.</w:t>
            </w:r>
          </w:p>
          <w:p w14:paraId="5099E2A8" w14:textId="76CF0F4F" w:rsidR="008D22FB" w:rsidRPr="008D22FB" w:rsidRDefault="008D22FB"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Die internen Verfahren stellen sicher, dass die ex-post-Kontrolle unabhängig und objektiv durchgeführt wird</w:t>
            </w:r>
            <w:r w:rsidR="007672C2">
              <w:rPr>
                <w:rFonts w:cs="Arial"/>
                <w:i/>
                <w:szCs w:val="20"/>
                <w:highlight w:val="lightGray"/>
              </w:rPr>
              <w:t>.</w:t>
            </w:r>
          </w:p>
          <w:p w14:paraId="3241B560" w14:textId="65CFFAA2" w:rsidR="008D22FB" w:rsidRDefault="008D22FB"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Die internen Verfahren stellen sicher, dass die ex-post-Kontrolle nachvollziehbar dokumentiert ist</w:t>
            </w:r>
            <w:r w:rsidR="007672C2">
              <w:rPr>
                <w:rFonts w:cs="Arial"/>
                <w:i/>
                <w:szCs w:val="20"/>
                <w:highlight w:val="lightGray"/>
              </w:rPr>
              <w:t>.</w:t>
            </w:r>
          </w:p>
          <w:p w14:paraId="1F107C77" w14:textId="008B5093" w:rsidR="00392E67" w:rsidRPr="00392E67" w:rsidRDefault="00392E67" w:rsidP="00392E67">
            <w:pPr>
              <w:pStyle w:val="Listenabsatz"/>
              <w:numPr>
                <w:ilvl w:val="1"/>
                <w:numId w:val="17"/>
              </w:numPr>
              <w:ind w:left="317" w:hanging="283"/>
              <w:jc w:val="both"/>
              <w:rPr>
                <w:rFonts w:cs="Arial"/>
                <w:i/>
                <w:szCs w:val="20"/>
                <w:highlight w:val="lightGray"/>
              </w:rPr>
            </w:pPr>
            <w:r w:rsidRPr="008D22FB">
              <w:rPr>
                <w:rFonts w:cs="Arial"/>
                <w:i/>
                <w:szCs w:val="20"/>
                <w:highlight w:val="lightGray"/>
              </w:rPr>
              <w:t xml:space="preserve">Die internen Verfahren stellen sicher, dass die ex-post-Kontrolle </w:t>
            </w:r>
            <w:r w:rsidR="0012762C">
              <w:rPr>
                <w:rFonts w:cs="Arial"/>
                <w:i/>
                <w:szCs w:val="20"/>
                <w:highlight w:val="lightGray"/>
              </w:rPr>
              <w:t>vollständig und korrekt (Berücksichtigung von sämtlichen Anlagerestriktionen pro Fonds</w:t>
            </w:r>
            <w:r w:rsidR="00F21B0D">
              <w:rPr>
                <w:rFonts w:cs="Arial"/>
                <w:i/>
                <w:szCs w:val="20"/>
                <w:highlight w:val="lightGray"/>
              </w:rPr>
              <w:t>; Anwendung eines Look-Through-Ansatz für direkt oder indirekt vom Fonds oder Verwaltungsgesellschaft kontrollierte Finanz- und Rechtsstrukturen etc.</w:t>
            </w:r>
            <w:r w:rsidR="0012762C">
              <w:rPr>
                <w:rFonts w:cs="Arial"/>
                <w:i/>
                <w:szCs w:val="20"/>
                <w:highlight w:val="lightGray"/>
              </w:rPr>
              <w:t>) durchgeführt wird</w:t>
            </w:r>
            <w:r w:rsidR="007672C2">
              <w:rPr>
                <w:rFonts w:cs="Arial"/>
                <w:i/>
                <w:szCs w:val="20"/>
                <w:highlight w:val="lightGray"/>
              </w:rPr>
              <w:t>.</w:t>
            </w:r>
            <w:r w:rsidRPr="008D22FB">
              <w:rPr>
                <w:rFonts w:cs="Arial"/>
                <w:i/>
                <w:szCs w:val="20"/>
                <w:highlight w:val="lightGray"/>
              </w:rPr>
              <w:t xml:space="preserve"> </w:t>
            </w:r>
          </w:p>
          <w:p w14:paraId="2C778E6B" w14:textId="7B9EC914" w:rsidR="008D22FB" w:rsidRDefault="008D22FB" w:rsidP="00D9403D">
            <w:pPr>
              <w:pStyle w:val="Listenabsatz"/>
              <w:numPr>
                <w:ilvl w:val="1"/>
                <w:numId w:val="17"/>
              </w:numPr>
              <w:ind w:left="317" w:hanging="283"/>
              <w:jc w:val="both"/>
              <w:rPr>
                <w:rFonts w:cs="Arial"/>
                <w:i/>
                <w:szCs w:val="20"/>
                <w:highlight w:val="lightGray"/>
              </w:rPr>
            </w:pPr>
            <w:r w:rsidRPr="008D22FB">
              <w:rPr>
                <w:rFonts w:cs="Arial"/>
                <w:i/>
                <w:szCs w:val="20"/>
                <w:highlight w:val="lightGray"/>
              </w:rPr>
              <w:t xml:space="preserve">Die internen Verfahren stellen sicher, dass die Kontrollstrategie </w:t>
            </w:r>
            <w:r>
              <w:rPr>
                <w:rFonts w:cs="Arial"/>
                <w:i/>
                <w:szCs w:val="20"/>
                <w:highlight w:val="lightGray"/>
              </w:rPr>
              <w:t xml:space="preserve">der </w:t>
            </w:r>
            <w:r w:rsidRPr="008D22FB">
              <w:rPr>
                <w:rFonts w:cs="Arial"/>
                <w:i/>
                <w:szCs w:val="20"/>
                <w:highlight w:val="lightGray"/>
              </w:rPr>
              <w:t>ex-post-Kontrolle der Anlageentscheide periodisch überprüft wird</w:t>
            </w:r>
            <w:r w:rsidR="007672C2">
              <w:rPr>
                <w:rFonts w:cs="Arial"/>
                <w:i/>
                <w:szCs w:val="20"/>
                <w:highlight w:val="lightGray"/>
              </w:rPr>
              <w:t>.</w:t>
            </w:r>
          </w:p>
          <w:p w14:paraId="44576A62" w14:textId="07A4EDC5" w:rsidR="0012762C" w:rsidRPr="008D22FB" w:rsidRDefault="0012762C" w:rsidP="00D9403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Anpassungen bei Änderungen der konstituierenden Dokumente für die ex-post-Kontrolle der Anlageentscheide zeitnah und vollständig übernommen werden. </w:t>
            </w:r>
          </w:p>
          <w:p w14:paraId="7593BF5F" w14:textId="7A1EFBD0" w:rsidR="00CB0BB0" w:rsidRPr="00C824E9" w:rsidRDefault="00C620F7" w:rsidP="00C824E9">
            <w:pPr>
              <w:pStyle w:val="Listenabsatz"/>
              <w:numPr>
                <w:ilvl w:val="1"/>
                <w:numId w:val="17"/>
              </w:numPr>
              <w:ind w:left="317" w:hanging="283"/>
              <w:jc w:val="both"/>
              <w:rPr>
                <w:rFonts w:cs="Arial"/>
                <w:i/>
                <w:szCs w:val="20"/>
                <w:highlight w:val="lightGray"/>
              </w:rPr>
            </w:pPr>
            <w:r w:rsidRPr="008D22FB">
              <w:rPr>
                <w:rFonts w:cs="Arial"/>
                <w:i/>
                <w:szCs w:val="20"/>
                <w:highlight w:val="lightGray"/>
              </w:rPr>
              <w:t>Die internen Verfahren stellen sicher, dass bei einer Abweichung</w:t>
            </w:r>
            <w:r w:rsidR="008D22FB" w:rsidRPr="008D22FB">
              <w:rPr>
                <w:rFonts w:cs="Arial"/>
                <w:i/>
                <w:szCs w:val="20"/>
                <w:highlight w:val="lightGray"/>
              </w:rPr>
              <w:t xml:space="preserve"> der Anlageentscheide</w:t>
            </w:r>
            <w:r w:rsidRPr="008D22FB">
              <w:rPr>
                <w:rFonts w:cs="Arial"/>
                <w:i/>
                <w:szCs w:val="20"/>
                <w:highlight w:val="lightGray"/>
              </w:rPr>
              <w:t xml:space="preserve"> </w:t>
            </w:r>
            <w:r w:rsidR="009D797C">
              <w:rPr>
                <w:rFonts w:cs="Arial"/>
                <w:i/>
                <w:szCs w:val="20"/>
                <w:highlight w:val="lightGray"/>
              </w:rPr>
              <w:t xml:space="preserve">(aktive und passive Anlagegrenzverstösse) </w:t>
            </w:r>
            <w:r w:rsidRPr="008D22FB">
              <w:rPr>
                <w:rFonts w:cs="Arial"/>
                <w:i/>
                <w:szCs w:val="20"/>
                <w:highlight w:val="lightGray"/>
              </w:rPr>
              <w:t>zu den festgelegten Grenzen oder Beschränkungen, massgebenden Gesetzesbestimmungen oder konstituierenden Dokumenten</w:t>
            </w:r>
            <w:r w:rsidR="008D22FB" w:rsidRPr="008D22FB">
              <w:rPr>
                <w:rFonts w:cs="Arial"/>
                <w:i/>
                <w:szCs w:val="20"/>
                <w:highlight w:val="lightGray"/>
              </w:rPr>
              <w:t xml:space="preserve"> eine angemessene Eskalation erfolgt und zeitnah Abhilfemassnahmen ergriffen werden. </w:t>
            </w:r>
          </w:p>
        </w:tc>
      </w:tr>
    </w:tbl>
    <w:p w14:paraId="2A98EBDB" w14:textId="77777777" w:rsidR="00CB0BB0" w:rsidRDefault="00CB0BB0" w:rsidP="00CB0BB0">
      <w:pPr>
        <w:jc w:val="both"/>
      </w:pPr>
    </w:p>
    <w:p w14:paraId="479CE861" w14:textId="77777777" w:rsidR="00CB0BB0" w:rsidRPr="00667026"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4DAA86EA" w14:textId="77777777" w:rsidR="00CB0BB0" w:rsidRDefault="00CB0BB0" w:rsidP="00CB3EE6">
      <w:pPr>
        <w:jc w:val="both"/>
      </w:pPr>
    </w:p>
    <w:p w14:paraId="32023097" w14:textId="492F3CCB" w:rsidR="00CB0BB0" w:rsidRDefault="00CB0BB0" w:rsidP="00CB0BB0">
      <w:pPr>
        <w:pStyle w:val="FINMAGliederungEbene3"/>
      </w:pPr>
      <w:bookmarkStart w:id="28" w:name="_Toc185241481"/>
      <w:r>
        <w:t>Verwendung des Erfolgs (KA-3)</w:t>
      </w:r>
      <w:bookmarkEnd w:id="28"/>
    </w:p>
    <w:p w14:paraId="190EDDE2" w14:textId="77777777" w:rsidR="00CB0BB0" w:rsidRDefault="00CB0BB0" w:rsidP="00CB0BB0">
      <w:pPr>
        <w:jc w:val="both"/>
      </w:pPr>
    </w:p>
    <w:tbl>
      <w:tblPr>
        <w:tblStyle w:val="Tabellenraster"/>
        <w:tblW w:w="0" w:type="auto"/>
        <w:tblLook w:val="04A0" w:firstRow="1" w:lastRow="0" w:firstColumn="1" w:lastColumn="0" w:noHBand="0" w:noVBand="1"/>
      </w:tblPr>
      <w:tblGrid>
        <w:gridCol w:w="1932"/>
        <w:gridCol w:w="2145"/>
        <w:gridCol w:w="1721"/>
        <w:gridCol w:w="3382"/>
      </w:tblGrid>
      <w:tr w:rsidR="00CB0BB0" w:rsidRPr="009872F3" w14:paraId="07BFAC00" w14:textId="77777777" w:rsidTr="00D9403D">
        <w:trPr>
          <w:trHeight w:val="563"/>
        </w:trPr>
        <w:tc>
          <w:tcPr>
            <w:tcW w:w="1932" w:type="dxa"/>
          </w:tcPr>
          <w:p w14:paraId="6A62F67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Nettorisiko</w:t>
            </w:r>
          </w:p>
        </w:tc>
        <w:tc>
          <w:tcPr>
            <w:tcW w:w="2145" w:type="dxa"/>
          </w:tcPr>
          <w:p w14:paraId="71958153"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F8F4E68"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B0BB0" w:rsidRPr="009872F3" w14:paraId="3000CFF3" w14:textId="77777777" w:rsidTr="00D9403D">
        <w:trPr>
          <w:trHeight w:val="698"/>
        </w:trPr>
        <w:tc>
          <w:tcPr>
            <w:tcW w:w="1932" w:type="dxa"/>
          </w:tcPr>
          <w:p w14:paraId="5F3622A9"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3ADCA31C" w14:textId="77777777" w:rsidR="00CB0BB0" w:rsidRPr="006749F0" w:rsidRDefault="00CB0BB0" w:rsidP="00D9403D">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D6A2A5C" w14:textId="77777777" w:rsidR="00CB0BB0" w:rsidRPr="009872F3" w:rsidRDefault="00CB0BB0" w:rsidP="00D9403D">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CE7E650" w14:textId="77777777" w:rsidR="00CB0BB0" w:rsidRDefault="00CB0BB0" w:rsidP="00D9403D">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7B4B33" w14:textId="77777777" w:rsidR="00CB0BB0" w:rsidRPr="006749F0" w:rsidRDefault="00CB0BB0" w:rsidP="00D9403D">
            <w:pPr>
              <w:jc w:val="both"/>
              <w:rPr>
                <w:rFonts w:ascii="Arial" w:hAnsi="Arial" w:cs="Arial"/>
                <w:i/>
                <w:sz w:val="18"/>
                <w:szCs w:val="18"/>
              </w:rPr>
            </w:pPr>
            <w:r w:rsidRPr="006749F0">
              <w:rPr>
                <w:rFonts w:ascii="Arial" w:hAnsi="Arial" w:cs="Arial"/>
                <w:i/>
                <w:sz w:val="18"/>
                <w:szCs w:val="18"/>
                <w:highlight w:val="yellow"/>
              </w:rPr>
              <w:t>Jahr</w:t>
            </w:r>
          </w:p>
        </w:tc>
      </w:tr>
      <w:tr w:rsidR="00CB0BB0" w:rsidRPr="009872F3" w14:paraId="33B05DF4" w14:textId="77777777" w:rsidTr="00D9403D">
        <w:trPr>
          <w:trHeight w:val="133"/>
        </w:trPr>
        <w:tc>
          <w:tcPr>
            <w:tcW w:w="9180" w:type="dxa"/>
            <w:gridSpan w:val="4"/>
          </w:tcPr>
          <w:p w14:paraId="2A3670C0" w14:textId="77777777" w:rsidR="00CB0BB0" w:rsidRDefault="00CB0BB0" w:rsidP="00D9403D">
            <w:pPr>
              <w:jc w:val="both"/>
              <w:rPr>
                <w:rFonts w:ascii="Arial" w:hAnsi="Arial" w:cs="Arial"/>
                <w:sz w:val="18"/>
                <w:szCs w:val="18"/>
              </w:rPr>
            </w:pPr>
          </w:p>
          <w:p w14:paraId="05903691" w14:textId="77777777" w:rsidR="00CB0BB0" w:rsidRPr="00F60909" w:rsidRDefault="00CB0BB0" w:rsidP="00D9403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88A10BA" w14:textId="6906962B" w:rsidR="00CB0BB0" w:rsidRPr="009872F3" w:rsidRDefault="00CB0BB0" w:rsidP="00D9403D">
            <w:pPr>
              <w:jc w:val="both"/>
              <w:rPr>
                <w:rFonts w:ascii="Arial" w:hAnsi="Arial" w:cs="Arial"/>
                <w:sz w:val="18"/>
                <w:szCs w:val="18"/>
              </w:rPr>
            </w:pPr>
            <w:r w:rsidRPr="00192140">
              <w:rPr>
                <w:rFonts w:ascii="Arial" w:hAnsi="Arial" w:cs="Arial"/>
                <w:sz w:val="18"/>
                <w:szCs w:val="18"/>
                <w:highlight w:val="yellow"/>
              </w:rPr>
              <w:t>Art</w:t>
            </w:r>
            <w:r w:rsidR="00192140" w:rsidRPr="00192140">
              <w:rPr>
                <w:rFonts w:ascii="Arial" w:hAnsi="Arial" w:cs="Arial"/>
                <w:sz w:val="18"/>
                <w:szCs w:val="18"/>
                <w:highlight w:val="yellow"/>
              </w:rPr>
              <w:t xml:space="preserve">. 43 Abs. 2 Bst. c IUG; Art. 33 Abs. 1 Bst. d UCITSG; Art. 59 Abs. </w:t>
            </w:r>
            <w:r w:rsidR="00192140">
              <w:rPr>
                <w:rFonts w:ascii="Arial" w:hAnsi="Arial" w:cs="Arial"/>
                <w:sz w:val="18"/>
                <w:szCs w:val="18"/>
                <w:highlight w:val="yellow"/>
              </w:rPr>
              <w:t>2 Bst. e</w:t>
            </w:r>
            <w:r w:rsidR="00192140" w:rsidRPr="00192140">
              <w:rPr>
                <w:rFonts w:ascii="Arial" w:hAnsi="Arial" w:cs="Arial"/>
                <w:sz w:val="18"/>
                <w:szCs w:val="18"/>
                <w:highlight w:val="yellow"/>
              </w:rPr>
              <w:t xml:space="preserve"> AIFMG; </w:t>
            </w:r>
            <w:proofErr w:type="spellStart"/>
            <w:r w:rsidR="00192140" w:rsidRPr="00C620F7">
              <w:rPr>
                <w:rFonts w:ascii="Arial" w:hAnsi="Arial" w:cs="Arial"/>
                <w:sz w:val="18"/>
                <w:szCs w:val="18"/>
                <w:highlight w:val="yellow"/>
              </w:rPr>
              <w:t>DelVO</w:t>
            </w:r>
            <w:proofErr w:type="spellEnd"/>
            <w:r w:rsidR="00192140" w:rsidRPr="00C620F7">
              <w:rPr>
                <w:rFonts w:ascii="Arial" w:hAnsi="Arial" w:cs="Arial"/>
                <w:sz w:val="18"/>
                <w:szCs w:val="18"/>
                <w:highlight w:val="yellow"/>
              </w:rPr>
              <w:t xml:space="preserve"> (EU) Nr. 2016/438</w:t>
            </w:r>
            <w:r w:rsidR="00192140">
              <w:rPr>
                <w:rFonts w:ascii="Arial" w:hAnsi="Arial" w:cs="Arial"/>
                <w:sz w:val="18"/>
                <w:szCs w:val="18"/>
                <w:highlight w:val="yellow"/>
              </w:rPr>
              <w:t xml:space="preserve"> Art. 8</w:t>
            </w:r>
            <w:r w:rsidR="002A2CC4">
              <w:rPr>
                <w:rFonts w:ascii="Arial" w:hAnsi="Arial" w:cs="Arial"/>
                <w:sz w:val="18"/>
                <w:szCs w:val="18"/>
                <w:highlight w:val="yellow"/>
              </w:rPr>
              <w:t xml:space="preserve">; </w:t>
            </w:r>
            <w:proofErr w:type="spellStart"/>
            <w:r w:rsidR="00EB4CAB">
              <w:rPr>
                <w:rFonts w:ascii="Arial" w:hAnsi="Arial" w:cs="Arial"/>
                <w:sz w:val="18"/>
                <w:szCs w:val="18"/>
                <w:highlight w:val="yellow"/>
              </w:rPr>
              <w:t>DelVO</w:t>
            </w:r>
            <w:proofErr w:type="spellEnd"/>
            <w:r w:rsidR="00EB4CAB">
              <w:rPr>
                <w:rFonts w:ascii="Arial" w:hAnsi="Arial" w:cs="Arial"/>
                <w:sz w:val="18"/>
                <w:szCs w:val="18"/>
                <w:highlight w:val="yellow"/>
              </w:rPr>
              <w:t xml:space="preserve"> (EU) Nr. 231/2013 Art. 97</w:t>
            </w:r>
            <w:r w:rsidR="00054C52">
              <w:rPr>
                <w:rFonts w:ascii="Arial" w:hAnsi="Arial" w:cs="Arial"/>
                <w:sz w:val="18"/>
                <w:szCs w:val="18"/>
                <w:highlight w:val="yellow"/>
              </w:rPr>
              <w:t>, FMA-Mitteilung 2018/1</w:t>
            </w:r>
          </w:p>
        </w:tc>
      </w:tr>
      <w:tr w:rsidR="00CB0BB0" w:rsidRPr="009872F3" w14:paraId="7BB20CBA" w14:textId="77777777" w:rsidTr="00D9403D">
        <w:trPr>
          <w:trHeight w:val="294"/>
        </w:trPr>
        <w:tc>
          <w:tcPr>
            <w:tcW w:w="9180" w:type="dxa"/>
            <w:gridSpan w:val="4"/>
          </w:tcPr>
          <w:p w14:paraId="10111DD4" w14:textId="77777777" w:rsidR="00CB0BB0" w:rsidRPr="009872F3" w:rsidRDefault="00CB0BB0" w:rsidP="00D9403D">
            <w:pPr>
              <w:jc w:val="both"/>
              <w:rPr>
                <w:rFonts w:ascii="Arial" w:hAnsi="Arial" w:cs="Arial"/>
                <w:sz w:val="18"/>
                <w:szCs w:val="18"/>
              </w:rPr>
            </w:pPr>
          </w:p>
        </w:tc>
      </w:tr>
      <w:tr w:rsidR="00CB0BB0" w:rsidRPr="009872F3" w14:paraId="6362B18D" w14:textId="77777777" w:rsidTr="00D9403D">
        <w:tc>
          <w:tcPr>
            <w:tcW w:w="5798" w:type="dxa"/>
            <w:gridSpan w:val="3"/>
          </w:tcPr>
          <w:p w14:paraId="789F3D0B" w14:textId="3010E595" w:rsidR="00CB0BB0" w:rsidRPr="002A2CC4" w:rsidRDefault="00192140" w:rsidP="00D9403D">
            <w:pPr>
              <w:jc w:val="both"/>
              <w:rPr>
                <w:rFonts w:ascii="Arial" w:hAnsi="Arial" w:cs="Arial"/>
                <w:sz w:val="18"/>
                <w:szCs w:val="18"/>
              </w:rPr>
            </w:pPr>
            <w:r w:rsidRPr="002A2CC4">
              <w:rPr>
                <w:rFonts w:ascii="Arial" w:hAnsi="Arial" w:cs="Arial"/>
                <w:sz w:val="18"/>
                <w:szCs w:val="18"/>
              </w:rPr>
              <w:lastRenderedPageBreak/>
              <w:t xml:space="preserve">Bestätigung, dass die internen Verfahren </w:t>
            </w:r>
            <w:r w:rsidR="00780E2C">
              <w:rPr>
                <w:rFonts w:ascii="Arial" w:hAnsi="Arial" w:cs="Arial"/>
                <w:sz w:val="18"/>
                <w:szCs w:val="18"/>
              </w:rPr>
              <w:t xml:space="preserve">die Überprüfung der korrekten Berechnung der Netto-Erträge gemäss den massgebenden Gesetzesbestimmungen und konstituierenden Dokumenten </w:t>
            </w:r>
            <w:r w:rsidRPr="002A2CC4">
              <w:rPr>
                <w:rFonts w:ascii="Arial" w:hAnsi="Arial" w:cs="Arial"/>
                <w:sz w:val="18"/>
                <w:szCs w:val="18"/>
              </w:rPr>
              <w:t xml:space="preserve">sicherstellen, </w:t>
            </w:r>
            <w:r w:rsidR="002A2CC4" w:rsidRPr="002A2CC4">
              <w:rPr>
                <w:rFonts w:ascii="Arial" w:hAnsi="Arial" w:cs="Arial"/>
                <w:sz w:val="18"/>
                <w:szCs w:val="18"/>
              </w:rPr>
              <w:t>und im Falle einer Detailprüfung effektiv angewendet wurde</w:t>
            </w:r>
          </w:p>
        </w:tc>
        <w:tc>
          <w:tcPr>
            <w:tcW w:w="3382" w:type="dxa"/>
          </w:tcPr>
          <w:p w14:paraId="0FF5CA68" w14:textId="77777777" w:rsidR="00CB0BB0" w:rsidRPr="00C3479D" w:rsidRDefault="00CB0BB0" w:rsidP="00D9403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CB0BB0" w:rsidRPr="009872F3" w14:paraId="315674EC" w14:textId="77777777" w:rsidTr="00D9403D">
        <w:tc>
          <w:tcPr>
            <w:tcW w:w="5798" w:type="dxa"/>
            <w:gridSpan w:val="3"/>
          </w:tcPr>
          <w:p w14:paraId="5C4249C9" w14:textId="2057D89D" w:rsidR="00CB0BB0" w:rsidRPr="002A2CC4" w:rsidRDefault="002A2CC4" w:rsidP="00D9403D">
            <w:pPr>
              <w:jc w:val="both"/>
              <w:rPr>
                <w:rFonts w:ascii="Arial" w:hAnsi="Arial" w:cs="Arial"/>
                <w:sz w:val="18"/>
                <w:szCs w:val="18"/>
              </w:rPr>
            </w:pPr>
            <w:r w:rsidRPr="002A2CC4">
              <w:rPr>
                <w:rFonts w:ascii="Arial" w:hAnsi="Arial" w:cs="Arial"/>
                <w:sz w:val="18"/>
                <w:szCs w:val="18"/>
              </w:rPr>
              <w:t xml:space="preserve">Bestätigung, dass die internen Verfahren sicherstellen, dass sämtliche Dividendenzahlungen </w:t>
            </w:r>
            <w:r w:rsidR="00EB4CAB">
              <w:rPr>
                <w:rFonts w:ascii="Arial" w:hAnsi="Arial" w:cs="Arial"/>
                <w:sz w:val="18"/>
                <w:szCs w:val="18"/>
              </w:rPr>
              <w:t>(</w:t>
            </w:r>
            <w:r w:rsidR="008F139D">
              <w:rPr>
                <w:rFonts w:ascii="Arial" w:hAnsi="Arial" w:cs="Arial"/>
                <w:sz w:val="18"/>
                <w:szCs w:val="18"/>
              </w:rPr>
              <w:t xml:space="preserve">sowie gegebenenfalls </w:t>
            </w:r>
            <w:r w:rsidR="00EB4CAB">
              <w:rPr>
                <w:rFonts w:ascii="Arial" w:hAnsi="Arial" w:cs="Arial"/>
                <w:sz w:val="18"/>
                <w:szCs w:val="18"/>
              </w:rPr>
              <w:t xml:space="preserve">Zinsabgrenzungen) </w:t>
            </w:r>
            <w:r w:rsidRPr="002A2CC4">
              <w:rPr>
                <w:rFonts w:ascii="Arial" w:hAnsi="Arial" w:cs="Arial"/>
                <w:sz w:val="18"/>
                <w:szCs w:val="18"/>
              </w:rPr>
              <w:t xml:space="preserve">bei der Ausschüttung der </w:t>
            </w:r>
            <w:r>
              <w:rPr>
                <w:rFonts w:ascii="Arial" w:hAnsi="Arial" w:cs="Arial"/>
                <w:sz w:val="18"/>
                <w:szCs w:val="18"/>
              </w:rPr>
              <w:t>Netto-</w:t>
            </w:r>
            <w:r w:rsidRPr="002A2CC4">
              <w:rPr>
                <w:rFonts w:ascii="Arial" w:hAnsi="Arial" w:cs="Arial"/>
                <w:sz w:val="18"/>
                <w:szCs w:val="18"/>
              </w:rPr>
              <w:t xml:space="preserve">Erträge auf Vollständigkeit und </w:t>
            </w:r>
            <w:r w:rsidR="00EB4CAB">
              <w:rPr>
                <w:rFonts w:ascii="Arial" w:hAnsi="Arial" w:cs="Arial"/>
                <w:sz w:val="18"/>
                <w:szCs w:val="18"/>
              </w:rPr>
              <w:t>Korrekth</w:t>
            </w:r>
            <w:r w:rsidRPr="002A2CC4">
              <w:rPr>
                <w:rFonts w:ascii="Arial" w:hAnsi="Arial" w:cs="Arial"/>
                <w:sz w:val="18"/>
                <w:szCs w:val="18"/>
              </w:rPr>
              <w:t>eit überprüft werden und im Falle einer Detailprüfung effektiv angewendet wurde</w:t>
            </w:r>
          </w:p>
        </w:tc>
        <w:tc>
          <w:tcPr>
            <w:tcW w:w="3382" w:type="dxa"/>
          </w:tcPr>
          <w:p w14:paraId="76157C82" w14:textId="77777777" w:rsidR="00CB0BB0" w:rsidRPr="00E109DF" w:rsidRDefault="00CB0BB0" w:rsidP="00D9403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F1D1C" w:rsidRPr="009872F3" w14:paraId="5B366A1F" w14:textId="77777777" w:rsidTr="00D9403D">
        <w:tc>
          <w:tcPr>
            <w:tcW w:w="5798" w:type="dxa"/>
            <w:gridSpan w:val="3"/>
          </w:tcPr>
          <w:p w14:paraId="6837050F" w14:textId="651DC8D7" w:rsidR="008F1D1C" w:rsidRDefault="008F1D1C" w:rsidP="008F1D1C">
            <w:pPr>
              <w:jc w:val="both"/>
              <w:rPr>
                <w:rFonts w:ascii="Arial" w:hAnsi="Arial" w:cs="Arial"/>
                <w:sz w:val="18"/>
                <w:szCs w:val="18"/>
              </w:rPr>
            </w:pPr>
            <w:r>
              <w:rPr>
                <w:rFonts w:ascii="Arial" w:hAnsi="Arial" w:cs="Arial"/>
                <w:sz w:val="18"/>
                <w:szCs w:val="18"/>
              </w:rPr>
              <w:t>Bestätigung, dass die internen Verfahren sicherstellen, dass die Netto-Erträge gemäss den massgebenden Gesetzesbestimmungen und konstituierenden Dokumenten verwendet werden und im Falle der Prüftiefe Detailprüfung effektiv angewendet wurde</w:t>
            </w:r>
          </w:p>
        </w:tc>
        <w:tc>
          <w:tcPr>
            <w:tcW w:w="3382" w:type="dxa"/>
          </w:tcPr>
          <w:p w14:paraId="21C9F12F" w14:textId="1D12CFA8" w:rsidR="008F1D1C" w:rsidRPr="00C3479D" w:rsidRDefault="008F1D1C" w:rsidP="008F1D1C">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F1D1C" w:rsidRPr="009872F3" w14:paraId="7FB46EA9" w14:textId="77777777" w:rsidTr="00D9403D">
        <w:tc>
          <w:tcPr>
            <w:tcW w:w="5798" w:type="dxa"/>
            <w:gridSpan w:val="3"/>
          </w:tcPr>
          <w:p w14:paraId="5CD05893" w14:textId="42AEC239" w:rsidR="008F1D1C" w:rsidRPr="00CB0BB0" w:rsidRDefault="008F1D1C" w:rsidP="008F1D1C">
            <w:pPr>
              <w:jc w:val="both"/>
              <w:rPr>
                <w:rFonts w:ascii="Arial" w:hAnsi="Arial" w:cs="Arial"/>
                <w:sz w:val="18"/>
                <w:szCs w:val="18"/>
                <w:highlight w:val="cyan"/>
              </w:rPr>
            </w:pPr>
            <w:r>
              <w:rPr>
                <w:rFonts w:ascii="Arial" w:hAnsi="Arial" w:cs="Arial"/>
                <w:sz w:val="18"/>
                <w:szCs w:val="18"/>
              </w:rPr>
              <w:t xml:space="preserve">Bestätigung, dass die internen Verfahren sicherstellen, dass </w:t>
            </w:r>
            <w:r w:rsidRPr="000A15B1">
              <w:rPr>
                <w:rFonts w:ascii="Arial" w:hAnsi="Arial" w:cs="Arial"/>
                <w:sz w:val="18"/>
                <w:szCs w:val="18"/>
              </w:rPr>
              <w:t xml:space="preserve">bei einer Divergenz der </w:t>
            </w:r>
            <w:r>
              <w:rPr>
                <w:rFonts w:ascii="Arial" w:hAnsi="Arial" w:cs="Arial"/>
                <w:sz w:val="18"/>
                <w:szCs w:val="18"/>
              </w:rPr>
              <w:t xml:space="preserve">Berechnung der Netto-Erträge zu den </w:t>
            </w:r>
            <w:r w:rsidRPr="000A15B1">
              <w:rPr>
                <w:rFonts w:ascii="Arial" w:hAnsi="Arial" w:cs="Arial"/>
                <w:sz w:val="18"/>
                <w:szCs w:val="18"/>
              </w:rPr>
              <w:t>geltenden massgebenden Gesetzesbestimmungen und konstituierenden Dokumenten</w:t>
            </w:r>
            <w:r>
              <w:rPr>
                <w:rFonts w:ascii="Arial" w:hAnsi="Arial" w:cs="Arial"/>
                <w:sz w:val="18"/>
                <w:szCs w:val="18"/>
              </w:rPr>
              <w:t xml:space="preserve"> </w:t>
            </w:r>
            <w:r w:rsidRPr="000A15B1">
              <w:rPr>
                <w:rFonts w:ascii="Arial" w:hAnsi="Arial" w:cs="Arial"/>
                <w:sz w:val="18"/>
                <w:szCs w:val="18"/>
              </w:rPr>
              <w:t xml:space="preserve">eine angemessene Eskalation erfolgt </w:t>
            </w:r>
            <w:r>
              <w:rPr>
                <w:rFonts w:ascii="Arial" w:hAnsi="Arial" w:cs="Arial"/>
                <w:sz w:val="18"/>
                <w:szCs w:val="18"/>
              </w:rPr>
              <w:t>sowie</w:t>
            </w:r>
            <w:r w:rsidRPr="000A15B1">
              <w:rPr>
                <w:rFonts w:ascii="Arial" w:hAnsi="Arial" w:cs="Arial"/>
                <w:sz w:val="18"/>
                <w:szCs w:val="18"/>
              </w:rPr>
              <w:t xml:space="preserve"> zeitnah Abhilfemassnahmen ergriffen werden</w:t>
            </w:r>
            <w:r>
              <w:rPr>
                <w:rFonts w:ascii="Arial" w:hAnsi="Arial" w:cs="Arial"/>
                <w:sz w:val="18"/>
                <w:szCs w:val="18"/>
              </w:rPr>
              <w:t xml:space="preserve"> und im Falle der Prüftiefe Detailprüfung effektiv angewendet wurden</w:t>
            </w:r>
          </w:p>
        </w:tc>
        <w:tc>
          <w:tcPr>
            <w:tcW w:w="3382" w:type="dxa"/>
          </w:tcPr>
          <w:p w14:paraId="3FE2ED3F" w14:textId="77777777" w:rsidR="008F1D1C" w:rsidRPr="00E109DF" w:rsidRDefault="008F1D1C" w:rsidP="008F1D1C">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B459F" w:rsidRPr="009872F3" w14:paraId="72C6839C" w14:textId="77777777" w:rsidTr="00D9403D">
        <w:tc>
          <w:tcPr>
            <w:tcW w:w="5798" w:type="dxa"/>
            <w:gridSpan w:val="3"/>
          </w:tcPr>
          <w:p w14:paraId="2A69F1A9" w14:textId="77777777" w:rsidR="00AB459F" w:rsidRDefault="00AB459F" w:rsidP="008F1D1C">
            <w:pPr>
              <w:jc w:val="both"/>
              <w:rPr>
                <w:rFonts w:ascii="Arial" w:hAnsi="Arial" w:cs="Arial"/>
                <w:sz w:val="18"/>
                <w:szCs w:val="18"/>
              </w:rPr>
            </w:pPr>
          </w:p>
        </w:tc>
        <w:tc>
          <w:tcPr>
            <w:tcW w:w="3382" w:type="dxa"/>
          </w:tcPr>
          <w:p w14:paraId="3D68A674" w14:textId="77777777" w:rsidR="00AB459F" w:rsidRPr="00C3479D" w:rsidRDefault="00AB459F" w:rsidP="008F1D1C">
            <w:pPr>
              <w:jc w:val="both"/>
              <w:rPr>
                <w:rFonts w:ascii="Arial" w:hAnsi="Arial" w:cs="Arial"/>
                <w:i/>
                <w:sz w:val="18"/>
                <w:szCs w:val="18"/>
                <w:highlight w:val="yellow"/>
              </w:rPr>
            </w:pPr>
          </w:p>
        </w:tc>
      </w:tr>
      <w:tr w:rsidR="00AB459F" w:rsidRPr="009872F3" w14:paraId="62D2C69E" w14:textId="77777777" w:rsidTr="008034B7">
        <w:tc>
          <w:tcPr>
            <w:tcW w:w="9180" w:type="dxa"/>
            <w:gridSpan w:val="4"/>
          </w:tcPr>
          <w:p w14:paraId="0D767C00" w14:textId="77777777" w:rsidR="00AB459F" w:rsidRDefault="00AB459F" w:rsidP="008034B7">
            <w:pPr>
              <w:jc w:val="both"/>
              <w:rPr>
                <w:rFonts w:ascii="Arial" w:hAnsi="Arial" w:cs="Arial"/>
                <w:sz w:val="18"/>
                <w:szCs w:val="18"/>
              </w:rPr>
            </w:pPr>
            <w:r>
              <w:rPr>
                <w:rFonts w:ascii="Arial" w:hAnsi="Arial" w:cs="Arial"/>
                <w:sz w:val="18"/>
                <w:szCs w:val="18"/>
              </w:rPr>
              <w:t>Auflistung der durchgeführten Prüfungshandlungen:</w:t>
            </w:r>
          </w:p>
          <w:p w14:paraId="157FCC71" w14:textId="77777777" w:rsidR="00AB459F" w:rsidRPr="00AB459F" w:rsidRDefault="00AB459F" w:rsidP="008034B7">
            <w:pPr>
              <w:pStyle w:val="Listenabsatz"/>
              <w:numPr>
                <w:ilvl w:val="0"/>
                <w:numId w:val="43"/>
              </w:numPr>
              <w:jc w:val="both"/>
              <w:rPr>
                <w:rFonts w:cs="Arial"/>
                <w:i/>
                <w:sz w:val="18"/>
                <w:szCs w:val="18"/>
                <w:highlight w:val="yellow"/>
              </w:rPr>
            </w:pPr>
          </w:p>
        </w:tc>
      </w:tr>
    </w:tbl>
    <w:p w14:paraId="4806555C" w14:textId="77777777" w:rsidR="00CB0BB0" w:rsidRDefault="00CB0BB0" w:rsidP="00CB0BB0">
      <w:pPr>
        <w:jc w:val="both"/>
      </w:pPr>
    </w:p>
    <w:tbl>
      <w:tblPr>
        <w:tblStyle w:val="Tabellenraster"/>
        <w:tblW w:w="0" w:type="auto"/>
        <w:tblLook w:val="04A0" w:firstRow="1" w:lastRow="0" w:firstColumn="1" w:lastColumn="0" w:noHBand="0" w:noVBand="1"/>
      </w:tblPr>
      <w:tblGrid>
        <w:gridCol w:w="2785"/>
        <w:gridCol w:w="6520"/>
      </w:tblGrid>
      <w:tr w:rsidR="00CB0BB0" w:rsidRPr="00CE3194" w14:paraId="02B4636D" w14:textId="77777777" w:rsidTr="00D9403D">
        <w:tc>
          <w:tcPr>
            <w:tcW w:w="2785" w:type="dxa"/>
          </w:tcPr>
          <w:p w14:paraId="36058FF3" w14:textId="77777777" w:rsidR="00CB0BB0" w:rsidRPr="00CE3194" w:rsidRDefault="00CB0BB0" w:rsidP="00D9403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E703BD7" w14:textId="77777777" w:rsidR="00CB0BB0" w:rsidRPr="00CE3194" w:rsidRDefault="00CB0BB0" w:rsidP="00D9403D">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CB0BB0" w:rsidRPr="00CE3194" w14:paraId="74737770" w14:textId="77777777" w:rsidTr="00D9403D">
        <w:tc>
          <w:tcPr>
            <w:tcW w:w="2785" w:type="dxa"/>
          </w:tcPr>
          <w:p w14:paraId="5D57088A" w14:textId="6073E193" w:rsidR="00CB0BB0" w:rsidRPr="00A14F73" w:rsidRDefault="00192140" w:rsidP="00D9403D">
            <w:pPr>
              <w:jc w:val="both"/>
              <w:rPr>
                <w:rFonts w:ascii="Arial" w:hAnsi="Arial" w:cs="Arial"/>
                <w:i/>
                <w:sz w:val="20"/>
                <w:szCs w:val="20"/>
                <w:highlight w:val="lightGray"/>
              </w:rPr>
            </w:pPr>
            <w:r w:rsidRPr="00A14F73">
              <w:rPr>
                <w:rFonts w:ascii="Arial" w:hAnsi="Arial" w:cs="Arial"/>
                <w:i/>
                <w:sz w:val="20"/>
                <w:szCs w:val="20"/>
                <w:highlight w:val="lightGray"/>
              </w:rPr>
              <w:t>Verwendung des Erfolgs</w:t>
            </w:r>
          </w:p>
        </w:tc>
        <w:tc>
          <w:tcPr>
            <w:tcW w:w="6520" w:type="dxa"/>
          </w:tcPr>
          <w:p w14:paraId="712A708D" w14:textId="59AA3AA1" w:rsidR="00CB0BB0" w:rsidRPr="00A14F73" w:rsidRDefault="003F3CC0"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 xml:space="preserve">Die internen Verfahren stellen die </w:t>
            </w:r>
            <w:r w:rsidR="00780E2C">
              <w:rPr>
                <w:rFonts w:cs="Arial"/>
                <w:i/>
                <w:szCs w:val="20"/>
                <w:highlight w:val="lightGray"/>
              </w:rPr>
              <w:t xml:space="preserve">Überprüfung der </w:t>
            </w:r>
            <w:r w:rsidRPr="00A14F73">
              <w:rPr>
                <w:rFonts w:cs="Arial"/>
                <w:i/>
                <w:szCs w:val="20"/>
                <w:highlight w:val="lightGray"/>
              </w:rPr>
              <w:t>korrekte</w:t>
            </w:r>
            <w:r w:rsidR="00780E2C">
              <w:rPr>
                <w:rFonts w:cs="Arial"/>
                <w:i/>
                <w:szCs w:val="20"/>
                <w:highlight w:val="lightGray"/>
              </w:rPr>
              <w:t>n</w:t>
            </w:r>
            <w:r w:rsidRPr="00A14F73">
              <w:rPr>
                <w:rFonts w:cs="Arial"/>
                <w:i/>
                <w:szCs w:val="20"/>
                <w:highlight w:val="lightGray"/>
              </w:rPr>
              <w:t xml:space="preserve"> Berechnung der Netto-Erträge unter Berücksichtigung der massgebenden Gesetzesbestimmungen und konstituierenden Dokumenten sicher</w:t>
            </w:r>
            <w:r w:rsidR="007672C2">
              <w:rPr>
                <w:rFonts w:cs="Arial"/>
                <w:i/>
                <w:szCs w:val="20"/>
                <w:highlight w:val="lightGray"/>
              </w:rPr>
              <w:t>.</w:t>
            </w:r>
          </w:p>
          <w:p w14:paraId="1FC471CA" w14:textId="0D8F12B3" w:rsidR="003F3CC0" w:rsidRPr="00A14F73" w:rsidRDefault="003F3CC0"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 xml:space="preserve">Die internen Verfahren stellen die vollständige und korrekte Ausschüttung </w:t>
            </w:r>
            <w:r w:rsidR="00A14F73" w:rsidRPr="00A14F73">
              <w:rPr>
                <w:rFonts w:cs="Arial"/>
                <w:i/>
                <w:szCs w:val="20"/>
                <w:highlight w:val="lightGray"/>
              </w:rPr>
              <w:t>von Dividendenzahlungen (sowie gegebenenfalls Zinsabgrenzungen) basierend auf den berechneten Netto-Erträgen sicher</w:t>
            </w:r>
            <w:r w:rsidR="007672C2">
              <w:rPr>
                <w:rFonts w:cs="Arial"/>
                <w:i/>
                <w:szCs w:val="20"/>
                <w:highlight w:val="lightGray"/>
              </w:rPr>
              <w:t>.</w:t>
            </w:r>
          </w:p>
          <w:p w14:paraId="408F17AD" w14:textId="44CD2136" w:rsidR="00A14F73" w:rsidRPr="00A14F73" w:rsidRDefault="00A14F73"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Die internen Verfahren gewährleisten, dass die Netto-Erträge nur für vorgesehene Zwecke gemäss den massgebenden Gesetzesbestimmungen und konstituierenden Dokumenten verwendet werden</w:t>
            </w:r>
            <w:r w:rsidR="007672C2">
              <w:rPr>
                <w:rFonts w:cs="Arial"/>
                <w:i/>
                <w:szCs w:val="20"/>
                <w:highlight w:val="lightGray"/>
              </w:rPr>
              <w:t>.</w:t>
            </w:r>
          </w:p>
          <w:p w14:paraId="6EEF7BF6" w14:textId="7660EF29" w:rsidR="00A14F73" w:rsidRPr="00A14F73" w:rsidRDefault="00A14F73" w:rsidP="00D9403D">
            <w:pPr>
              <w:pStyle w:val="Listenabsatz"/>
              <w:numPr>
                <w:ilvl w:val="1"/>
                <w:numId w:val="17"/>
              </w:numPr>
              <w:ind w:left="317" w:hanging="283"/>
              <w:jc w:val="both"/>
              <w:rPr>
                <w:rFonts w:cs="Arial"/>
                <w:i/>
                <w:szCs w:val="20"/>
                <w:highlight w:val="lightGray"/>
              </w:rPr>
            </w:pPr>
            <w:r w:rsidRPr="00A14F73">
              <w:rPr>
                <w:rFonts w:cs="Arial"/>
                <w:i/>
                <w:szCs w:val="20"/>
                <w:highlight w:val="lightGray"/>
              </w:rPr>
              <w:t>Die internen Verfahren stellen sicher, dass bei einer Abweichung der Berechnung der Netto-Erträge zu den massgebenden Gesetzesbestimmungen oder konstituierenden Dokumenten eine angemessene Eskalation erfolgt und zeitnah Abhilfemassnahmen ergriffen werden.</w:t>
            </w:r>
          </w:p>
        </w:tc>
      </w:tr>
    </w:tbl>
    <w:p w14:paraId="4F024A34" w14:textId="77777777" w:rsidR="00CB0BB0" w:rsidRDefault="00CB0BB0" w:rsidP="00CB0BB0">
      <w:pPr>
        <w:jc w:val="both"/>
      </w:pPr>
    </w:p>
    <w:p w14:paraId="25E58635" w14:textId="77777777" w:rsidR="00CB0BB0" w:rsidRPr="00667026" w:rsidRDefault="00CB0BB0" w:rsidP="00CB0BB0">
      <w:pPr>
        <w:jc w:val="both"/>
        <w:rPr>
          <w:rFonts w:ascii="Arial" w:hAnsi="Arial" w:cs="Arial"/>
          <w:i/>
          <w:sz w:val="20"/>
          <w:szCs w:val="20"/>
        </w:rPr>
      </w:pPr>
      <w:r w:rsidRPr="00276C60">
        <w:rPr>
          <w:rFonts w:ascii="Arial" w:hAnsi="Arial" w:cs="Arial"/>
          <w:i/>
          <w:sz w:val="20"/>
          <w:szCs w:val="20"/>
          <w:highlight w:val="yellow"/>
        </w:rPr>
        <w:t>Text</w:t>
      </w:r>
    </w:p>
    <w:p w14:paraId="3F476BDF" w14:textId="63B1868D" w:rsidR="00CB0BB0" w:rsidRDefault="00CB0BB0" w:rsidP="00CB3EE6">
      <w:pPr>
        <w:jc w:val="both"/>
      </w:pPr>
    </w:p>
    <w:p w14:paraId="2C83C323" w14:textId="274A2C43" w:rsidR="00CB0BB0" w:rsidRDefault="00CB0BB0" w:rsidP="00CB3EE6">
      <w:pPr>
        <w:jc w:val="both"/>
      </w:pPr>
    </w:p>
    <w:p w14:paraId="20C8D3DE" w14:textId="134462CB" w:rsidR="00CB0BB0" w:rsidRDefault="00016FA3" w:rsidP="00CB0BB0">
      <w:pPr>
        <w:pStyle w:val="FINMAGliederungEbene2"/>
      </w:pPr>
      <w:bookmarkStart w:id="29" w:name="_Toc185241482"/>
      <w:r>
        <w:t>Weitere</w:t>
      </w:r>
      <w:r w:rsidR="00CB0BB0">
        <w:t xml:space="preserve"> Pflichten</w:t>
      </w:r>
      <w:r w:rsidR="00D50AA7">
        <w:t xml:space="preserve"> (WP-1)</w:t>
      </w:r>
      <w:bookmarkEnd w:id="29"/>
    </w:p>
    <w:p w14:paraId="5374B108" w14:textId="05FE7247" w:rsidR="00CB0BB0" w:rsidRDefault="00CB0BB0" w:rsidP="00CB0BB0">
      <w:pPr>
        <w:pStyle w:val="Listenabsatz"/>
        <w:ind w:left="792"/>
        <w:jc w:val="both"/>
      </w:pPr>
    </w:p>
    <w:tbl>
      <w:tblPr>
        <w:tblStyle w:val="Tabellenraster"/>
        <w:tblW w:w="0" w:type="auto"/>
        <w:tblLook w:val="04A0" w:firstRow="1" w:lastRow="0" w:firstColumn="1" w:lastColumn="0" w:noHBand="0" w:noVBand="1"/>
      </w:tblPr>
      <w:tblGrid>
        <w:gridCol w:w="1477"/>
        <w:gridCol w:w="2220"/>
        <w:gridCol w:w="2083"/>
        <w:gridCol w:w="3734"/>
      </w:tblGrid>
      <w:tr w:rsidR="00D50AA7" w:rsidRPr="009872F3" w14:paraId="7EC37E2C" w14:textId="77777777" w:rsidTr="000E411C">
        <w:trPr>
          <w:trHeight w:val="563"/>
        </w:trPr>
        <w:tc>
          <w:tcPr>
            <w:tcW w:w="1477" w:type="dxa"/>
          </w:tcPr>
          <w:p w14:paraId="050B0A5B" w14:textId="77777777" w:rsidR="00D50AA7" w:rsidRPr="009872F3" w:rsidRDefault="00D50AA7" w:rsidP="00D53B47">
            <w:pPr>
              <w:jc w:val="both"/>
              <w:rPr>
                <w:rFonts w:ascii="Arial" w:hAnsi="Arial" w:cs="Arial"/>
                <w:sz w:val="18"/>
                <w:szCs w:val="18"/>
              </w:rPr>
            </w:pPr>
            <w:r w:rsidRPr="009872F3">
              <w:rPr>
                <w:rFonts w:ascii="Arial" w:hAnsi="Arial" w:cs="Arial"/>
                <w:sz w:val="18"/>
                <w:szCs w:val="18"/>
              </w:rPr>
              <w:t>Nettorisiko</w:t>
            </w:r>
          </w:p>
        </w:tc>
        <w:tc>
          <w:tcPr>
            <w:tcW w:w="4303" w:type="dxa"/>
            <w:gridSpan w:val="2"/>
          </w:tcPr>
          <w:p w14:paraId="1398F6AA" w14:textId="77777777" w:rsidR="00D50AA7" w:rsidRPr="009872F3" w:rsidRDefault="00D50AA7" w:rsidP="00D53B47">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734" w:type="dxa"/>
          </w:tcPr>
          <w:p w14:paraId="6E3B94AC" w14:textId="77777777" w:rsidR="00D50AA7" w:rsidRPr="009872F3" w:rsidRDefault="00D50AA7" w:rsidP="00D53B47">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50AA7" w:rsidRPr="009872F3" w14:paraId="3870FFA3" w14:textId="77777777" w:rsidTr="000E411C">
        <w:trPr>
          <w:trHeight w:val="698"/>
        </w:trPr>
        <w:tc>
          <w:tcPr>
            <w:tcW w:w="1477" w:type="dxa"/>
          </w:tcPr>
          <w:p w14:paraId="2CCC4935" w14:textId="77777777" w:rsidR="00D50AA7" w:rsidRPr="006749F0" w:rsidRDefault="00D50AA7" w:rsidP="00D53B47">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303" w:type="dxa"/>
            <w:gridSpan w:val="2"/>
          </w:tcPr>
          <w:p w14:paraId="34214D66" w14:textId="738B011B" w:rsidR="00D50AA7" w:rsidRPr="00CB3EE6" w:rsidRDefault="00D50AA7" w:rsidP="00D53B47">
            <w:pPr>
              <w:jc w:val="both"/>
              <w:rPr>
                <w:rFonts w:ascii="Arial" w:hAnsi="Arial" w:cs="Arial"/>
                <w:sz w:val="18"/>
                <w:szCs w:val="18"/>
                <w:highlight w:val="yellow"/>
              </w:rPr>
            </w:pPr>
            <w:r>
              <w:rPr>
                <w:rFonts w:ascii="Arial" w:hAnsi="Arial" w:cs="Arial"/>
                <w:sz w:val="18"/>
                <w:szCs w:val="18"/>
                <w:highlight w:val="yellow"/>
              </w:rPr>
              <w:t>Beispiel für Berichtsjahr 2022:</w:t>
            </w:r>
          </w:p>
          <w:p w14:paraId="141F43A8" w14:textId="7E75B002" w:rsidR="00D50AA7" w:rsidRPr="00CB3EE6" w:rsidRDefault="00D50AA7" w:rsidP="00D53B47">
            <w:pPr>
              <w:pStyle w:val="Listenabsatz"/>
              <w:numPr>
                <w:ilvl w:val="1"/>
                <w:numId w:val="17"/>
              </w:numPr>
              <w:ind w:left="197" w:hanging="197"/>
              <w:jc w:val="both"/>
              <w:rPr>
                <w:rFonts w:cs="Arial"/>
                <w:sz w:val="18"/>
                <w:szCs w:val="18"/>
              </w:rPr>
            </w:pPr>
            <w:r>
              <w:rPr>
                <w:rFonts w:cs="Arial"/>
                <w:sz w:val="18"/>
                <w:szCs w:val="18"/>
                <w:highlight w:val="yellow"/>
              </w:rPr>
              <w:t>Unterverwahrstellen</w:t>
            </w:r>
          </w:p>
        </w:tc>
        <w:tc>
          <w:tcPr>
            <w:tcW w:w="3734" w:type="dxa"/>
          </w:tcPr>
          <w:p w14:paraId="0E7344D9" w14:textId="77777777" w:rsidR="00D50AA7" w:rsidRDefault="00D50AA7" w:rsidP="00D53B47">
            <w:pPr>
              <w:jc w:val="both"/>
              <w:rPr>
                <w:rFonts w:ascii="Arial" w:hAnsi="Arial" w:cs="Arial"/>
                <w:i/>
                <w:sz w:val="18"/>
                <w:szCs w:val="18"/>
              </w:rPr>
            </w:pPr>
            <w:r w:rsidRPr="00CB3EE6">
              <w:rPr>
                <w:rFonts w:ascii="Arial" w:hAnsi="Arial" w:cs="Arial"/>
                <w:i/>
                <w:sz w:val="18"/>
                <w:szCs w:val="18"/>
                <w:highlight w:val="yellow"/>
              </w:rPr>
              <w:t>Beispiel:</w:t>
            </w:r>
          </w:p>
          <w:p w14:paraId="7724F0E0" w14:textId="3F4DF491" w:rsidR="00D50AA7" w:rsidRDefault="00D50AA7" w:rsidP="00D53B47">
            <w:pPr>
              <w:jc w:val="both"/>
              <w:rPr>
                <w:rFonts w:ascii="Arial" w:hAnsi="Arial" w:cs="Arial"/>
                <w:i/>
                <w:sz w:val="18"/>
                <w:szCs w:val="18"/>
                <w:highlight w:val="yellow"/>
              </w:rPr>
            </w:pPr>
            <w:r w:rsidRPr="00024116">
              <w:rPr>
                <w:rFonts w:ascii="Arial" w:hAnsi="Arial" w:cs="Arial"/>
                <w:i/>
                <w:sz w:val="18"/>
                <w:szCs w:val="18"/>
                <w:highlight w:val="yellow"/>
              </w:rPr>
              <w:t>20</w:t>
            </w:r>
            <w:r>
              <w:rPr>
                <w:rFonts w:ascii="Arial" w:hAnsi="Arial" w:cs="Arial"/>
                <w:i/>
                <w:sz w:val="18"/>
                <w:szCs w:val="18"/>
                <w:highlight w:val="yellow"/>
              </w:rPr>
              <w:t>21</w:t>
            </w:r>
            <w:r w:rsidRPr="00024116">
              <w:rPr>
                <w:rFonts w:ascii="Arial" w:hAnsi="Arial" w:cs="Arial"/>
                <w:i/>
                <w:sz w:val="18"/>
                <w:szCs w:val="18"/>
                <w:highlight w:val="yellow"/>
              </w:rPr>
              <w:t xml:space="preserve">: </w:t>
            </w:r>
            <w:r>
              <w:rPr>
                <w:rFonts w:ascii="Arial" w:hAnsi="Arial" w:cs="Arial"/>
                <w:i/>
                <w:sz w:val="18"/>
                <w:szCs w:val="18"/>
                <w:highlight w:val="yellow"/>
              </w:rPr>
              <w:t>Wiederverwendung von verwahrten Vermögenswerten (Detailprüfung)</w:t>
            </w:r>
          </w:p>
          <w:p w14:paraId="39EF1909" w14:textId="77777777" w:rsidR="00D50AA7" w:rsidRPr="00024116" w:rsidRDefault="00D50AA7" w:rsidP="00D53B47">
            <w:pPr>
              <w:jc w:val="both"/>
              <w:rPr>
                <w:rFonts w:ascii="Arial" w:hAnsi="Arial" w:cs="Arial"/>
                <w:i/>
                <w:sz w:val="18"/>
                <w:szCs w:val="18"/>
                <w:highlight w:val="yellow"/>
              </w:rPr>
            </w:pPr>
          </w:p>
          <w:p w14:paraId="5F39BC7B" w14:textId="195110CF" w:rsidR="00D50AA7" w:rsidRDefault="00D50AA7" w:rsidP="00D53B47">
            <w:pPr>
              <w:jc w:val="both"/>
              <w:rPr>
                <w:rFonts w:ascii="Arial" w:hAnsi="Arial" w:cs="Arial"/>
                <w:i/>
                <w:sz w:val="18"/>
                <w:szCs w:val="18"/>
                <w:highlight w:val="yellow"/>
              </w:rPr>
            </w:pPr>
            <w:r w:rsidRPr="000F0ACD">
              <w:rPr>
                <w:rFonts w:ascii="Arial" w:hAnsi="Arial" w:cs="Arial"/>
                <w:i/>
                <w:sz w:val="18"/>
                <w:szCs w:val="18"/>
                <w:highlight w:val="yellow"/>
              </w:rPr>
              <w:t>20</w:t>
            </w:r>
            <w:r>
              <w:rPr>
                <w:rFonts w:ascii="Arial" w:hAnsi="Arial" w:cs="Arial"/>
                <w:i/>
                <w:sz w:val="18"/>
                <w:szCs w:val="18"/>
                <w:highlight w:val="yellow"/>
              </w:rPr>
              <w:t>20</w:t>
            </w:r>
            <w:r w:rsidRPr="000F0ACD">
              <w:rPr>
                <w:rFonts w:ascii="Arial" w:hAnsi="Arial" w:cs="Arial"/>
                <w:i/>
                <w:sz w:val="18"/>
                <w:szCs w:val="18"/>
                <w:highlight w:val="yellow"/>
              </w:rPr>
              <w:t xml:space="preserve">: </w:t>
            </w:r>
            <w:r w:rsidRPr="00B42A2D">
              <w:rPr>
                <w:rFonts w:ascii="Arial" w:hAnsi="Arial" w:cs="Arial"/>
                <w:i/>
                <w:sz w:val="18"/>
                <w:szCs w:val="18"/>
                <w:highlight w:val="yellow"/>
              </w:rPr>
              <w:t xml:space="preserve">Aufgaben der Verwahrstelle im Zusammenhang mit der Abwicklung von </w:t>
            </w:r>
            <w:r w:rsidRPr="00B42A2D">
              <w:rPr>
                <w:rFonts w:ascii="Arial" w:hAnsi="Arial" w:cs="Arial"/>
                <w:i/>
                <w:sz w:val="18"/>
                <w:szCs w:val="18"/>
                <w:highlight w:val="yellow"/>
              </w:rPr>
              <w:lastRenderedPageBreak/>
              <w:t>Wertpapierleihgeschäften und Pensionsgeschäften</w:t>
            </w:r>
            <w:r>
              <w:rPr>
                <w:rFonts w:ascii="Arial" w:hAnsi="Arial" w:cs="Arial"/>
                <w:i/>
                <w:sz w:val="18"/>
                <w:szCs w:val="18"/>
                <w:highlight w:val="yellow"/>
              </w:rPr>
              <w:t xml:space="preserve"> (Kritische Beurteilung)</w:t>
            </w:r>
          </w:p>
          <w:p w14:paraId="33FE0BB7" w14:textId="77777777" w:rsidR="00D50AA7" w:rsidRPr="00024116" w:rsidRDefault="00D50AA7" w:rsidP="00D53B47">
            <w:pPr>
              <w:jc w:val="both"/>
              <w:rPr>
                <w:rFonts w:ascii="Arial" w:hAnsi="Arial" w:cs="Arial"/>
                <w:i/>
                <w:sz w:val="18"/>
                <w:szCs w:val="18"/>
                <w:highlight w:val="yellow"/>
              </w:rPr>
            </w:pPr>
          </w:p>
          <w:p w14:paraId="4500A54E" w14:textId="341440C0" w:rsidR="00D50AA7" w:rsidRDefault="00D50AA7" w:rsidP="00D53B47">
            <w:pPr>
              <w:jc w:val="both"/>
              <w:rPr>
                <w:rFonts w:ascii="Arial" w:hAnsi="Arial" w:cs="Arial"/>
                <w:i/>
                <w:sz w:val="18"/>
                <w:szCs w:val="18"/>
                <w:highlight w:val="yellow"/>
              </w:rPr>
            </w:pPr>
            <w:r w:rsidRPr="00024116">
              <w:rPr>
                <w:rFonts w:ascii="Arial" w:hAnsi="Arial" w:cs="Arial"/>
                <w:i/>
                <w:sz w:val="18"/>
                <w:szCs w:val="18"/>
                <w:highlight w:val="yellow"/>
              </w:rPr>
              <w:t>20</w:t>
            </w:r>
            <w:r>
              <w:rPr>
                <w:rFonts w:ascii="Arial" w:hAnsi="Arial" w:cs="Arial"/>
                <w:i/>
                <w:sz w:val="18"/>
                <w:szCs w:val="18"/>
                <w:highlight w:val="yellow"/>
              </w:rPr>
              <w:t>19</w:t>
            </w:r>
            <w:r w:rsidRPr="00024116">
              <w:rPr>
                <w:rFonts w:ascii="Arial" w:hAnsi="Arial" w:cs="Arial"/>
                <w:i/>
                <w:sz w:val="18"/>
                <w:szCs w:val="18"/>
                <w:highlight w:val="yellow"/>
              </w:rPr>
              <w:t xml:space="preserve">: </w:t>
            </w:r>
            <w:r>
              <w:rPr>
                <w:rFonts w:ascii="Arial" w:hAnsi="Arial" w:cs="Arial"/>
                <w:i/>
                <w:sz w:val="18"/>
                <w:szCs w:val="18"/>
                <w:highlight w:val="yellow"/>
              </w:rPr>
              <w:t>xx</w:t>
            </w:r>
          </w:p>
          <w:p w14:paraId="0804D45B" w14:textId="77777777" w:rsidR="00D50AA7" w:rsidRPr="00024116" w:rsidRDefault="00D50AA7" w:rsidP="00D53B47">
            <w:pPr>
              <w:jc w:val="both"/>
              <w:rPr>
                <w:rFonts w:ascii="Arial" w:hAnsi="Arial" w:cs="Arial"/>
                <w:i/>
                <w:sz w:val="18"/>
                <w:szCs w:val="18"/>
                <w:highlight w:val="yellow"/>
              </w:rPr>
            </w:pPr>
          </w:p>
          <w:p w14:paraId="44D28D62" w14:textId="1DAC9FA4" w:rsidR="00D50AA7" w:rsidRDefault="00D50AA7" w:rsidP="00D53B47">
            <w:pPr>
              <w:jc w:val="both"/>
              <w:rPr>
                <w:rFonts w:ascii="Arial" w:hAnsi="Arial" w:cs="Arial"/>
                <w:i/>
                <w:sz w:val="18"/>
                <w:szCs w:val="18"/>
                <w:highlight w:val="yellow"/>
              </w:rPr>
            </w:pPr>
            <w:r w:rsidRPr="00024116">
              <w:rPr>
                <w:rFonts w:ascii="Arial" w:hAnsi="Arial" w:cs="Arial"/>
                <w:i/>
                <w:sz w:val="18"/>
                <w:szCs w:val="18"/>
                <w:highlight w:val="yellow"/>
              </w:rPr>
              <w:t>201</w:t>
            </w:r>
            <w:r>
              <w:rPr>
                <w:rFonts w:ascii="Arial" w:hAnsi="Arial" w:cs="Arial"/>
                <w:i/>
                <w:sz w:val="18"/>
                <w:szCs w:val="18"/>
                <w:highlight w:val="yellow"/>
              </w:rPr>
              <w:t>8</w:t>
            </w:r>
            <w:r w:rsidRPr="00024116">
              <w:rPr>
                <w:rFonts w:ascii="Arial" w:hAnsi="Arial" w:cs="Arial"/>
                <w:i/>
                <w:sz w:val="18"/>
                <w:szCs w:val="18"/>
                <w:highlight w:val="yellow"/>
              </w:rPr>
              <w:t xml:space="preserve">: </w:t>
            </w:r>
            <w:r>
              <w:rPr>
                <w:rFonts w:ascii="Arial" w:hAnsi="Arial" w:cs="Arial"/>
                <w:i/>
                <w:sz w:val="18"/>
                <w:szCs w:val="18"/>
                <w:highlight w:val="yellow"/>
              </w:rPr>
              <w:t>xx</w:t>
            </w:r>
          </w:p>
          <w:p w14:paraId="027513CC" w14:textId="60853BF2" w:rsidR="000E411C" w:rsidRDefault="000E411C" w:rsidP="00D53B47">
            <w:pPr>
              <w:jc w:val="both"/>
              <w:rPr>
                <w:rFonts w:ascii="Arial" w:hAnsi="Arial" w:cs="Arial"/>
                <w:i/>
                <w:sz w:val="18"/>
                <w:szCs w:val="18"/>
                <w:highlight w:val="yellow"/>
              </w:rPr>
            </w:pPr>
          </w:p>
          <w:p w14:paraId="72598DA7" w14:textId="20E00993" w:rsidR="000E411C" w:rsidRPr="00255340" w:rsidRDefault="000E411C" w:rsidP="00D53B47">
            <w:pPr>
              <w:jc w:val="both"/>
              <w:rPr>
                <w:rFonts w:ascii="Arial" w:hAnsi="Arial" w:cs="Arial"/>
                <w:i/>
                <w:sz w:val="18"/>
                <w:szCs w:val="18"/>
                <w:highlight w:val="yellow"/>
              </w:rPr>
            </w:pPr>
            <w:r>
              <w:rPr>
                <w:rFonts w:ascii="Arial" w:hAnsi="Arial" w:cs="Arial"/>
                <w:i/>
                <w:sz w:val="18"/>
                <w:szCs w:val="18"/>
                <w:highlight w:val="yellow"/>
              </w:rPr>
              <w:t>2017: xx</w:t>
            </w:r>
          </w:p>
          <w:p w14:paraId="5C86BF98" w14:textId="4F99A969" w:rsidR="00D50AA7" w:rsidRPr="006749F0" w:rsidRDefault="00D50AA7" w:rsidP="00D53B47">
            <w:pPr>
              <w:jc w:val="both"/>
              <w:rPr>
                <w:rFonts w:ascii="Arial" w:hAnsi="Arial" w:cs="Arial"/>
                <w:i/>
                <w:sz w:val="18"/>
                <w:szCs w:val="18"/>
              </w:rPr>
            </w:pPr>
          </w:p>
        </w:tc>
      </w:tr>
      <w:tr w:rsidR="00D50AA7" w:rsidRPr="00ED1943" w14:paraId="2271BE7E" w14:textId="77777777" w:rsidTr="000E411C">
        <w:trPr>
          <w:trHeight w:val="133"/>
        </w:trPr>
        <w:tc>
          <w:tcPr>
            <w:tcW w:w="9514" w:type="dxa"/>
            <w:gridSpan w:val="4"/>
          </w:tcPr>
          <w:p w14:paraId="620BECC0" w14:textId="77777777" w:rsidR="00D50AA7" w:rsidRDefault="00D50AA7" w:rsidP="00D53B47">
            <w:pPr>
              <w:jc w:val="both"/>
              <w:rPr>
                <w:rFonts w:ascii="Arial" w:hAnsi="Arial" w:cs="Arial"/>
                <w:sz w:val="18"/>
                <w:szCs w:val="18"/>
              </w:rPr>
            </w:pPr>
          </w:p>
          <w:p w14:paraId="7E866819" w14:textId="77777777" w:rsidR="00D50AA7" w:rsidRPr="00F60909" w:rsidRDefault="00D50AA7" w:rsidP="00D53B47">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5548BEF" w14:textId="77777777" w:rsidR="00D50AA7" w:rsidRDefault="00D50AA7" w:rsidP="00D53B47">
            <w:pPr>
              <w:jc w:val="both"/>
              <w:rPr>
                <w:rFonts w:ascii="Arial" w:hAnsi="Arial" w:cs="Arial"/>
                <w:sz w:val="18"/>
                <w:szCs w:val="18"/>
                <w:highlight w:val="yellow"/>
              </w:rPr>
            </w:pPr>
          </w:p>
          <w:p w14:paraId="7E9B2F47" w14:textId="292E5152" w:rsidR="00D50AA7" w:rsidRPr="00B037A6" w:rsidRDefault="00D50AA7" w:rsidP="00D50AA7">
            <w:pPr>
              <w:jc w:val="both"/>
              <w:rPr>
                <w:rFonts w:ascii="Arial" w:hAnsi="Arial" w:cs="Arial"/>
                <w:sz w:val="16"/>
                <w:szCs w:val="16"/>
                <w:highlight w:val="yellow"/>
              </w:rPr>
            </w:pPr>
            <w:r>
              <w:rPr>
                <w:rFonts w:ascii="Arial" w:hAnsi="Arial" w:cs="Arial"/>
                <w:sz w:val="16"/>
                <w:szCs w:val="16"/>
                <w:highlight w:val="yellow"/>
              </w:rPr>
              <w:t>siehe einzelne Prüfelemente</w:t>
            </w:r>
          </w:p>
        </w:tc>
      </w:tr>
      <w:tr w:rsidR="00D50AA7" w:rsidRPr="00ED1943" w14:paraId="599FC4BF" w14:textId="77777777" w:rsidTr="000E411C">
        <w:trPr>
          <w:trHeight w:val="294"/>
        </w:trPr>
        <w:tc>
          <w:tcPr>
            <w:tcW w:w="3697" w:type="dxa"/>
            <w:gridSpan w:val="2"/>
          </w:tcPr>
          <w:p w14:paraId="00A59975" w14:textId="77777777" w:rsidR="00D50AA7" w:rsidRPr="00FE1E98" w:rsidRDefault="00D50AA7" w:rsidP="00D53B47">
            <w:pPr>
              <w:jc w:val="both"/>
              <w:rPr>
                <w:rFonts w:ascii="Arial" w:hAnsi="Arial" w:cs="Arial"/>
                <w:sz w:val="18"/>
                <w:szCs w:val="18"/>
              </w:rPr>
            </w:pPr>
          </w:p>
        </w:tc>
        <w:tc>
          <w:tcPr>
            <w:tcW w:w="5817" w:type="dxa"/>
            <w:gridSpan w:val="2"/>
          </w:tcPr>
          <w:p w14:paraId="6BFCBB06" w14:textId="77777777" w:rsidR="00D50AA7" w:rsidRPr="009F7615" w:rsidRDefault="00D50AA7" w:rsidP="00D53B47">
            <w:pPr>
              <w:jc w:val="both"/>
              <w:rPr>
                <w:rFonts w:ascii="Arial" w:hAnsi="Arial" w:cs="Arial"/>
                <w:sz w:val="18"/>
                <w:szCs w:val="18"/>
              </w:rPr>
            </w:pPr>
          </w:p>
        </w:tc>
      </w:tr>
      <w:tr w:rsidR="00D50AA7" w:rsidRPr="009872F3" w14:paraId="553B868D" w14:textId="77777777" w:rsidTr="000E411C">
        <w:tc>
          <w:tcPr>
            <w:tcW w:w="5780" w:type="dxa"/>
            <w:gridSpan w:val="3"/>
          </w:tcPr>
          <w:p w14:paraId="614BCA99" w14:textId="77777777" w:rsidR="00D50AA7" w:rsidRPr="00CB3EE6" w:rsidRDefault="00D50AA7" w:rsidP="00D53B47">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734" w:type="dxa"/>
          </w:tcPr>
          <w:p w14:paraId="33A8290C" w14:textId="77777777" w:rsidR="00D50AA7" w:rsidRPr="00C3479D" w:rsidRDefault="00D50AA7" w:rsidP="00D53B47">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50AA7" w:rsidRPr="009872F3" w14:paraId="57A45F06" w14:textId="77777777" w:rsidTr="000E411C">
        <w:tc>
          <w:tcPr>
            <w:tcW w:w="5780" w:type="dxa"/>
            <w:gridSpan w:val="3"/>
          </w:tcPr>
          <w:p w14:paraId="67A5BD37" w14:textId="77777777" w:rsidR="00D50AA7" w:rsidRPr="009872F3" w:rsidRDefault="00D50AA7" w:rsidP="00D53B47">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734" w:type="dxa"/>
          </w:tcPr>
          <w:p w14:paraId="5C58D9B2" w14:textId="77777777" w:rsidR="00D50AA7" w:rsidRPr="00E109DF" w:rsidRDefault="00D50AA7" w:rsidP="00D53B47">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50AA7" w:rsidRPr="009872F3" w14:paraId="063586A7" w14:textId="77777777" w:rsidTr="000E411C">
        <w:tc>
          <w:tcPr>
            <w:tcW w:w="5780" w:type="dxa"/>
            <w:gridSpan w:val="3"/>
          </w:tcPr>
          <w:p w14:paraId="57DE4F75" w14:textId="77777777" w:rsidR="00D50AA7" w:rsidRDefault="00D50AA7" w:rsidP="00D53B47">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734" w:type="dxa"/>
          </w:tcPr>
          <w:p w14:paraId="069B1306" w14:textId="77777777" w:rsidR="00D50AA7" w:rsidRPr="00E109DF" w:rsidRDefault="00D50AA7" w:rsidP="00D53B47">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0E411C" w:rsidRPr="009872F3" w14:paraId="4E0F0E94" w14:textId="77777777" w:rsidTr="00D53B47">
        <w:tc>
          <w:tcPr>
            <w:tcW w:w="9514" w:type="dxa"/>
            <w:gridSpan w:val="4"/>
          </w:tcPr>
          <w:p w14:paraId="37F1B08E" w14:textId="77777777" w:rsidR="000E411C" w:rsidRPr="00C3479D" w:rsidRDefault="000E411C" w:rsidP="00D53B47">
            <w:pPr>
              <w:jc w:val="both"/>
              <w:rPr>
                <w:rFonts w:ascii="Arial" w:hAnsi="Arial" w:cs="Arial"/>
                <w:i/>
                <w:sz w:val="18"/>
                <w:szCs w:val="18"/>
                <w:highlight w:val="yellow"/>
              </w:rPr>
            </w:pPr>
          </w:p>
        </w:tc>
      </w:tr>
      <w:tr w:rsidR="000E411C" w:rsidRPr="009872F3" w14:paraId="3CB1EEF8" w14:textId="77777777" w:rsidTr="00B42A2D">
        <w:tc>
          <w:tcPr>
            <w:tcW w:w="9514" w:type="dxa"/>
            <w:gridSpan w:val="4"/>
          </w:tcPr>
          <w:p w14:paraId="731EC2B4" w14:textId="77777777" w:rsidR="000E411C" w:rsidRDefault="000E411C" w:rsidP="00D53B47">
            <w:pPr>
              <w:jc w:val="both"/>
              <w:rPr>
                <w:rFonts w:ascii="Arial" w:hAnsi="Arial" w:cs="Arial"/>
                <w:sz w:val="18"/>
                <w:szCs w:val="18"/>
              </w:rPr>
            </w:pPr>
            <w:r>
              <w:rPr>
                <w:rFonts w:ascii="Arial" w:hAnsi="Arial" w:cs="Arial"/>
                <w:sz w:val="18"/>
                <w:szCs w:val="18"/>
              </w:rPr>
              <w:t>Auflistung der durchgeführten Prüfungshandlungen:</w:t>
            </w:r>
          </w:p>
          <w:p w14:paraId="7E206AE6" w14:textId="77777777" w:rsidR="000E411C" w:rsidRPr="00AB459F" w:rsidRDefault="000E411C" w:rsidP="00D53B47">
            <w:pPr>
              <w:pStyle w:val="Listenabsatz"/>
              <w:numPr>
                <w:ilvl w:val="0"/>
                <w:numId w:val="43"/>
              </w:numPr>
              <w:jc w:val="both"/>
              <w:rPr>
                <w:rFonts w:cs="Arial"/>
                <w:i/>
                <w:sz w:val="18"/>
                <w:szCs w:val="18"/>
                <w:highlight w:val="yellow"/>
              </w:rPr>
            </w:pPr>
          </w:p>
        </w:tc>
      </w:tr>
    </w:tbl>
    <w:p w14:paraId="4E7B745B" w14:textId="77777777" w:rsidR="00D50AA7" w:rsidRDefault="00D50AA7" w:rsidP="00D50AA7">
      <w:pPr>
        <w:jc w:val="both"/>
      </w:pPr>
    </w:p>
    <w:tbl>
      <w:tblPr>
        <w:tblStyle w:val="Tabellenraster"/>
        <w:tblW w:w="9740" w:type="dxa"/>
        <w:tblLayout w:type="fixed"/>
        <w:tblLook w:val="04A0" w:firstRow="1" w:lastRow="0" w:firstColumn="1" w:lastColumn="0" w:noHBand="0" w:noVBand="1"/>
      </w:tblPr>
      <w:tblGrid>
        <w:gridCol w:w="1668"/>
        <w:gridCol w:w="5313"/>
        <w:gridCol w:w="2759"/>
      </w:tblGrid>
      <w:tr w:rsidR="00D50AA7" w:rsidRPr="00CE3194" w14:paraId="2184590E" w14:textId="77777777" w:rsidTr="00D50AA7">
        <w:tc>
          <w:tcPr>
            <w:tcW w:w="1668" w:type="dxa"/>
          </w:tcPr>
          <w:p w14:paraId="712BB008" w14:textId="77777777" w:rsidR="00D50AA7" w:rsidRPr="00CE3194" w:rsidRDefault="00D50AA7" w:rsidP="00D53B47">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340D0F1B" w14:textId="77777777" w:rsidR="00D50AA7" w:rsidRPr="00CE3194" w:rsidRDefault="00D50AA7" w:rsidP="00D53B47">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74093D5F" w14:textId="77777777" w:rsidR="00D50AA7" w:rsidRDefault="00D50AA7" w:rsidP="00D53B47">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50AA7" w:rsidRPr="00CE3194" w14:paraId="1C7D89E6" w14:textId="77777777" w:rsidTr="00D50AA7">
        <w:tc>
          <w:tcPr>
            <w:tcW w:w="1668" w:type="dxa"/>
          </w:tcPr>
          <w:p w14:paraId="1451A979" w14:textId="77777777" w:rsidR="00D50AA7" w:rsidRDefault="00D50AA7" w:rsidP="00D53B47">
            <w:pPr>
              <w:jc w:val="both"/>
              <w:rPr>
                <w:rFonts w:ascii="Arial" w:hAnsi="Arial" w:cs="Arial"/>
                <w:i/>
                <w:sz w:val="20"/>
                <w:szCs w:val="20"/>
                <w:highlight w:val="lightGray"/>
              </w:rPr>
            </w:pPr>
            <w:r w:rsidRPr="00B42A2D">
              <w:rPr>
                <w:rFonts w:ascii="Arial" w:hAnsi="Arial" w:cs="Arial"/>
                <w:i/>
                <w:sz w:val="20"/>
                <w:szCs w:val="20"/>
                <w:highlight w:val="lightGray"/>
              </w:rPr>
              <w:t>Wiederverwendung* von verwahrten Vermögenswerten</w:t>
            </w:r>
          </w:p>
          <w:p w14:paraId="607AC758" w14:textId="77777777" w:rsidR="00D50AA7" w:rsidRDefault="00D50AA7" w:rsidP="00D53B47">
            <w:pPr>
              <w:jc w:val="both"/>
              <w:rPr>
                <w:rFonts w:ascii="Arial" w:hAnsi="Arial" w:cs="Arial"/>
                <w:i/>
                <w:sz w:val="20"/>
                <w:szCs w:val="20"/>
                <w:highlight w:val="lightGray"/>
              </w:rPr>
            </w:pPr>
          </w:p>
          <w:p w14:paraId="727C2730" w14:textId="77777777" w:rsidR="00D50AA7" w:rsidRPr="00B42A2D" w:rsidRDefault="00D50AA7" w:rsidP="00D53B47">
            <w:pPr>
              <w:jc w:val="both"/>
              <w:rPr>
                <w:rFonts w:ascii="Arial" w:hAnsi="Arial" w:cs="Arial"/>
                <w:sz w:val="16"/>
                <w:szCs w:val="16"/>
                <w:highlight w:val="lightGray"/>
              </w:rPr>
            </w:pPr>
            <w:r w:rsidRPr="00B42A2D">
              <w:rPr>
                <w:rFonts w:ascii="Arial" w:hAnsi="Arial" w:cs="Arial"/>
                <w:sz w:val="16"/>
                <w:szCs w:val="16"/>
                <w:highlight w:val="lightGray"/>
              </w:rPr>
              <w:t xml:space="preserve">(Gesetzliche Grundlagen (demonstrativ, nicht abschliessend): </w:t>
            </w:r>
          </w:p>
          <w:p w14:paraId="11DF412E" w14:textId="77777777" w:rsidR="00D50AA7" w:rsidRPr="00B42A2D" w:rsidRDefault="00D50AA7" w:rsidP="00D53B47">
            <w:pPr>
              <w:jc w:val="both"/>
              <w:rPr>
                <w:rFonts w:ascii="Arial" w:hAnsi="Arial" w:cs="Arial"/>
                <w:sz w:val="16"/>
                <w:szCs w:val="16"/>
                <w:highlight w:val="lightGray"/>
              </w:rPr>
            </w:pPr>
          </w:p>
          <w:p w14:paraId="201582B9" w14:textId="77777777" w:rsidR="00D50AA7" w:rsidRDefault="00D50AA7" w:rsidP="00D53B47">
            <w:pPr>
              <w:jc w:val="both"/>
              <w:rPr>
                <w:rFonts w:ascii="Arial" w:hAnsi="Arial" w:cs="Arial"/>
                <w:sz w:val="16"/>
                <w:szCs w:val="16"/>
                <w:highlight w:val="lightGray"/>
              </w:rPr>
            </w:pPr>
            <w:r w:rsidRPr="00B42A2D">
              <w:rPr>
                <w:rFonts w:ascii="Arial" w:hAnsi="Arial" w:cs="Arial"/>
                <w:sz w:val="16"/>
                <w:szCs w:val="16"/>
                <w:highlight w:val="lightGray"/>
              </w:rPr>
              <w:t xml:space="preserve">Art. 32 IUV; Art. 33 Abs. 5 und 6 UCITSG; Art. 70 Abs. 2 UCITSV; </w:t>
            </w:r>
            <w:proofErr w:type="spellStart"/>
            <w:r w:rsidRPr="00B42A2D">
              <w:rPr>
                <w:rFonts w:ascii="Arial" w:hAnsi="Arial" w:cs="Arial"/>
                <w:sz w:val="16"/>
                <w:szCs w:val="16"/>
                <w:highlight w:val="lightGray"/>
              </w:rPr>
              <w:t>DelVO</w:t>
            </w:r>
            <w:proofErr w:type="spellEnd"/>
            <w:r w:rsidRPr="00B42A2D">
              <w:rPr>
                <w:rFonts w:ascii="Arial" w:hAnsi="Arial" w:cs="Arial"/>
                <w:sz w:val="16"/>
                <w:szCs w:val="16"/>
                <w:highlight w:val="lightGray"/>
              </w:rPr>
              <w:t xml:space="preserve"> (EU) Nr. 231/2013 Art. 97; ESMA/2012/832EN Abschnitt X., FMA-Mitteilung 2018/1)</w:t>
            </w:r>
          </w:p>
          <w:p w14:paraId="0C8CAD47" w14:textId="77777777" w:rsidR="00D53B47" w:rsidRDefault="00D53B47" w:rsidP="00D53B47">
            <w:pPr>
              <w:jc w:val="both"/>
              <w:rPr>
                <w:rFonts w:ascii="Arial" w:hAnsi="Arial" w:cs="Arial"/>
                <w:i/>
                <w:sz w:val="20"/>
                <w:szCs w:val="20"/>
                <w:highlight w:val="lightGray"/>
              </w:rPr>
            </w:pPr>
          </w:p>
          <w:p w14:paraId="53AE459C" w14:textId="77777777" w:rsidR="00D53B47" w:rsidRPr="00B42A2D" w:rsidRDefault="00D53B47" w:rsidP="00D53B47">
            <w:pPr>
              <w:jc w:val="both"/>
              <w:rPr>
                <w:rFonts w:ascii="Arial" w:hAnsi="Arial" w:cs="Arial"/>
                <w:i/>
                <w:sz w:val="16"/>
                <w:szCs w:val="16"/>
              </w:rPr>
            </w:pPr>
            <w:r w:rsidRPr="00B42A2D">
              <w:rPr>
                <w:rFonts w:ascii="Arial" w:hAnsi="Arial" w:cs="Arial"/>
                <w:i/>
                <w:sz w:val="16"/>
                <w:szCs w:val="16"/>
                <w:highlight w:val="lightGray"/>
              </w:rPr>
              <w:t>*Als Wiederverwendung gilt jede Transaktion verwahrter Vermögenswerte, darunter Übertragung, Verpfändung, Verkauf und Leihe.</w:t>
            </w:r>
            <w:r w:rsidRPr="00B42A2D">
              <w:rPr>
                <w:rFonts w:ascii="Arial" w:hAnsi="Arial" w:cs="Arial"/>
                <w:i/>
                <w:sz w:val="16"/>
                <w:szCs w:val="16"/>
              </w:rPr>
              <w:t xml:space="preserve"> </w:t>
            </w:r>
          </w:p>
          <w:p w14:paraId="355A79B3" w14:textId="77777777" w:rsidR="00D53B47" w:rsidRDefault="00D53B47" w:rsidP="00D53B47">
            <w:pPr>
              <w:jc w:val="both"/>
              <w:rPr>
                <w:rFonts w:ascii="Arial" w:hAnsi="Arial" w:cs="Arial"/>
                <w:i/>
                <w:sz w:val="20"/>
                <w:szCs w:val="20"/>
                <w:highlight w:val="lightGray"/>
              </w:rPr>
            </w:pPr>
          </w:p>
          <w:p w14:paraId="6D592528" w14:textId="0BE04241" w:rsidR="00D53B47" w:rsidRPr="005905B2" w:rsidRDefault="00D53B47" w:rsidP="00D53B47">
            <w:pPr>
              <w:jc w:val="both"/>
              <w:rPr>
                <w:rFonts w:ascii="Arial" w:hAnsi="Arial" w:cs="Arial"/>
                <w:i/>
                <w:sz w:val="20"/>
                <w:szCs w:val="20"/>
                <w:highlight w:val="lightGray"/>
              </w:rPr>
            </w:pPr>
          </w:p>
        </w:tc>
        <w:tc>
          <w:tcPr>
            <w:tcW w:w="5313" w:type="dxa"/>
          </w:tcPr>
          <w:p w14:paraId="517D5AFC" w14:textId="77777777" w:rsidR="00D50AA7" w:rsidRPr="00574814" w:rsidRDefault="00D50AA7" w:rsidP="00D50AA7">
            <w:pPr>
              <w:pStyle w:val="Listenabsatz"/>
              <w:numPr>
                <w:ilvl w:val="1"/>
                <w:numId w:val="17"/>
              </w:numPr>
              <w:ind w:left="317" w:hanging="283"/>
              <w:jc w:val="both"/>
              <w:rPr>
                <w:rFonts w:cs="Arial"/>
                <w:i/>
                <w:szCs w:val="20"/>
                <w:highlight w:val="lightGray"/>
              </w:rPr>
            </w:pPr>
            <w:r w:rsidRPr="00574814">
              <w:rPr>
                <w:rFonts w:cs="Arial"/>
                <w:i/>
                <w:szCs w:val="20"/>
                <w:highlight w:val="lightGray"/>
              </w:rPr>
              <w:t xml:space="preserve">Die internen Verfahren stellen sicher, dass die Wiederverwendung von verwahrten Vermögenswerten nicht für die eigene Rechnung erfolgt. </w:t>
            </w:r>
          </w:p>
          <w:p w14:paraId="51185EF8" w14:textId="77777777" w:rsidR="00D50AA7" w:rsidRPr="00574814" w:rsidRDefault="00D50AA7" w:rsidP="00D50AA7">
            <w:pPr>
              <w:pStyle w:val="Listenabsatz"/>
              <w:numPr>
                <w:ilvl w:val="1"/>
                <w:numId w:val="17"/>
              </w:numPr>
              <w:ind w:left="317" w:hanging="283"/>
              <w:jc w:val="both"/>
              <w:rPr>
                <w:rFonts w:cs="Arial"/>
                <w:i/>
                <w:szCs w:val="20"/>
                <w:highlight w:val="lightGray"/>
              </w:rPr>
            </w:pPr>
            <w:r w:rsidRPr="00574814">
              <w:rPr>
                <w:rFonts w:cs="Arial"/>
                <w:i/>
                <w:szCs w:val="20"/>
                <w:highlight w:val="lightGray"/>
              </w:rPr>
              <w:t>Die internen Verfahren stellen sicher, dass die massgebenden Gesetzesbestimmungen und Regelungen in den konstituierenden Dokumenten bzgl. Wiederverwendung von Vermögenswerten (u.a. Wertschriftenleihe und Pensionsgeschäft) eingehalten wurden (u.a. gem</w:t>
            </w:r>
            <w:r>
              <w:rPr>
                <w:rFonts w:cs="Arial"/>
                <w:i/>
                <w:szCs w:val="20"/>
                <w:highlight w:val="lightGray"/>
              </w:rPr>
              <w:t>äss</w:t>
            </w:r>
            <w:r w:rsidRPr="00574814">
              <w:rPr>
                <w:rFonts w:cs="Arial"/>
                <w:i/>
                <w:szCs w:val="20"/>
                <w:highlight w:val="lightGray"/>
              </w:rPr>
              <w:t xml:space="preserve"> Art. 33 Abs. 6 UCITSG auf Rechnung des Fonds erfolgt; Wiederverwendung im Interesse der Anteilinhaber liegt und dem Fonds zugutekommt; Transaktion durch angemessen hohe liquide Sicherheiten von hoher Qualität gedeckt sind, die mittels Vollrechtsübertragung erhalten wurden)</w:t>
            </w:r>
            <w:r>
              <w:rPr>
                <w:rFonts w:cs="Arial"/>
                <w:i/>
                <w:szCs w:val="20"/>
                <w:highlight w:val="lightGray"/>
              </w:rPr>
              <w:t>.</w:t>
            </w:r>
          </w:p>
          <w:p w14:paraId="31955271" w14:textId="77777777" w:rsidR="00D50AA7" w:rsidRDefault="00D50AA7" w:rsidP="00D50AA7">
            <w:pPr>
              <w:pStyle w:val="Listenabsatz"/>
              <w:ind w:left="317"/>
              <w:jc w:val="both"/>
              <w:rPr>
                <w:rFonts w:cs="Arial"/>
                <w:i/>
                <w:szCs w:val="20"/>
                <w:highlight w:val="lightGray"/>
              </w:rPr>
            </w:pPr>
          </w:p>
          <w:p w14:paraId="4024356B" w14:textId="7DB55BF2" w:rsidR="000E411C" w:rsidRPr="005905B2" w:rsidRDefault="000E411C" w:rsidP="00B42A2D">
            <w:pPr>
              <w:jc w:val="both"/>
              <w:rPr>
                <w:rFonts w:cs="Arial"/>
                <w:i/>
                <w:szCs w:val="20"/>
                <w:highlight w:val="lightGray"/>
              </w:rPr>
            </w:pPr>
          </w:p>
        </w:tc>
        <w:tc>
          <w:tcPr>
            <w:tcW w:w="2759" w:type="dxa"/>
          </w:tcPr>
          <w:p w14:paraId="19C887A7" w14:textId="77777777" w:rsidR="00D50AA7" w:rsidRDefault="00D50AA7" w:rsidP="00D53B4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verwahrten Vermögenswerte nicht für die eigene Rechnung wiederverwendet werden</w:t>
            </w:r>
          </w:p>
          <w:p w14:paraId="60847181" w14:textId="475F40E4" w:rsidR="00D50AA7" w:rsidRPr="000C756C" w:rsidRDefault="00D50AA7" w:rsidP="00D53B47">
            <w:pPr>
              <w:pStyle w:val="Listenabsatz"/>
              <w:numPr>
                <w:ilvl w:val="1"/>
                <w:numId w:val="17"/>
              </w:numPr>
              <w:ind w:left="317" w:hanging="283"/>
              <w:jc w:val="both"/>
              <w:rPr>
                <w:rFonts w:cs="Arial"/>
                <w:i/>
                <w:szCs w:val="20"/>
                <w:highlight w:val="lightGray"/>
              </w:rPr>
            </w:pPr>
            <w:r w:rsidRPr="00255340">
              <w:rPr>
                <w:rFonts w:cs="Arial"/>
                <w:i/>
                <w:szCs w:val="20"/>
                <w:highlight w:val="lightGray"/>
              </w:rPr>
              <w:t xml:space="preserve">Bestätigung, dass die internen </w:t>
            </w:r>
            <w:r w:rsidRPr="00B42A2D">
              <w:rPr>
                <w:rFonts w:cs="Arial"/>
                <w:i/>
                <w:szCs w:val="20"/>
                <w:highlight w:val="lightGray"/>
              </w:rPr>
              <w:t>Verfahren sicherstellen, dass die Wiederverwendung von den Vermögenswerten den zugrundeliegenden massgebenden Gesetzesbestimmungen und konstituierenden Dokumenten entspricht</w:t>
            </w:r>
          </w:p>
          <w:p w14:paraId="54034511" w14:textId="77777777" w:rsidR="00D50AA7" w:rsidRPr="000C756C" w:rsidRDefault="00D50AA7" w:rsidP="00D53B47">
            <w:pPr>
              <w:pStyle w:val="Listenabsatz"/>
              <w:ind w:left="1440"/>
              <w:jc w:val="both"/>
              <w:rPr>
                <w:rFonts w:cs="Arial"/>
                <w:i/>
                <w:szCs w:val="20"/>
                <w:highlight w:val="lightGray"/>
              </w:rPr>
            </w:pPr>
          </w:p>
        </w:tc>
      </w:tr>
      <w:tr w:rsidR="00D50AA7" w:rsidRPr="00CE3194" w14:paraId="10808333" w14:textId="77777777" w:rsidTr="00D50AA7">
        <w:tc>
          <w:tcPr>
            <w:tcW w:w="1668" w:type="dxa"/>
          </w:tcPr>
          <w:p w14:paraId="72761E4D" w14:textId="784647FD" w:rsidR="00D50AA7" w:rsidRDefault="00D50AA7" w:rsidP="00D50AA7">
            <w:pPr>
              <w:jc w:val="both"/>
              <w:rPr>
                <w:rFonts w:ascii="Arial" w:hAnsi="Arial" w:cs="Arial"/>
                <w:i/>
                <w:sz w:val="20"/>
                <w:szCs w:val="20"/>
                <w:highlight w:val="lightGray"/>
              </w:rPr>
            </w:pPr>
            <w:r>
              <w:rPr>
                <w:rFonts w:ascii="Arial" w:hAnsi="Arial" w:cs="Arial"/>
                <w:i/>
                <w:sz w:val="20"/>
                <w:szCs w:val="20"/>
                <w:highlight w:val="lightGray"/>
              </w:rPr>
              <w:t xml:space="preserve">Aufgaben der Verwahrstelle in Zusammenhang mit der Abwicklung von </w:t>
            </w:r>
            <w:r>
              <w:rPr>
                <w:rFonts w:ascii="Arial" w:hAnsi="Arial" w:cs="Arial"/>
                <w:i/>
                <w:sz w:val="20"/>
                <w:szCs w:val="20"/>
                <w:highlight w:val="lightGray"/>
              </w:rPr>
              <w:lastRenderedPageBreak/>
              <w:t>Wertpapierleihgeschäften und Pensionsgeschäften</w:t>
            </w:r>
          </w:p>
          <w:p w14:paraId="3B44AF92" w14:textId="551034DA" w:rsidR="00D50AA7" w:rsidRDefault="00D50AA7" w:rsidP="00D50AA7">
            <w:pPr>
              <w:jc w:val="both"/>
              <w:rPr>
                <w:rFonts w:ascii="Arial" w:hAnsi="Arial" w:cs="Arial"/>
                <w:i/>
                <w:sz w:val="20"/>
                <w:szCs w:val="20"/>
                <w:highlight w:val="lightGray"/>
              </w:rPr>
            </w:pPr>
          </w:p>
          <w:p w14:paraId="6683BFA1" w14:textId="77777777" w:rsidR="00D50AA7" w:rsidRPr="00646FE1" w:rsidRDefault="00D50AA7" w:rsidP="00D50AA7">
            <w:pPr>
              <w:jc w:val="both"/>
              <w:rPr>
                <w:rFonts w:ascii="Arial" w:hAnsi="Arial" w:cs="Arial"/>
                <w:sz w:val="16"/>
                <w:szCs w:val="16"/>
                <w:highlight w:val="lightGray"/>
              </w:rPr>
            </w:pPr>
            <w:r w:rsidRPr="00646FE1">
              <w:rPr>
                <w:rFonts w:ascii="Arial" w:hAnsi="Arial" w:cs="Arial"/>
                <w:sz w:val="16"/>
                <w:szCs w:val="16"/>
                <w:highlight w:val="lightGray"/>
              </w:rPr>
              <w:t xml:space="preserve">(Gesetzliche Grundlagen (demonstrativ, nicht abschliessend): </w:t>
            </w:r>
          </w:p>
          <w:p w14:paraId="675B638B" w14:textId="77777777" w:rsidR="00D50AA7" w:rsidRPr="00646FE1" w:rsidRDefault="00D50AA7" w:rsidP="00D50AA7">
            <w:pPr>
              <w:jc w:val="both"/>
              <w:rPr>
                <w:rFonts w:ascii="Arial" w:hAnsi="Arial" w:cs="Arial"/>
                <w:sz w:val="16"/>
                <w:szCs w:val="16"/>
                <w:highlight w:val="lightGray"/>
              </w:rPr>
            </w:pPr>
          </w:p>
          <w:p w14:paraId="69C86D9A" w14:textId="3806C674" w:rsidR="00D50AA7" w:rsidRDefault="00D50AA7" w:rsidP="00D50AA7">
            <w:pPr>
              <w:jc w:val="both"/>
              <w:rPr>
                <w:rFonts w:ascii="Arial" w:hAnsi="Arial" w:cs="Arial"/>
                <w:i/>
                <w:sz w:val="20"/>
                <w:szCs w:val="20"/>
                <w:highlight w:val="lightGray"/>
              </w:rPr>
            </w:pPr>
            <w:r w:rsidRPr="00646FE1">
              <w:rPr>
                <w:rFonts w:ascii="Arial" w:hAnsi="Arial" w:cs="Arial"/>
                <w:sz w:val="16"/>
                <w:szCs w:val="16"/>
                <w:highlight w:val="lightGray"/>
              </w:rPr>
              <w:t xml:space="preserve">Art. 32 IUV; Art. 33 Abs. 5 und 6 UCITSG; Art. 70 Abs. 2 UCITSV; </w:t>
            </w:r>
            <w:proofErr w:type="spellStart"/>
            <w:r w:rsidRPr="00646FE1">
              <w:rPr>
                <w:rFonts w:ascii="Arial" w:hAnsi="Arial" w:cs="Arial"/>
                <w:sz w:val="16"/>
                <w:szCs w:val="16"/>
                <w:highlight w:val="lightGray"/>
              </w:rPr>
              <w:t>DelVO</w:t>
            </w:r>
            <w:proofErr w:type="spellEnd"/>
            <w:r w:rsidRPr="00646FE1">
              <w:rPr>
                <w:rFonts w:ascii="Arial" w:hAnsi="Arial" w:cs="Arial"/>
                <w:sz w:val="16"/>
                <w:szCs w:val="16"/>
                <w:highlight w:val="lightGray"/>
              </w:rPr>
              <w:t xml:space="preserve"> (EU) Nr. 231/2013 Art. 97; ESMA/2012/832EN Abschnitt X., FMA-Mitteilung 2018/1)</w:t>
            </w:r>
          </w:p>
          <w:p w14:paraId="0D09C6B9" w14:textId="77777777" w:rsidR="00D50AA7" w:rsidRDefault="00D50AA7" w:rsidP="00D50AA7">
            <w:pPr>
              <w:jc w:val="both"/>
              <w:rPr>
                <w:rFonts w:ascii="Arial" w:hAnsi="Arial" w:cs="Arial"/>
                <w:i/>
                <w:sz w:val="20"/>
                <w:szCs w:val="20"/>
                <w:highlight w:val="lightGray"/>
              </w:rPr>
            </w:pPr>
          </w:p>
          <w:p w14:paraId="740BCD09" w14:textId="77777777" w:rsidR="00D53B47" w:rsidRPr="00574814" w:rsidRDefault="00D53B47" w:rsidP="00D53B47">
            <w:pPr>
              <w:jc w:val="both"/>
              <w:rPr>
                <w:rFonts w:ascii="Arial" w:hAnsi="Arial" w:cs="Arial"/>
                <w:sz w:val="16"/>
                <w:szCs w:val="16"/>
              </w:rPr>
            </w:pPr>
            <w:r w:rsidRPr="00B42A2D">
              <w:rPr>
                <w:rFonts w:ascii="Arial" w:hAnsi="Arial" w:cs="Arial"/>
                <w:sz w:val="16"/>
                <w:szCs w:val="16"/>
                <w:highlight w:val="lightGray"/>
              </w:rPr>
              <w:t>*Als Wiederverwendung gilt jede Transaktion verwahrter Vermögenswerte, darunter Übertragung, Verpfändung, Verkauf und Leihe.</w:t>
            </w:r>
            <w:r w:rsidRPr="00574814">
              <w:rPr>
                <w:rFonts w:ascii="Arial" w:hAnsi="Arial" w:cs="Arial"/>
                <w:sz w:val="16"/>
                <w:szCs w:val="16"/>
              </w:rPr>
              <w:t xml:space="preserve"> </w:t>
            </w:r>
          </w:p>
          <w:p w14:paraId="1720058A" w14:textId="387574AC" w:rsidR="00D50AA7" w:rsidRDefault="00D50AA7" w:rsidP="00D50AA7">
            <w:pPr>
              <w:jc w:val="both"/>
              <w:rPr>
                <w:rFonts w:ascii="Arial" w:hAnsi="Arial" w:cs="Arial"/>
                <w:i/>
                <w:sz w:val="20"/>
                <w:szCs w:val="20"/>
                <w:highlight w:val="lightGray"/>
              </w:rPr>
            </w:pPr>
          </w:p>
        </w:tc>
        <w:tc>
          <w:tcPr>
            <w:tcW w:w="5313" w:type="dxa"/>
          </w:tcPr>
          <w:p w14:paraId="7D9D221D" w14:textId="77777777" w:rsidR="00D50AA7" w:rsidRDefault="00D50AA7" w:rsidP="00D50AA7">
            <w:pPr>
              <w:pStyle w:val="Listenabsatz"/>
              <w:numPr>
                <w:ilvl w:val="1"/>
                <w:numId w:val="17"/>
              </w:numPr>
              <w:ind w:left="317" w:hanging="283"/>
              <w:jc w:val="both"/>
              <w:rPr>
                <w:rFonts w:cs="Arial"/>
                <w:i/>
                <w:szCs w:val="20"/>
                <w:highlight w:val="lightGray"/>
              </w:rPr>
            </w:pPr>
            <w:r w:rsidRPr="00574814">
              <w:rPr>
                <w:rFonts w:cs="Arial"/>
                <w:i/>
                <w:szCs w:val="20"/>
                <w:highlight w:val="lightGray"/>
              </w:rPr>
              <w:lastRenderedPageBreak/>
              <w:t xml:space="preserve">Die internen Verfahren stellen sicher, dass eine angemessene Organisationsstruktur und notwendiges </w:t>
            </w:r>
            <w:r>
              <w:rPr>
                <w:rFonts w:cs="Arial"/>
                <w:i/>
                <w:szCs w:val="20"/>
                <w:highlight w:val="lightGray"/>
              </w:rPr>
              <w:t>Fachwissen</w:t>
            </w:r>
            <w:r w:rsidRPr="00574814">
              <w:rPr>
                <w:rFonts w:cs="Arial"/>
                <w:i/>
                <w:szCs w:val="20"/>
                <w:highlight w:val="lightGray"/>
              </w:rPr>
              <w:t xml:space="preserve"> innerhalb der Verwahrstelle vorliegt um die Wiederverwendung von verwahrten Vermögenswerten</w:t>
            </w:r>
            <w:r>
              <w:rPr>
                <w:rFonts w:cs="Arial"/>
                <w:i/>
                <w:szCs w:val="20"/>
                <w:highlight w:val="lightGray"/>
              </w:rPr>
              <w:t xml:space="preserve"> sicher markt- und vertragskonform abzuwickeln </w:t>
            </w:r>
          </w:p>
          <w:p w14:paraId="1032AED8"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w:t>
            </w:r>
            <w:r w:rsidRPr="00646FE1">
              <w:rPr>
                <w:rFonts w:cs="Arial"/>
                <w:i/>
                <w:szCs w:val="20"/>
                <w:highlight w:val="lightGray"/>
              </w:rPr>
              <w:t>ie internen Verfahren</w:t>
            </w:r>
            <w:r>
              <w:rPr>
                <w:rFonts w:cs="Arial"/>
                <w:i/>
                <w:szCs w:val="20"/>
                <w:highlight w:val="lightGray"/>
              </w:rPr>
              <w:t xml:space="preserve"> stellen</w:t>
            </w:r>
            <w:r w:rsidRPr="00646FE1">
              <w:rPr>
                <w:rFonts w:cs="Arial"/>
                <w:i/>
                <w:szCs w:val="20"/>
                <w:highlight w:val="lightGray"/>
              </w:rPr>
              <w:t xml:space="preserve"> sicher, dass die Abwicklung von Wertpapierleihgeschäften und Pensionsgeschäften markt- und vertragskonform getätigt wird und im Falle einer Detailprüfung effektiv angewandt wird.</w:t>
            </w:r>
          </w:p>
          <w:p w14:paraId="036A5523"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D</w:t>
            </w:r>
            <w:r w:rsidRPr="00646FE1">
              <w:rPr>
                <w:rFonts w:cs="Arial"/>
                <w:i/>
                <w:szCs w:val="20"/>
                <w:highlight w:val="lightGray"/>
              </w:rPr>
              <w:t xml:space="preserve">ie internen Verfahren </w:t>
            </w:r>
            <w:r>
              <w:rPr>
                <w:rFonts w:cs="Arial"/>
                <w:i/>
                <w:szCs w:val="20"/>
                <w:highlight w:val="lightGray"/>
              </w:rPr>
              <w:t xml:space="preserve">stellen </w:t>
            </w:r>
            <w:r w:rsidRPr="00646FE1">
              <w:rPr>
                <w:rFonts w:cs="Arial"/>
                <w:i/>
                <w:szCs w:val="20"/>
                <w:highlight w:val="lightGray"/>
              </w:rPr>
              <w:t>sicher, dass die Abwicklung von Wertpapierleihgeschäften und Pensionsgeschäften angemessen überwacht wird und im Falle einer Detailprüfung effektiv angewandt wird.</w:t>
            </w:r>
          </w:p>
          <w:p w14:paraId="1F9F4D25"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die Verwaltungsgesellschaft regelmässig über die eingegangene Wiederverwendung von Vermögenswerten informiert wird.</w:t>
            </w:r>
          </w:p>
          <w:p w14:paraId="2381540A" w14:textId="77777777" w:rsidR="000E411C" w:rsidRDefault="000E411C" w:rsidP="000E411C">
            <w:pPr>
              <w:jc w:val="both"/>
              <w:rPr>
                <w:rFonts w:cs="Arial"/>
                <w:i/>
                <w:szCs w:val="20"/>
                <w:highlight w:val="lightGray"/>
              </w:rPr>
            </w:pPr>
          </w:p>
          <w:p w14:paraId="124AEE6F" w14:textId="122B55A5" w:rsidR="000E411C" w:rsidRPr="00B42A2D" w:rsidRDefault="000E411C" w:rsidP="00B42A2D">
            <w:pPr>
              <w:jc w:val="both"/>
              <w:rPr>
                <w:rFonts w:cs="Arial"/>
                <w:i/>
                <w:szCs w:val="20"/>
                <w:highlight w:val="lightGray"/>
              </w:rPr>
            </w:pPr>
          </w:p>
        </w:tc>
        <w:tc>
          <w:tcPr>
            <w:tcW w:w="2759" w:type="dxa"/>
          </w:tcPr>
          <w:p w14:paraId="05BC282B"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lastRenderedPageBreak/>
              <w:t xml:space="preserve">Bestätigung, dass die Organisationsstruktur und die technischen und personellen Ressourcen angemessen ausgestaltet </w:t>
            </w:r>
            <w:r w:rsidRPr="00B42A2D">
              <w:rPr>
                <w:rFonts w:cs="Arial"/>
                <w:i/>
                <w:szCs w:val="20"/>
                <w:highlight w:val="lightGray"/>
              </w:rPr>
              <w:lastRenderedPageBreak/>
              <w:t>sind um die Wiederverwendung von Vermögenswerten (Wertpapierleihgeschäften, Pensionsgeschäfte) sicher markt- und vertragskonform abzuwickeln.</w:t>
            </w:r>
          </w:p>
          <w:p w14:paraId="12938F33"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Abwicklung von Wertpapierleihgeschäften und Pensionsgeschäften markt- und vertragskonform getätigt wird und im Falle einer Detailprüfung effektiv angewandt wird.</w:t>
            </w:r>
          </w:p>
          <w:p w14:paraId="5ED8C3C4"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Abwicklung von Wertpapierleihgeschäften und Pensionsgeschäften angemessen überwacht wird und im Falle einer Detailprüfung effektiv angewandt wird.</w:t>
            </w:r>
          </w:p>
          <w:p w14:paraId="1EA8F691"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Verwaltungsgesellschaft regelmässig über die eingegangene Wiederverwendung von Vermögenswerten (u.a. Wertschriftenleihe und Pensionsgeschäfte) informiert wird</w:t>
            </w:r>
          </w:p>
          <w:p w14:paraId="5FA9CF3F" w14:textId="70FC6B30" w:rsidR="00D50AA7" w:rsidRPr="000C756C" w:rsidRDefault="00D50AA7" w:rsidP="00B42A2D">
            <w:pPr>
              <w:pStyle w:val="Listenabsatz"/>
              <w:ind w:left="317"/>
              <w:jc w:val="both"/>
              <w:rPr>
                <w:rFonts w:cs="Arial"/>
                <w:i/>
                <w:szCs w:val="20"/>
                <w:highlight w:val="lightGray"/>
              </w:rPr>
            </w:pPr>
          </w:p>
        </w:tc>
      </w:tr>
      <w:tr w:rsidR="00D50AA7" w:rsidRPr="00CE3194" w14:paraId="67164DA4" w14:textId="77777777" w:rsidTr="00D50AA7">
        <w:tc>
          <w:tcPr>
            <w:tcW w:w="1668" w:type="dxa"/>
          </w:tcPr>
          <w:p w14:paraId="336BAF16" w14:textId="77777777" w:rsidR="00D50AA7" w:rsidRPr="00B42A2D" w:rsidRDefault="00D50AA7" w:rsidP="00D50AA7">
            <w:pPr>
              <w:jc w:val="both"/>
              <w:rPr>
                <w:rFonts w:ascii="Arial" w:hAnsi="Arial" w:cs="Arial"/>
                <w:sz w:val="16"/>
                <w:szCs w:val="16"/>
                <w:highlight w:val="lightGray"/>
              </w:rPr>
            </w:pPr>
            <w:r w:rsidRPr="00D50AA7">
              <w:rPr>
                <w:rFonts w:ascii="Arial" w:hAnsi="Arial" w:cs="Arial"/>
                <w:i/>
                <w:sz w:val="20"/>
                <w:szCs w:val="20"/>
                <w:highlight w:val="lightGray"/>
              </w:rPr>
              <w:lastRenderedPageBreak/>
              <w:t>Unterverwahrstellen</w:t>
            </w:r>
          </w:p>
          <w:p w14:paraId="4256A272" w14:textId="77777777" w:rsidR="00D50AA7" w:rsidRPr="00B42A2D" w:rsidRDefault="00D50AA7" w:rsidP="00D50AA7">
            <w:pPr>
              <w:jc w:val="both"/>
              <w:rPr>
                <w:rFonts w:ascii="Arial" w:hAnsi="Arial" w:cs="Arial"/>
                <w:sz w:val="16"/>
                <w:szCs w:val="16"/>
                <w:highlight w:val="lightGray"/>
              </w:rPr>
            </w:pPr>
          </w:p>
          <w:p w14:paraId="5F899D13" w14:textId="77777777" w:rsidR="00D50AA7" w:rsidRPr="00646FE1" w:rsidRDefault="00D50AA7" w:rsidP="00D50AA7">
            <w:pPr>
              <w:jc w:val="both"/>
              <w:rPr>
                <w:rFonts w:ascii="Arial" w:hAnsi="Arial" w:cs="Arial"/>
                <w:sz w:val="16"/>
                <w:szCs w:val="16"/>
                <w:highlight w:val="lightGray"/>
              </w:rPr>
            </w:pPr>
            <w:r w:rsidRPr="00646FE1">
              <w:rPr>
                <w:rFonts w:ascii="Arial" w:hAnsi="Arial" w:cs="Arial"/>
                <w:sz w:val="16"/>
                <w:szCs w:val="16"/>
                <w:highlight w:val="lightGray"/>
              </w:rPr>
              <w:t xml:space="preserve">(Gesetzliche Grundlagen (demonstrativ, nicht abschliessend): </w:t>
            </w:r>
          </w:p>
          <w:p w14:paraId="042FAED6" w14:textId="77777777" w:rsidR="00D50AA7" w:rsidRPr="00B42A2D" w:rsidRDefault="00D50AA7" w:rsidP="00D50AA7">
            <w:pPr>
              <w:jc w:val="both"/>
              <w:rPr>
                <w:rFonts w:ascii="Arial" w:hAnsi="Arial" w:cs="Arial"/>
                <w:sz w:val="16"/>
                <w:szCs w:val="16"/>
                <w:highlight w:val="lightGray"/>
              </w:rPr>
            </w:pPr>
          </w:p>
          <w:p w14:paraId="2D35F0CE" w14:textId="6E48A757" w:rsidR="00D50AA7" w:rsidRPr="00B42A2D" w:rsidRDefault="00D50AA7" w:rsidP="00D50AA7">
            <w:pPr>
              <w:jc w:val="both"/>
              <w:rPr>
                <w:rFonts w:ascii="Arial" w:hAnsi="Arial" w:cs="Arial"/>
                <w:sz w:val="16"/>
                <w:szCs w:val="16"/>
                <w:highlight w:val="lightGray"/>
              </w:rPr>
            </w:pPr>
            <w:r w:rsidRPr="00B42A2D">
              <w:rPr>
                <w:rFonts w:ascii="Arial" w:hAnsi="Arial" w:cs="Arial"/>
                <w:sz w:val="16"/>
                <w:szCs w:val="16"/>
                <w:highlight w:val="lightGray"/>
              </w:rPr>
              <w:t xml:space="preserve">Art. 43 Abs. 6 IUG; Art. 34 UCITSG; Art. 60 AIFMG; </w:t>
            </w:r>
            <w:proofErr w:type="spellStart"/>
            <w:r w:rsidRPr="00B42A2D">
              <w:rPr>
                <w:rFonts w:ascii="Arial" w:hAnsi="Arial" w:cs="Arial"/>
                <w:sz w:val="16"/>
                <w:szCs w:val="16"/>
                <w:highlight w:val="lightGray"/>
              </w:rPr>
              <w:t>DelVO</w:t>
            </w:r>
            <w:proofErr w:type="spellEnd"/>
            <w:r w:rsidRPr="00B42A2D">
              <w:rPr>
                <w:rFonts w:ascii="Arial" w:hAnsi="Arial" w:cs="Arial"/>
                <w:sz w:val="16"/>
                <w:szCs w:val="16"/>
                <w:highlight w:val="lightGray"/>
              </w:rPr>
              <w:t xml:space="preserve"> (EU) Nr. 2016/438 Art. 22 </w:t>
            </w:r>
            <w:proofErr w:type="spellStart"/>
            <w:r w:rsidRPr="00B42A2D">
              <w:rPr>
                <w:rFonts w:ascii="Arial" w:hAnsi="Arial" w:cs="Arial"/>
                <w:sz w:val="16"/>
                <w:szCs w:val="16"/>
                <w:highlight w:val="lightGray"/>
              </w:rPr>
              <w:t>iVm</w:t>
            </w:r>
            <w:proofErr w:type="spellEnd"/>
            <w:r w:rsidRPr="00B42A2D">
              <w:rPr>
                <w:rFonts w:ascii="Arial" w:hAnsi="Arial" w:cs="Arial"/>
                <w:sz w:val="16"/>
                <w:szCs w:val="16"/>
                <w:highlight w:val="lightGray"/>
              </w:rPr>
              <w:t xml:space="preserve"> Art. 15; </w:t>
            </w:r>
            <w:proofErr w:type="spellStart"/>
            <w:r w:rsidRPr="00B42A2D">
              <w:rPr>
                <w:rFonts w:ascii="Arial" w:hAnsi="Arial" w:cs="Arial"/>
                <w:sz w:val="16"/>
                <w:szCs w:val="16"/>
                <w:highlight w:val="lightGray"/>
              </w:rPr>
              <w:t>DelVO</w:t>
            </w:r>
            <w:proofErr w:type="spellEnd"/>
            <w:r w:rsidRPr="00B42A2D">
              <w:rPr>
                <w:rFonts w:ascii="Arial" w:hAnsi="Arial" w:cs="Arial"/>
                <w:sz w:val="16"/>
                <w:szCs w:val="16"/>
                <w:highlight w:val="lightGray"/>
              </w:rPr>
              <w:t xml:space="preserve"> (EU) Nr. 231/2013 Art. 98; FMA-Mitteilung 2016/1</w:t>
            </w:r>
          </w:p>
        </w:tc>
        <w:tc>
          <w:tcPr>
            <w:tcW w:w="5313" w:type="dxa"/>
          </w:tcPr>
          <w:p w14:paraId="5938A374" w14:textId="61F0DC5E" w:rsidR="00D50AA7" w:rsidRPr="005C1E01"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bei Delegation der Verwahraufgaben an Dritte (Unterverwahrung </w:t>
            </w:r>
            <w:proofErr w:type="spellStart"/>
            <w:r>
              <w:rPr>
                <w:rFonts w:cs="Arial"/>
                <w:i/>
                <w:szCs w:val="20"/>
                <w:highlight w:val="lightGray"/>
              </w:rPr>
              <w:t>iVm</w:t>
            </w:r>
            <w:proofErr w:type="spellEnd"/>
            <w:r w:rsidR="00AE469E">
              <w:rPr>
                <w:rFonts w:cs="Arial"/>
                <w:i/>
                <w:szCs w:val="20"/>
                <w:highlight w:val="lightGray"/>
              </w:rPr>
              <w:t>.</w:t>
            </w:r>
            <w:r>
              <w:rPr>
                <w:rFonts w:cs="Arial"/>
                <w:i/>
                <w:szCs w:val="20"/>
                <w:highlight w:val="lightGray"/>
              </w:rPr>
              <w:t xml:space="preserve"> bei Verwahrketten) die Vermögenswerte der Kunden strikt getrennt von jenen der Verwahrstelle und von seinen eigenen sowie seiner anderen Kunden gehalten werden und dass die Vermögenswerte der Kunden jederzeit vollständig identifizierbar sind (Trennungspflicht). </w:t>
            </w:r>
          </w:p>
          <w:p w14:paraId="6CE36F3B"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mit angemessener Häufigkeit (je nach Häufigkeit der normalen Handelstätigkeit) ein Abgleich zwischen den Beständen der Verwahrstelle und jenen des </w:t>
            </w:r>
            <w:proofErr w:type="spellStart"/>
            <w:r>
              <w:rPr>
                <w:rFonts w:cs="Arial"/>
                <w:i/>
                <w:szCs w:val="20"/>
                <w:highlight w:val="lightGray"/>
              </w:rPr>
              <w:t>Unterverwahrers</w:t>
            </w:r>
            <w:proofErr w:type="spellEnd"/>
            <w:r>
              <w:rPr>
                <w:rFonts w:cs="Arial"/>
                <w:i/>
                <w:szCs w:val="20"/>
                <w:highlight w:val="lightGray"/>
              </w:rPr>
              <w:t xml:space="preserve"> getätigt wird. </w:t>
            </w:r>
          </w:p>
          <w:p w14:paraId="6C2F2AC9"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jährlich von jedem </w:t>
            </w:r>
            <w:proofErr w:type="spellStart"/>
            <w:r>
              <w:rPr>
                <w:rFonts w:cs="Arial"/>
                <w:i/>
                <w:szCs w:val="20"/>
                <w:highlight w:val="lightGray"/>
              </w:rPr>
              <w:t>Unterverwahrer</w:t>
            </w:r>
            <w:proofErr w:type="spellEnd"/>
            <w:r>
              <w:rPr>
                <w:rFonts w:cs="Arial"/>
                <w:i/>
                <w:szCs w:val="20"/>
                <w:highlight w:val="lightGray"/>
              </w:rPr>
              <w:t xml:space="preserve"> eine Bestätigung über die </w:t>
            </w:r>
            <w:r>
              <w:rPr>
                <w:rFonts w:cs="Arial"/>
                <w:i/>
                <w:szCs w:val="20"/>
                <w:highlight w:val="lightGray"/>
              </w:rPr>
              <w:lastRenderedPageBreak/>
              <w:t>Einhaltung der organisatorischen Voraussetzungen und der Sorgfaltspflichten eingeholt wird.</w:t>
            </w:r>
          </w:p>
          <w:p w14:paraId="688940B3" w14:textId="77777777" w:rsidR="00D50AA7"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Verwahrstelle jederzeit angeben kann, wo welche Vermögenswerte liegen. </w:t>
            </w:r>
          </w:p>
          <w:p w14:paraId="51133AAF" w14:textId="74841194" w:rsidR="00D50AA7" w:rsidRPr="00DE266B" w:rsidRDefault="00D50AA7" w:rsidP="00D50AA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Verwahrstelle Notfallpläne für jeden Markt, in dem sie Dritte, denen die Verwahrungsfunktionen übertragen wurden, entwickelt.</w:t>
            </w:r>
          </w:p>
        </w:tc>
        <w:tc>
          <w:tcPr>
            <w:tcW w:w="2759" w:type="dxa"/>
          </w:tcPr>
          <w:p w14:paraId="005440DD"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lastRenderedPageBreak/>
              <w:t>Bestätigung, dass die internen Verfahren sicherstellen, dass bei Delegation der Verwahraufgaben an Dritte die Trennungspflicht von Vermögenswerten strikt eingehalten wird und die Vermögenswerte der Kunden vollständig und korrekt identifizierbar sind sowie im Falle einer Detailprüfung effektiv angewandt wird</w:t>
            </w:r>
          </w:p>
          <w:p w14:paraId="62FD4312"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 xml:space="preserve">Bestätigung, dass die internen Verfahren </w:t>
            </w:r>
            <w:r w:rsidRPr="00B42A2D">
              <w:rPr>
                <w:rFonts w:cs="Arial"/>
                <w:i/>
                <w:szCs w:val="20"/>
                <w:highlight w:val="lightGray"/>
              </w:rPr>
              <w:lastRenderedPageBreak/>
              <w:t xml:space="preserve">sicherstellen, dass jährlich eine Bestätigung über die Einhaltung der organisatorischen Voraussetzungen und der Sorgfaltspflichten von jedem </w:t>
            </w:r>
            <w:proofErr w:type="spellStart"/>
            <w:r w:rsidRPr="00B42A2D">
              <w:rPr>
                <w:rFonts w:cs="Arial"/>
                <w:i/>
                <w:szCs w:val="20"/>
                <w:highlight w:val="lightGray"/>
              </w:rPr>
              <w:t>Unterverwahrer</w:t>
            </w:r>
            <w:proofErr w:type="spellEnd"/>
            <w:r w:rsidRPr="00B42A2D">
              <w:rPr>
                <w:rFonts w:cs="Arial"/>
                <w:i/>
                <w:szCs w:val="20"/>
                <w:highlight w:val="lightGray"/>
              </w:rPr>
              <w:t xml:space="preserve"> eingeholt wird und im Falle einer Detailprüfung effektiv angewandt wird</w:t>
            </w:r>
          </w:p>
          <w:p w14:paraId="42C60A97" w14:textId="77777777" w:rsidR="00D50AA7" w:rsidRPr="00B42A2D"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die Verwahrstelle jederzeit und unverzüglich angeben kann, wo welche Vermögenswerte liegen und im Falle einer Detailprüfung effektiv angewandt wird</w:t>
            </w:r>
          </w:p>
          <w:p w14:paraId="69BF330C" w14:textId="63AA3593" w:rsidR="00D50AA7" w:rsidRPr="00024116" w:rsidRDefault="00D50AA7" w:rsidP="00D50AA7">
            <w:pPr>
              <w:pStyle w:val="Listenabsatz"/>
              <w:numPr>
                <w:ilvl w:val="1"/>
                <w:numId w:val="17"/>
              </w:numPr>
              <w:ind w:left="317" w:hanging="283"/>
              <w:jc w:val="both"/>
              <w:rPr>
                <w:rFonts w:cs="Arial"/>
                <w:i/>
                <w:szCs w:val="20"/>
                <w:highlight w:val="lightGray"/>
              </w:rPr>
            </w:pPr>
            <w:r w:rsidRPr="00B42A2D">
              <w:rPr>
                <w:rFonts w:cs="Arial"/>
                <w:i/>
                <w:szCs w:val="20"/>
                <w:highlight w:val="lightGray"/>
              </w:rPr>
              <w:t>Bestätigung, dass die internen Verfahren sicherstellen, dass angemessene Notfallpläne für jeden Markt bestehen, in dem Dritte Verwahrungsfunktionen übertragen wurden</w:t>
            </w:r>
          </w:p>
        </w:tc>
      </w:tr>
    </w:tbl>
    <w:p w14:paraId="30D3EA6A" w14:textId="1172C4EE" w:rsidR="00B14B41" w:rsidRDefault="00B14B41" w:rsidP="00CB0BB0">
      <w:pPr>
        <w:pStyle w:val="Listenabsatz"/>
        <w:ind w:left="792"/>
        <w:jc w:val="both"/>
      </w:pPr>
    </w:p>
    <w:p w14:paraId="7524D877" w14:textId="77777777" w:rsidR="00D53B47" w:rsidRPr="00667026" w:rsidRDefault="00D53B47" w:rsidP="00D53B47">
      <w:pPr>
        <w:jc w:val="both"/>
        <w:rPr>
          <w:rFonts w:ascii="Arial" w:hAnsi="Arial" w:cs="Arial"/>
          <w:i/>
          <w:sz w:val="20"/>
          <w:szCs w:val="20"/>
        </w:rPr>
      </w:pPr>
      <w:r w:rsidRPr="00276C60">
        <w:rPr>
          <w:rFonts w:ascii="Arial" w:hAnsi="Arial" w:cs="Arial"/>
          <w:i/>
          <w:sz w:val="20"/>
          <w:szCs w:val="20"/>
          <w:highlight w:val="yellow"/>
        </w:rPr>
        <w:t>Text</w:t>
      </w:r>
    </w:p>
    <w:p w14:paraId="5EF20B64" w14:textId="77777777" w:rsidR="001A109C" w:rsidRDefault="001A109C" w:rsidP="00CB3EE6">
      <w:pPr>
        <w:jc w:val="both"/>
      </w:pPr>
    </w:p>
    <w:p w14:paraId="0828FB72" w14:textId="77777777" w:rsidR="009C6380" w:rsidRDefault="009C6380" w:rsidP="00897485">
      <w:pPr>
        <w:pStyle w:val="Listenabsatz"/>
        <w:ind w:left="792"/>
        <w:jc w:val="both"/>
      </w:pPr>
    </w:p>
    <w:p w14:paraId="27430468" w14:textId="3A841D85" w:rsidR="009C6380" w:rsidRPr="00CB0BB0" w:rsidRDefault="0084034D" w:rsidP="006F7AB5">
      <w:pPr>
        <w:pStyle w:val="FINMAGliederungEbene2"/>
      </w:pPr>
      <w:bookmarkStart w:id="30" w:name="_Toc185241483"/>
      <w:r w:rsidRPr="00CB0BB0">
        <w:t>Prüfresultate aus v</w:t>
      </w:r>
      <w:r w:rsidR="009C6380" w:rsidRPr="00CB0BB0">
        <w:t>on der FMA zusätzlich festgelegte</w:t>
      </w:r>
      <w:r w:rsidRPr="00CB0BB0">
        <w:t>n</w:t>
      </w:r>
      <w:r w:rsidR="009C6380" w:rsidRPr="00CB0BB0">
        <w:t xml:space="preserve"> Prüfgebiete</w:t>
      </w:r>
      <w:r w:rsidRPr="00CB0BB0">
        <w:t>n</w:t>
      </w:r>
      <w:r w:rsidR="009C6380" w:rsidRPr="00CB0BB0">
        <w:t xml:space="preserve"> bzw. Prüffelder</w:t>
      </w:r>
      <w:bookmarkEnd w:id="30"/>
    </w:p>
    <w:p w14:paraId="510CC1E7" w14:textId="77777777" w:rsidR="009C6380" w:rsidRPr="00CB0BB0" w:rsidRDefault="009C6380" w:rsidP="00CB3EE6">
      <w:pPr>
        <w:jc w:val="both"/>
      </w:pPr>
    </w:p>
    <w:p w14:paraId="717796A1" w14:textId="01346DF8" w:rsidR="00946366" w:rsidRPr="00CB0BB0" w:rsidRDefault="009C6380" w:rsidP="00CB3EE6">
      <w:pPr>
        <w:jc w:val="both"/>
        <w:rPr>
          <w:rFonts w:cs="Arial"/>
          <w:i/>
          <w:szCs w:val="20"/>
          <w:highlight w:val="lightGray"/>
        </w:rPr>
      </w:pPr>
      <w:r w:rsidRPr="00CB0BB0">
        <w:rPr>
          <w:rFonts w:ascii="Arial" w:hAnsi="Arial" w:cs="Arial"/>
          <w:i/>
          <w:sz w:val="20"/>
          <w:szCs w:val="20"/>
          <w:highlight w:val="lightGray"/>
        </w:rPr>
        <w:t>Unter diesem Abschnitt sind die Prüfresultate sämtlicher von der FMA vorgängig kommunizierten, zusätzlich festgelegter Prüfgebiete bzw. Prü</w:t>
      </w:r>
      <w:r w:rsidR="0084034D" w:rsidRPr="00CB0BB0">
        <w:rPr>
          <w:rFonts w:ascii="Arial" w:hAnsi="Arial" w:cs="Arial"/>
          <w:i/>
          <w:sz w:val="20"/>
          <w:szCs w:val="20"/>
          <w:highlight w:val="lightGray"/>
        </w:rPr>
        <w:t>f</w:t>
      </w:r>
      <w:r w:rsidRPr="00CB0BB0">
        <w:rPr>
          <w:rFonts w:ascii="Arial" w:hAnsi="Arial" w:cs="Arial"/>
          <w:i/>
          <w:sz w:val="20"/>
          <w:szCs w:val="20"/>
          <w:highlight w:val="lightGray"/>
        </w:rPr>
        <w:t>felder</w:t>
      </w:r>
      <w:r w:rsidR="0084034D" w:rsidRPr="00CB0BB0">
        <w:rPr>
          <w:rFonts w:ascii="Arial" w:hAnsi="Arial" w:cs="Arial"/>
          <w:i/>
          <w:sz w:val="20"/>
          <w:szCs w:val="20"/>
          <w:highlight w:val="lightGray"/>
        </w:rPr>
        <w:t>,</w:t>
      </w:r>
      <w:r w:rsidRPr="00CB0BB0">
        <w:rPr>
          <w:rFonts w:ascii="Arial" w:hAnsi="Arial" w:cs="Arial"/>
          <w:i/>
          <w:sz w:val="20"/>
          <w:szCs w:val="20"/>
          <w:highlight w:val="lightGray"/>
        </w:rPr>
        <w:t xml:space="preserve"> </w:t>
      </w:r>
      <w:r w:rsidR="0084034D" w:rsidRPr="00CB0BB0">
        <w:rPr>
          <w:rFonts w:ascii="Arial" w:hAnsi="Arial" w:cs="Arial"/>
          <w:i/>
          <w:sz w:val="20"/>
          <w:szCs w:val="20"/>
          <w:highlight w:val="lightGray"/>
        </w:rPr>
        <w:t xml:space="preserve">welche im Rahmen der Aufsichtsprüfung abzudecken sind, </w:t>
      </w:r>
      <w:r w:rsidR="00946366" w:rsidRPr="00CB0BB0">
        <w:rPr>
          <w:rFonts w:ascii="Arial" w:hAnsi="Arial" w:cs="Arial"/>
          <w:i/>
          <w:sz w:val="20"/>
          <w:szCs w:val="20"/>
          <w:highlight w:val="lightGray"/>
        </w:rPr>
        <w:t>aufzuführen.</w:t>
      </w:r>
    </w:p>
    <w:p w14:paraId="13DA84EB" w14:textId="77777777" w:rsidR="00946366" w:rsidRPr="00CB0BB0" w:rsidRDefault="00946366" w:rsidP="00CB3EE6">
      <w:pPr>
        <w:jc w:val="both"/>
        <w:rPr>
          <w:rFonts w:cs="Arial"/>
          <w:i/>
          <w:szCs w:val="20"/>
          <w:highlight w:val="lightGray"/>
        </w:rPr>
      </w:pPr>
    </w:p>
    <w:p w14:paraId="4129EA89" w14:textId="7D64F945" w:rsidR="00946366" w:rsidRPr="00CB0BB0" w:rsidRDefault="00946366" w:rsidP="00CB3EE6">
      <w:pPr>
        <w:jc w:val="both"/>
        <w:rPr>
          <w:rFonts w:cs="Arial"/>
          <w:i/>
          <w:szCs w:val="20"/>
        </w:rPr>
      </w:pPr>
      <w:r w:rsidRPr="00CB0BB0">
        <w:rPr>
          <w:rFonts w:ascii="Arial" w:hAnsi="Arial" w:cs="Arial"/>
          <w:i/>
          <w:sz w:val="20"/>
          <w:szCs w:val="20"/>
          <w:highlight w:val="lightGray"/>
        </w:rPr>
        <w:t>Die vorgängige Kommunikation durch die FMA gibt an, welche Prüffelder im Rahmen der Aufsichtsprüfung mit welcher Prüftiefe abzudecken sind und welche Prüfbestätigung</w:t>
      </w:r>
      <w:r w:rsidR="0084034D" w:rsidRPr="00CB0BB0">
        <w:rPr>
          <w:rFonts w:ascii="Arial" w:hAnsi="Arial" w:cs="Arial"/>
          <w:i/>
          <w:sz w:val="20"/>
          <w:szCs w:val="20"/>
          <w:highlight w:val="lightGray"/>
        </w:rPr>
        <w:t>en des jeweiligen Prüffelds</w:t>
      </w:r>
      <w:r w:rsidRPr="00CB0BB0">
        <w:rPr>
          <w:rFonts w:ascii="Arial" w:hAnsi="Arial" w:cs="Arial"/>
          <w:i/>
          <w:sz w:val="20"/>
          <w:szCs w:val="20"/>
          <w:highlight w:val="lightGray"/>
        </w:rPr>
        <w:t xml:space="preserve"> im Rahmen des vorliegenden Berichts über die</w:t>
      </w:r>
      <w:r w:rsidR="00C32537" w:rsidRPr="00CB0BB0">
        <w:rPr>
          <w:rFonts w:ascii="Arial" w:hAnsi="Arial" w:cs="Arial"/>
          <w:i/>
          <w:sz w:val="20"/>
          <w:szCs w:val="20"/>
          <w:highlight w:val="lightGray"/>
        </w:rPr>
        <w:t xml:space="preserve"> Aufsichtsprüfung a</w:t>
      </w:r>
      <w:r w:rsidR="0084034D" w:rsidRPr="00CB0BB0">
        <w:rPr>
          <w:rFonts w:ascii="Arial" w:hAnsi="Arial" w:cs="Arial"/>
          <w:i/>
          <w:sz w:val="20"/>
          <w:szCs w:val="20"/>
          <w:highlight w:val="lightGray"/>
        </w:rPr>
        <w:t>ufzuführen und zu beurteilen sind.</w:t>
      </w:r>
      <w:r w:rsidR="00C32537" w:rsidRPr="00CB0BB0">
        <w:rPr>
          <w:rFonts w:ascii="Arial" w:hAnsi="Arial" w:cs="Arial"/>
          <w:i/>
          <w:sz w:val="20"/>
          <w:szCs w:val="20"/>
        </w:rPr>
        <w:t xml:space="preserve"> </w:t>
      </w:r>
    </w:p>
    <w:p w14:paraId="60112F17" w14:textId="77777777" w:rsidR="00801D7B" w:rsidRDefault="00801D7B" w:rsidP="00CB3EE6">
      <w:pPr>
        <w:jc w:val="both"/>
      </w:pPr>
    </w:p>
    <w:p w14:paraId="0E486378" w14:textId="77777777" w:rsidR="001469E9" w:rsidRDefault="001469E9" w:rsidP="001469E9">
      <w:pPr>
        <w:pStyle w:val="Listenabsatz"/>
        <w:ind w:left="1224"/>
        <w:jc w:val="both"/>
      </w:pPr>
    </w:p>
    <w:p w14:paraId="0A1CAB78" w14:textId="77777777" w:rsidR="001469E9" w:rsidRDefault="009464E8" w:rsidP="006F7AB5">
      <w:pPr>
        <w:pStyle w:val="FINMAGliederungEbene1"/>
      </w:pPr>
      <w:bookmarkStart w:id="31" w:name="_Toc185241484"/>
      <w:r>
        <w:t>Weitere Bemerkungen</w:t>
      </w:r>
      <w:bookmarkEnd w:id="31"/>
    </w:p>
    <w:p w14:paraId="08EAC8E7" w14:textId="77777777" w:rsidR="009464E8" w:rsidRDefault="009464E8" w:rsidP="009464E8">
      <w:pPr>
        <w:pStyle w:val="Listenabsatz"/>
        <w:ind w:left="360"/>
        <w:jc w:val="both"/>
      </w:pPr>
    </w:p>
    <w:p w14:paraId="322A0323" w14:textId="7777777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32" w:name="_Toc185241485"/>
      <w:r>
        <w:t>Unterschrift / Bestätigung der Revisionsstelle</w:t>
      </w:r>
      <w:bookmarkEnd w:id="32"/>
    </w:p>
    <w:p w14:paraId="0CF1FD59" w14:textId="77777777" w:rsidR="001469E9" w:rsidRDefault="001469E9" w:rsidP="001469E9">
      <w:pPr>
        <w:jc w:val="both"/>
      </w:pPr>
    </w:p>
    <w:p w14:paraId="3A910730" w14:textId="59EDBDB6"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C13335">
        <w:rPr>
          <w:rFonts w:ascii="Arial" w:hAnsi="Arial" w:cs="Arial"/>
          <w:i/>
          <w:sz w:val="20"/>
          <w:szCs w:val="20"/>
          <w:highlight w:val="lightGray"/>
        </w:rPr>
        <w:t>Verwahrstellen</w:t>
      </w:r>
      <w:r w:rsidR="00A04645" w:rsidRPr="009464E8">
        <w:rPr>
          <w:rFonts w:ascii="Arial" w:hAnsi="Arial" w:cs="Arial"/>
          <w:i/>
          <w:sz w:val="20"/>
          <w:szCs w:val="20"/>
          <w:highlight w:val="lightGray"/>
        </w:rPr>
        <w:t xml:space="preserv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vom leitenden Revisor</w:t>
      </w:r>
      <w:r w:rsidR="00742930">
        <w:rPr>
          <w:rFonts w:ascii="Arial" w:hAnsi="Arial" w:cs="Arial"/>
          <w:i/>
          <w:sz w:val="20"/>
          <w:szCs w:val="20"/>
          <w:highlight w:val="lightGray"/>
        </w:rPr>
        <w:t xml:space="preserve"> (mit Anerkennung nach IUG/UCITSG/AIFMG)</w:t>
      </w:r>
      <w:r w:rsidR="00A04645" w:rsidRPr="009464E8">
        <w:rPr>
          <w:rFonts w:ascii="Arial" w:hAnsi="Arial" w:cs="Arial"/>
          <w:i/>
          <w:sz w:val="20"/>
          <w:szCs w:val="20"/>
          <w:highlight w:val="lightGray"/>
        </w:rPr>
        <w:t xml:space="preserve">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Default="001469E9" w:rsidP="006F7AB5">
      <w:pPr>
        <w:pStyle w:val="FINMAGliederungEbene1"/>
      </w:pPr>
      <w:bookmarkStart w:id="33" w:name="_Toc185241486"/>
      <w:r>
        <w:t>Anhang</w:t>
      </w:r>
      <w:bookmarkEnd w:id="33"/>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63C1ADE4" w:rsidR="0028626E" w:rsidRPr="00F1189F" w:rsidRDefault="0028626E" w:rsidP="005316F9">
      <w:pPr>
        <w:pStyle w:val="Listenabsatz"/>
        <w:numPr>
          <w:ilvl w:val="0"/>
          <w:numId w:val="19"/>
        </w:numPr>
        <w:jc w:val="both"/>
        <w:rPr>
          <w:rFonts w:cs="Arial"/>
          <w:szCs w:val="20"/>
          <w:highlight w:val="lightGray"/>
        </w:rPr>
      </w:pPr>
      <w:r w:rsidRPr="00F1189F">
        <w:rPr>
          <w:rFonts w:cs="Arial"/>
          <w:szCs w:val="20"/>
          <w:highlight w:val="lightGray"/>
        </w:rPr>
        <w:t xml:space="preserve">Aktuelle Organigramme </w:t>
      </w:r>
      <w:r w:rsidR="00F1189F" w:rsidRPr="00F1189F">
        <w:rPr>
          <w:rFonts w:cs="Arial"/>
          <w:szCs w:val="20"/>
          <w:highlight w:val="lightGray"/>
        </w:rPr>
        <w:t xml:space="preserve">unter Einbettung der organisatorischen Einheiten der mit den Verwahrstellenaufgaben betrauten Personen </w:t>
      </w:r>
    </w:p>
    <w:p w14:paraId="1856AD78" w14:textId="25E950E2" w:rsidR="0028626E" w:rsidRPr="00F1189F" w:rsidRDefault="00F1189F" w:rsidP="005316F9">
      <w:pPr>
        <w:pStyle w:val="Listenabsatz"/>
        <w:numPr>
          <w:ilvl w:val="0"/>
          <w:numId w:val="19"/>
        </w:numPr>
        <w:jc w:val="both"/>
        <w:rPr>
          <w:rFonts w:cs="Arial"/>
          <w:szCs w:val="20"/>
          <w:highlight w:val="lightGray"/>
        </w:rPr>
      </w:pPr>
      <w:r w:rsidRPr="00F1189F">
        <w:rPr>
          <w:rFonts w:cs="Arial"/>
          <w:szCs w:val="20"/>
          <w:highlight w:val="lightGray"/>
        </w:rPr>
        <w:t>Weitere Dokumente und Detailangaben, welche von der Revisionsstelle als sachdienlich erachtet werden</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8A54" w14:textId="77777777" w:rsidR="00445576" w:rsidRDefault="00445576">
      <w:r>
        <w:separator/>
      </w:r>
    </w:p>
  </w:endnote>
  <w:endnote w:type="continuationSeparator" w:id="0">
    <w:p w14:paraId="4B0BD2B4" w14:textId="77777777" w:rsidR="00445576" w:rsidRDefault="0044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445576" w:rsidRDefault="0044557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445576" w:rsidRDefault="004455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445576" w:rsidRPr="000864B2" w:rsidRDefault="00445576" w:rsidP="008D629D">
    <w:pPr>
      <w:spacing w:line="193" w:lineRule="atLeast"/>
      <w:rPr>
        <w:color w:val="666666"/>
        <w:sz w:val="16"/>
      </w:rPr>
    </w:pPr>
  </w:p>
  <w:p w14:paraId="6CEF623A" w14:textId="41A68B29" w:rsidR="00445576" w:rsidRDefault="00445576" w:rsidP="008D629D">
    <w:pPr>
      <w:pStyle w:val="Fusszeile"/>
    </w:pPr>
    <w:r>
      <w:tab/>
    </w:r>
    <w:r>
      <w:tab/>
    </w:r>
    <w:r>
      <w:fldChar w:fldCharType="begin"/>
    </w:r>
    <w:r>
      <w:instrText xml:space="preserve"> PAGE </w:instrText>
    </w:r>
    <w:r>
      <w:fldChar w:fldCharType="separate"/>
    </w:r>
    <w:r>
      <w:rPr>
        <w:noProof/>
      </w:rPr>
      <w:t>11</w:t>
    </w:r>
    <w:r>
      <w:fldChar w:fldCharType="end"/>
    </w:r>
    <w:r>
      <w:t xml:space="preserve"> / </w:t>
    </w:r>
    <w:r>
      <w:fldChar w:fldCharType="begin"/>
    </w:r>
    <w:r>
      <w:instrText xml:space="preserve"> NUMPAGES </w:instrText>
    </w:r>
    <w:r>
      <w:fldChar w:fldCharType="separate"/>
    </w:r>
    <w:r>
      <w:rPr>
        <w:noProof/>
      </w:rPr>
      <w:t>100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445576" w:rsidRPr="000864B2" w:rsidRDefault="00445576" w:rsidP="000E5A8C">
    <w:pPr>
      <w:spacing w:line="193" w:lineRule="atLeast"/>
      <w:rPr>
        <w:color w:val="666666"/>
        <w:sz w:val="16"/>
      </w:rPr>
    </w:pPr>
  </w:p>
  <w:p w14:paraId="31843EF8" w14:textId="410085A9" w:rsidR="00445576" w:rsidRDefault="00445576"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27E6" w14:textId="77777777" w:rsidR="00445576" w:rsidRDefault="00445576">
      <w:r>
        <w:separator/>
      </w:r>
    </w:p>
  </w:footnote>
  <w:footnote w:type="continuationSeparator" w:id="0">
    <w:p w14:paraId="4744C65E" w14:textId="77777777" w:rsidR="00445576" w:rsidRDefault="0044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445576" w:rsidRDefault="0044557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445576" w:rsidRDefault="004455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445576" w:rsidRDefault="00445576"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FC9170C" w:rsidR="00445576" w:rsidRDefault="00445576">
    <w:pPr>
      <w:pStyle w:val="Kopfzeile"/>
    </w:pPr>
  </w:p>
  <w:p w14:paraId="2AF1E359" w14:textId="77777777" w:rsidR="00445576" w:rsidRDefault="00445576" w:rsidP="00D82DD9">
    <w:pPr>
      <w:pStyle w:val="Kopfzeile"/>
    </w:pPr>
  </w:p>
  <w:p w14:paraId="1CAB9EC8" w14:textId="77777777" w:rsidR="00445576" w:rsidRDefault="00445576" w:rsidP="00D82DD9">
    <w:pPr>
      <w:pStyle w:val="Kopfzeile"/>
    </w:pPr>
  </w:p>
  <w:p w14:paraId="7EF72323" w14:textId="77777777" w:rsidR="00445576" w:rsidRDefault="00445576" w:rsidP="00D82DD9">
    <w:pPr>
      <w:pStyle w:val="Kopfzeile"/>
    </w:pPr>
  </w:p>
  <w:p w14:paraId="6A0BF6AA" w14:textId="77777777" w:rsidR="00445576" w:rsidRDefault="00445576" w:rsidP="00D82DD9">
    <w:pPr>
      <w:pStyle w:val="Kopfzeile"/>
    </w:pPr>
  </w:p>
  <w:p w14:paraId="6802C8D3" w14:textId="77777777" w:rsidR="00445576" w:rsidRDefault="00445576" w:rsidP="00D82DD9">
    <w:pPr>
      <w:pStyle w:val="Kopfzeile"/>
    </w:pPr>
  </w:p>
  <w:p w14:paraId="4DDF242A" w14:textId="77777777" w:rsidR="00445576" w:rsidRDefault="00445576" w:rsidP="00D82DD9">
    <w:pPr>
      <w:pStyle w:val="Kopfzeile"/>
    </w:pPr>
  </w:p>
  <w:p w14:paraId="047B2D1D" w14:textId="77777777" w:rsidR="00445576" w:rsidRDefault="00445576" w:rsidP="00D82DD9">
    <w:pPr>
      <w:pStyle w:val="Kopfzeile"/>
    </w:pPr>
  </w:p>
  <w:p w14:paraId="047E5A73" w14:textId="77777777" w:rsidR="00445576" w:rsidRDefault="00445576" w:rsidP="00D82DD9">
    <w:pPr>
      <w:pStyle w:val="Kopfzeile"/>
    </w:pPr>
  </w:p>
  <w:p w14:paraId="7E60A7FE" w14:textId="77777777" w:rsidR="00445576" w:rsidRDefault="00445576" w:rsidP="00D82DD9">
    <w:pPr>
      <w:pStyle w:val="Kopfzeile"/>
    </w:pPr>
  </w:p>
  <w:p w14:paraId="5D19C0A5" w14:textId="43FF40EA" w:rsidR="00445576" w:rsidRDefault="00F91B78" w:rsidP="00D82DD9">
    <w:pPr>
      <w:pStyle w:val="Kopfzeile"/>
    </w:pPr>
    <w:r>
      <w:rPr>
        <w:rFonts w:asciiTheme="minorHAnsi" w:hAnsiTheme="minorHAnsi"/>
        <w:noProof/>
      </w:rPr>
      <w:drawing>
        <wp:anchor distT="0" distB="0" distL="114300" distR="114300" simplePos="0" relativeHeight="251660288" behindDoc="0" locked="1" layoutInCell="1" allowOverlap="1" wp14:anchorId="326A19B0" wp14:editId="31F5DFAA">
          <wp:simplePos x="0" y="0"/>
          <wp:positionH relativeFrom="page">
            <wp:posOffset>3129280</wp:posOffset>
          </wp:positionH>
          <wp:positionV relativeFrom="page">
            <wp:posOffset>225425</wp:posOffset>
          </wp:positionV>
          <wp:extent cx="1259840" cy="125984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p w14:paraId="40006012" w14:textId="77777777" w:rsidR="00445576" w:rsidRDefault="00445576" w:rsidP="00D82DD9">
    <w:pPr>
      <w:pStyle w:val="Kopfzeile"/>
    </w:pPr>
  </w:p>
  <w:p w14:paraId="69725C1E" w14:textId="77777777" w:rsidR="00445576" w:rsidRDefault="00445576" w:rsidP="00D82DD9">
    <w:pPr>
      <w:pStyle w:val="Kopfzeile"/>
    </w:pPr>
  </w:p>
  <w:p w14:paraId="6344D2F9" w14:textId="77777777" w:rsidR="00445576" w:rsidRDefault="00445576" w:rsidP="00D82DD9">
    <w:pPr>
      <w:pStyle w:val="Kopfzeile"/>
    </w:pPr>
  </w:p>
  <w:p w14:paraId="625E7FC2" w14:textId="77777777" w:rsidR="00445576" w:rsidRDefault="00445576" w:rsidP="00D82DD9">
    <w:pPr>
      <w:pStyle w:val="Kopfzeile"/>
    </w:pPr>
  </w:p>
  <w:p w14:paraId="5E58257E" w14:textId="77777777" w:rsidR="00445576" w:rsidRDefault="00445576"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2"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445576" w:rsidRDefault="00445576"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445576" w:rsidRDefault="004455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F63FD9"/>
    <w:multiLevelType w:val="hybridMultilevel"/>
    <w:tmpl w:val="63424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E347AF5"/>
    <w:multiLevelType w:val="hybridMultilevel"/>
    <w:tmpl w:val="994EBB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3"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2526696"/>
    <w:multiLevelType w:val="hybridMultilevel"/>
    <w:tmpl w:val="BE9293D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3"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E715196"/>
    <w:multiLevelType w:val="hybridMultilevel"/>
    <w:tmpl w:val="770A1C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9" w15:restartNumberingAfterBreak="0">
    <w:nsid w:val="7A3400AB"/>
    <w:multiLevelType w:val="hybridMultilevel"/>
    <w:tmpl w:val="3900FF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0"/>
  </w:num>
  <w:num w:numId="4">
    <w:abstractNumId w:val="13"/>
  </w:num>
  <w:num w:numId="5">
    <w:abstractNumId w:val="8"/>
  </w:num>
  <w:num w:numId="6">
    <w:abstractNumId w:val="27"/>
  </w:num>
  <w:num w:numId="7">
    <w:abstractNumId w:val="3"/>
  </w:num>
  <w:num w:numId="8">
    <w:abstractNumId w:val="10"/>
  </w:num>
  <w:num w:numId="9">
    <w:abstractNumId w:val="18"/>
  </w:num>
  <w:num w:numId="10">
    <w:abstractNumId w:val="33"/>
  </w:num>
  <w:num w:numId="11">
    <w:abstractNumId w:val="9"/>
  </w:num>
  <w:num w:numId="12">
    <w:abstractNumId w:val="28"/>
  </w:num>
  <w:num w:numId="13">
    <w:abstractNumId w:val="25"/>
  </w:num>
  <w:num w:numId="14">
    <w:abstractNumId w:val="37"/>
  </w:num>
  <w:num w:numId="15">
    <w:abstractNumId w:val="14"/>
  </w:num>
  <w:num w:numId="16">
    <w:abstractNumId w:val="26"/>
  </w:num>
  <w:num w:numId="17">
    <w:abstractNumId w:val="39"/>
  </w:num>
  <w:num w:numId="18">
    <w:abstractNumId w:val="12"/>
  </w:num>
  <w:num w:numId="19">
    <w:abstractNumId w:val="30"/>
  </w:num>
  <w:num w:numId="20">
    <w:abstractNumId w:val="2"/>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22"/>
  </w:num>
  <w:num w:numId="24">
    <w:abstractNumId w:val="34"/>
  </w:num>
  <w:num w:numId="25">
    <w:abstractNumId w:val="24"/>
  </w:num>
  <w:num w:numId="26">
    <w:abstractNumId w:val="6"/>
  </w:num>
  <w:num w:numId="27">
    <w:abstractNumId w:val="1"/>
  </w:num>
  <w:num w:numId="28">
    <w:abstractNumId w:val="29"/>
  </w:num>
  <w:num w:numId="29">
    <w:abstractNumId w:val="19"/>
  </w:num>
  <w:num w:numId="30">
    <w:abstractNumId w:val="36"/>
  </w:num>
  <w:num w:numId="31">
    <w:abstractNumId w:val="15"/>
  </w:num>
  <w:num w:numId="32">
    <w:abstractNumId w:val="35"/>
  </w:num>
  <w:num w:numId="33">
    <w:abstractNumId w:val="31"/>
  </w:num>
  <w:num w:numId="34">
    <w:abstractNumId w:val="21"/>
  </w:num>
  <w:num w:numId="35">
    <w:abstractNumId w:val="23"/>
  </w:num>
  <w:num w:numId="36">
    <w:abstractNumId w:val="4"/>
  </w:num>
  <w:num w:numId="37">
    <w:abstractNumId w:val="5"/>
  </w:num>
  <w:num w:numId="38">
    <w:abstractNumId w:val="20"/>
  </w:num>
  <w:num w:numId="39">
    <w:abstractNumId w:val="39"/>
  </w:num>
  <w:num w:numId="40">
    <w:abstractNumId w:val="7"/>
  </w:num>
  <w:num w:numId="41">
    <w:abstractNumId w:val="16"/>
  </w:num>
  <w:num w:numId="42">
    <w:abstractNumId w:val="32"/>
  </w:num>
  <w:num w:numId="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97"/>
  <w:doNotHyphenateCap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F69"/>
    <w:rsid w:val="00004050"/>
    <w:rsid w:val="00004C8E"/>
    <w:rsid w:val="000065EB"/>
    <w:rsid w:val="0000664C"/>
    <w:rsid w:val="00006FB6"/>
    <w:rsid w:val="00014AAF"/>
    <w:rsid w:val="00016FA3"/>
    <w:rsid w:val="000200B7"/>
    <w:rsid w:val="00020CD7"/>
    <w:rsid w:val="00021309"/>
    <w:rsid w:val="00022BDB"/>
    <w:rsid w:val="00027B7D"/>
    <w:rsid w:val="0003063F"/>
    <w:rsid w:val="000340B8"/>
    <w:rsid w:val="000362E2"/>
    <w:rsid w:val="0003699A"/>
    <w:rsid w:val="0004542C"/>
    <w:rsid w:val="000464E3"/>
    <w:rsid w:val="00047F52"/>
    <w:rsid w:val="00051D0D"/>
    <w:rsid w:val="0005430B"/>
    <w:rsid w:val="00054C52"/>
    <w:rsid w:val="0006005E"/>
    <w:rsid w:val="000612C5"/>
    <w:rsid w:val="00067398"/>
    <w:rsid w:val="00067515"/>
    <w:rsid w:val="00072BE1"/>
    <w:rsid w:val="00073781"/>
    <w:rsid w:val="00073ABC"/>
    <w:rsid w:val="00073D5A"/>
    <w:rsid w:val="000901C6"/>
    <w:rsid w:val="000901CB"/>
    <w:rsid w:val="00093B3E"/>
    <w:rsid w:val="00093EEC"/>
    <w:rsid w:val="00094143"/>
    <w:rsid w:val="000958D7"/>
    <w:rsid w:val="00096979"/>
    <w:rsid w:val="0009766E"/>
    <w:rsid w:val="000A15B1"/>
    <w:rsid w:val="000A19CE"/>
    <w:rsid w:val="000A1CA7"/>
    <w:rsid w:val="000A53E5"/>
    <w:rsid w:val="000B17A8"/>
    <w:rsid w:val="000B1ED2"/>
    <w:rsid w:val="000B20E4"/>
    <w:rsid w:val="000B2909"/>
    <w:rsid w:val="000B56AB"/>
    <w:rsid w:val="000B7DF6"/>
    <w:rsid w:val="000C27E2"/>
    <w:rsid w:val="000C3F1F"/>
    <w:rsid w:val="000C6993"/>
    <w:rsid w:val="000C756C"/>
    <w:rsid w:val="000D0F18"/>
    <w:rsid w:val="000D22E2"/>
    <w:rsid w:val="000D3257"/>
    <w:rsid w:val="000D36E0"/>
    <w:rsid w:val="000E0B73"/>
    <w:rsid w:val="000E105F"/>
    <w:rsid w:val="000E411C"/>
    <w:rsid w:val="000E5A8C"/>
    <w:rsid w:val="000F209C"/>
    <w:rsid w:val="000F3843"/>
    <w:rsid w:val="000F4543"/>
    <w:rsid w:val="000F63A3"/>
    <w:rsid w:val="000F657D"/>
    <w:rsid w:val="000F6A5C"/>
    <w:rsid w:val="00103265"/>
    <w:rsid w:val="001041EB"/>
    <w:rsid w:val="00105562"/>
    <w:rsid w:val="0011214F"/>
    <w:rsid w:val="00114373"/>
    <w:rsid w:val="00115C45"/>
    <w:rsid w:val="001178DE"/>
    <w:rsid w:val="00121C6C"/>
    <w:rsid w:val="001241BE"/>
    <w:rsid w:val="001264D7"/>
    <w:rsid w:val="00127590"/>
    <w:rsid w:val="0012762C"/>
    <w:rsid w:val="0013000D"/>
    <w:rsid w:val="0013025F"/>
    <w:rsid w:val="00130556"/>
    <w:rsid w:val="0013071B"/>
    <w:rsid w:val="00130ACE"/>
    <w:rsid w:val="00134CC1"/>
    <w:rsid w:val="00140523"/>
    <w:rsid w:val="00141F6A"/>
    <w:rsid w:val="00142DBB"/>
    <w:rsid w:val="001469E9"/>
    <w:rsid w:val="0015284E"/>
    <w:rsid w:val="00152F81"/>
    <w:rsid w:val="00167878"/>
    <w:rsid w:val="00170B25"/>
    <w:rsid w:val="001719F0"/>
    <w:rsid w:val="00174C08"/>
    <w:rsid w:val="0018175F"/>
    <w:rsid w:val="001842F3"/>
    <w:rsid w:val="00184A77"/>
    <w:rsid w:val="00185F0E"/>
    <w:rsid w:val="00187FBB"/>
    <w:rsid w:val="00192140"/>
    <w:rsid w:val="00193A84"/>
    <w:rsid w:val="00194553"/>
    <w:rsid w:val="001A109C"/>
    <w:rsid w:val="001A1A8F"/>
    <w:rsid w:val="001A4932"/>
    <w:rsid w:val="001A52CF"/>
    <w:rsid w:val="001A6194"/>
    <w:rsid w:val="001B0DAE"/>
    <w:rsid w:val="001B2B32"/>
    <w:rsid w:val="001B3132"/>
    <w:rsid w:val="001B5960"/>
    <w:rsid w:val="001B7BDD"/>
    <w:rsid w:val="001C5CA5"/>
    <w:rsid w:val="001C621F"/>
    <w:rsid w:val="001C6582"/>
    <w:rsid w:val="001D03E4"/>
    <w:rsid w:val="001D0C90"/>
    <w:rsid w:val="001D1DF0"/>
    <w:rsid w:val="001D3A55"/>
    <w:rsid w:val="001D5AF1"/>
    <w:rsid w:val="001E0AC3"/>
    <w:rsid w:val="001E314C"/>
    <w:rsid w:val="001E3453"/>
    <w:rsid w:val="001E6C4C"/>
    <w:rsid w:val="001E7F2D"/>
    <w:rsid w:val="001F1858"/>
    <w:rsid w:val="001F6678"/>
    <w:rsid w:val="00200E38"/>
    <w:rsid w:val="0020260B"/>
    <w:rsid w:val="00205681"/>
    <w:rsid w:val="00205AC6"/>
    <w:rsid w:val="00207A21"/>
    <w:rsid w:val="002113BC"/>
    <w:rsid w:val="00222C2B"/>
    <w:rsid w:val="00224FF0"/>
    <w:rsid w:val="00226A45"/>
    <w:rsid w:val="002274AB"/>
    <w:rsid w:val="00227ADB"/>
    <w:rsid w:val="00227CEA"/>
    <w:rsid w:val="00227F3E"/>
    <w:rsid w:val="002309A6"/>
    <w:rsid w:val="00230FA1"/>
    <w:rsid w:val="00232727"/>
    <w:rsid w:val="002331D2"/>
    <w:rsid w:val="002342A7"/>
    <w:rsid w:val="00241213"/>
    <w:rsid w:val="00243174"/>
    <w:rsid w:val="00243B63"/>
    <w:rsid w:val="00246F1E"/>
    <w:rsid w:val="00247498"/>
    <w:rsid w:val="002517F4"/>
    <w:rsid w:val="00253279"/>
    <w:rsid w:val="00254B93"/>
    <w:rsid w:val="002554D7"/>
    <w:rsid w:val="00255E86"/>
    <w:rsid w:val="0026076E"/>
    <w:rsid w:val="00260AC7"/>
    <w:rsid w:val="0026121B"/>
    <w:rsid w:val="00262D65"/>
    <w:rsid w:val="0026350F"/>
    <w:rsid w:val="00266643"/>
    <w:rsid w:val="0026683E"/>
    <w:rsid w:val="002678CC"/>
    <w:rsid w:val="00270A10"/>
    <w:rsid w:val="00272D86"/>
    <w:rsid w:val="00273F9C"/>
    <w:rsid w:val="00274045"/>
    <w:rsid w:val="002746A3"/>
    <w:rsid w:val="00281C16"/>
    <w:rsid w:val="00282891"/>
    <w:rsid w:val="002848D4"/>
    <w:rsid w:val="00284C1D"/>
    <w:rsid w:val="002853EC"/>
    <w:rsid w:val="0028626E"/>
    <w:rsid w:val="00287C4E"/>
    <w:rsid w:val="00290E54"/>
    <w:rsid w:val="0029354E"/>
    <w:rsid w:val="00295664"/>
    <w:rsid w:val="00296DCC"/>
    <w:rsid w:val="002A0999"/>
    <w:rsid w:val="002A2CC4"/>
    <w:rsid w:val="002A45EA"/>
    <w:rsid w:val="002A4B24"/>
    <w:rsid w:val="002A5B2C"/>
    <w:rsid w:val="002A5EB7"/>
    <w:rsid w:val="002B7F63"/>
    <w:rsid w:val="002C17F7"/>
    <w:rsid w:val="002C33A9"/>
    <w:rsid w:val="002C56B9"/>
    <w:rsid w:val="002C623F"/>
    <w:rsid w:val="002D19EC"/>
    <w:rsid w:val="002D25B5"/>
    <w:rsid w:val="002D2B27"/>
    <w:rsid w:val="002D2DB7"/>
    <w:rsid w:val="002D31A9"/>
    <w:rsid w:val="002D3DED"/>
    <w:rsid w:val="002D4D4E"/>
    <w:rsid w:val="002E3094"/>
    <w:rsid w:val="002E51D3"/>
    <w:rsid w:val="002E5C20"/>
    <w:rsid w:val="002F19E4"/>
    <w:rsid w:val="002F2B78"/>
    <w:rsid w:val="002F4C75"/>
    <w:rsid w:val="002F4F10"/>
    <w:rsid w:val="0030307F"/>
    <w:rsid w:val="003033DB"/>
    <w:rsid w:val="0030349B"/>
    <w:rsid w:val="00303577"/>
    <w:rsid w:val="00310057"/>
    <w:rsid w:val="003105AB"/>
    <w:rsid w:val="00311129"/>
    <w:rsid w:val="00313969"/>
    <w:rsid w:val="00314166"/>
    <w:rsid w:val="003221ED"/>
    <w:rsid w:val="0032230B"/>
    <w:rsid w:val="0032489C"/>
    <w:rsid w:val="00325DD5"/>
    <w:rsid w:val="00326174"/>
    <w:rsid w:val="003269A8"/>
    <w:rsid w:val="00326E88"/>
    <w:rsid w:val="00327180"/>
    <w:rsid w:val="00330C00"/>
    <w:rsid w:val="00331386"/>
    <w:rsid w:val="003322B0"/>
    <w:rsid w:val="003351F3"/>
    <w:rsid w:val="00340842"/>
    <w:rsid w:val="0034112A"/>
    <w:rsid w:val="003422EB"/>
    <w:rsid w:val="00343006"/>
    <w:rsid w:val="003449B6"/>
    <w:rsid w:val="00344D24"/>
    <w:rsid w:val="00346F70"/>
    <w:rsid w:val="003479B9"/>
    <w:rsid w:val="003528D5"/>
    <w:rsid w:val="00354E9D"/>
    <w:rsid w:val="003639B0"/>
    <w:rsid w:val="00365C54"/>
    <w:rsid w:val="00365E5A"/>
    <w:rsid w:val="00365EB7"/>
    <w:rsid w:val="0036650A"/>
    <w:rsid w:val="0037057B"/>
    <w:rsid w:val="003731AA"/>
    <w:rsid w:val="00373E08"/>
    <w:rsid w:val="00374575"/>
    <w:rsid w:val="003751BE"/>
    <w:rsid w:val="00376CD6"/>
    <w:rsid w:val="00382558"/>
    <w:rsid w:val="00384E6D"/>
    <w:rsid w:val="00385EF7"/>
    <w:rsid w:val="003869D8"/>
    <w:rsid w:val="00390FA7"/>
    <w:rsid w:val="00392E67"/>
    <w:rsid w:val="00393093"/>
    <w:rsid w:val="00394320"/>
    <w:rsid w:val="00395180"/>
    <w:rsid w:val="003971BD"/>
    <w:rsid w:val="003A2A77"/>
    <w:rsid w:val="003A4F00"/>
    <w:rsid w:val="003A65D2"/>
    <w:rsid w:val="003A6985"/>
    <w:rsid w:val="003B19A8"/>
    <w:rsid w:val="003B4E60"/>
    <w:rsid w:val="003B59C0"/>
    <w:rsid w:val="003B5EE4"/>
    <w:rsid w:val="003C4B26"/>
    <w:rsid w:val="003D2C33"/>
    <w:rsid w:val="003D3ED8"/>
    <w:rsid w:val="003D6150"/>
    <w:rsid w:val="003E149D"/>
    <w:rsid w:val="003E2995"/>
    <w:rsid w:val="003E42EA"/>
    <w:rsid w:val="003E47E1"/>
    <w:rsid w:val="003F0019"/>
    <w:rsid w:val="003F2BF8"/>
    <w:rsid w:val="003F3CC0"/>
    <w:rsid w:val="00401A5A"/>
    <w:rsid w:val="00403CB0"/>
    <w:rsid w:val="004040AC"/>
    <w:rsid w:val="00404436"/>
    <w:rsid w:val="00404617"/>
    <w:rsid w:val="004067E0"/>
    <w:rsid w:val="00412B9E"/>
    <w:rsid w:val="00414DC9"/>
    <w:rsid w:val="0041731C"/>
    <w:rsid w:val="00417B23"/>
    <w:rsid w:val="0042389D"/>
    <w:rsid w:val="00433F12"/>
    <w:rsid w:val="00435360"/>
    <w:rsid w:val="00436348"/>
    <w:rsid w:val="00445576"/>
    <w:rsid w:val="004474AF"/>
    <w:rsid w:val="00447685"/>
    <w:rsid w:val="004531A8"/>
    <w:rsid w:val="00457B88"/>
    <w:rsid w:val="00461503"/>
    <w:rsid w:val="004634F2"/>
    <w:rsid w:val="00475319"/>
    <w:rsid w:val="00480300"/>
    <w:rsid w:val="004805B6"/>
    <w:rsid w:val="00483E27"/>
    <w:rsid w:val="00484D37"/>
    <w:rsid w:val="00486ED9"/>
    <w:rsid w:val="0049142B"/>
    <w:rsid w:val="00492741"/>
    <w:rsid w:val="00494050"/>
    <w:rsid w:val="00494350"/>
    <w:rsid w:val="00494515"/>
    <w:rsid w:val="0049484D"/>
    <w:rsid w:val="00495F33"/>
    <w:rsid w:val="00496C91"/>
    <w:rsid w:val="00497112"/>
    <w:rsid w:val="00497813"/>
    <w:rsid w:val="004A1583"/>
    <w:rsid w:val="004A1D76"/>
    <w:rsid w:val="004A2464"/>
    <w:rsid w:val="004A405F"/>
    <w:rsid w:val="004A6299"/>
    <w:rsid w:val="004B12AF"/>
    <w:rsid w:val="004B4B57"/>
    <w:rsid w:val="004B4B6F"/>
    <w:rsid w:val="004B7B6C"/>
    <w:rsid w:val="004C0037"/>
    <w:rsid w:val="004C0D20"/>
    <w:rsid w:val="004C0F59"/>
    <w:rsid w:val="004C6E01"/>
    <w:rsid w:val="004C7DB3"/>
    <w:rsid w:val="004D3F4A"/>
    <w:rsid w:val="004D4B39"/>
    <w:rsid w:val="004D604F"/>
    <w:rsid w:val="004E120F"/>
    <w:rsid w:val="004E2370"/>
    <w:rsid w:val="004E4AAF"/>
    <w:rsid w:val="004F0022"/>
    <w:rsid w:val="004F0C56"/>
    <w:rsid w:val="004F188A"/>
    <w:rsid w:val="004F1B33"/>
    <w:rsid w:val="004F4D49"/>
    <w:rsid w:val="004F6209"/>
    <w:rsid w:val="004F6D55"/>
    <w:rsid w:val="004F737B"/>
    <w:rsid w:val="00500D91"/>
    <w:rsid w:val="005034FA"/>
    <w:rsid w:val="0050402B"/>
    <w:rsid w:val="005042D6"/>
    <w:rsid w:val="0050689F"/>
    <w:rsid w:val="00511890"/>
    <w:rsid w:val="00513323"/>
    <w:rsid w:val="005147EB"/>
    <w:rsid w:val="00515064"/>
    <w:rsid w:val="00515A47"/>
    <w:rsid w:val="00515AB5"/>
    <w:rsid w:val="0052155F"/>
    <w:rsid w:val="00521FD6"/>
    <w:rsid w:val="0052251E"/>
    <w:rsid w:val="0052342D"/>
    <w:rsid w:val="00523F8C"/>
    <w:rsid w:val="00524607"/>
    <w:rsid w:val="005304C7"/>
    <w:rsid w:val="005316F9"/>
    <w:rsid w:val="00532A1E"/>
    <w:rsid w:val="005334AD"/>
    <w:rsid w:val="00535EE5"/>
    <w:rsid w:val="005361B6"/>
    <w:rsid w:val="00542456"/>
    <w:rsid w:val="005434CA"/>
    <w:rsid w:val="00543DC0"/>
    <w:rsid w:val="00543DCA"/>
    <w:rsid w:val="00546003"/>
    <w:rsid w:val="005477F5"/>
    <w:rsid w:val="005538F9"/>
    <w:rsid w:val="00556DBB"/>
    <w:rsid w:val="00557289"/>
    <w:rsid w:val="00562722"/>
    <w:rsid w:val="00574814"/>
    <w:rsid w:val="00581FB2"/>
    <w:rsid w:val="005905B2"/>
    <w:rsid w:val="00591165"/>
    <w:rsid w:val="005932E9"/>
    <w:rsid w:val="0059338D"/>
    <w:rsid w:val="0059451B"/>
    <w:rsid w:val="005A2D8E"/>
    <w:rsid w:val="005A35B1"/>
    <w:rsid w:val="005B02A2"/>
    <w:rsid w:val="005B1D1D"/>
    <w:rsid w:val="005B38C6"/>
    <w:rsid w:val="005C18BB"/>
    <w:rsid w:val="005C1E01"/>
    <w:rsid w:val="005C2405"/>
    <w:rsid w:val="005C5BF3"/>
    <w:rsid w:val="005C640B"/>
    <w:rsid w:val="005D174D"/>
    <w:rsid w:val="005D2CDC"/>
    <w:rsid w:val="005D3457"/>
    <w:rsid w:val="005D39F2"/>
    <w:rsid w:val="005D5049"/>
    <w:rsid w:val="005D69E8"/>
    <w:rsid w:val="005E18C5"/>
    <w:rsid w:val="005E281B"/>
    <w:rsid w:val="005E4EA3"/>
    <w:rsid w:val="005F51BD"/>
    <w:rsid w:val="005F5358"/>
    <w:rsid w:val="0060672A"/>
    <w:rsid w:val="00606745"/>
    <w:rsid w:val="006067FE"/>
    <w:rsid w:val="00610880"/>
    <w:rsid w:val="00611F2C"/>
    <w:rsid w:val="00614BE2"/>
    <w:rsid w:val="00615DA1"/>
    <w:rsid w:val="00621D29"/>
    <w:rsid w:val="0062282C"/>
    <w:rsid w:val="00624857"/>
    <w:rsid w:val="00625CFC"/>
    <w:rsid w:val="00630128"/>
    <w:rsid w:val="0063155B"/>
    <w:rsid w:val="00631E07"/>
    <w:rsid w:val="00633761"/>
    <w:rsid w:val="00636495"/>
    <w:rsid w:val="006453CF"/>
    <w:rsid w:val="00646418"/>
    <w:rsid w:val="00652496"/>
    <w:rsid w:val="006532BD"/>
    <w:rsid w:val="006551B5"/>
    <w:rsid w:val="006557D7"/>
    <w:rsid w:val="00655B83"/>
    <w:rsid w:val="00662268"/>
    <w:rsid w:val="006634A7"/>
    <w:rsid w:val="00665A4B"/>
    <w:rsid w:val="00666210"/>
    <w:rsid w:val="0066663A"/>
    <w:rsid w:val="00666855"/>
    <w:rsid w:val="00667CFA"/>
    <w:rsid w:val="0067062C"/>
    <w:rsid w:val="0067106F"/>
    <w:rsid w:val="00671DBD"/>
    <w:rsid w:val="0067201F"/>
    <w:rsid w:val="006730AC"/>
    <w:rsid w:val="006749F0"/>
    <w:rsid w:val="006810E2"/>
    <w:rsid w:val="006819F9"/>
    <w:rsid w:val="0068569B"/>
    <w:rsid w:val="00685D19"/>
    <w:rsid w:val="006939E1"/>
    <w:rsid w:val="006943CC"/>
    <w:rsid w:val="00694776"/>
    <w:rsid w:val="006949BD"/>
    <w:rsid w:val="00694ABC"/>
    <w:rsid w:val="00694F87"/>
    <w:rsid w:val="006976C2"/>
    <w:rsid w:val="006A1CB5"/>
    <w:rsid w:val="006A2FE6"/>
    <w:rsid w:val="006A378B"/>
    <w:rsid w:val="006A4F97"/>
    <w:rsid w:val="006A6AAA"/>
    <w:rsid w:val="006A7683"/>
    <w:rsid w:val="006B4893"/>
    <w:rsid w:val="006B68AB"/>
    <w:rsid w:val="006B7B93"/>
    <w:rsid w:val="006C13BE"/>
    <w:rsid w:val="006C2ABA"/>
    <w:rsid w:val="006C48BB"/>
    <w:rsid w:val="006D174B"/>
    <w:rsid w:val="006D3E06"/>
    <w:rsid w:val="006D6DDE"/>
    <w:rsid w:val="006E1DCF"/>
    <w:rsid w:val="006E2741"/>
    <w:rsid w:val="006E2847"/>
    <w:rsid w:val="006E3343"/>
    <w:rsid w:val="006E3DFE"/>
    <w:rsid w:val="006E6F89"/>
    <w:rsid w:val="006F1501"/>
    <w:rsid w:val="006F1862"/>
    <w:rsid w:val="006F1F85"/>
    <w:rsid w:val="006F543F"/>
    <w:rsid w:val="006F7AB5"/>
    <w:rsid w:val="007029E2"/>
    <w:rsid w:val="00706801"/>
    <w:rsid w:val="00706985"/>
    <w:rsid w:val="00712239"/>
    <w:rsid w:val="0071465F"/>
    <w:rsid w:val="00714FC1"/>
    <w:rsid w:val="0071565C"/>
    <w:rsid w:val="00721507"/>
    <w:rsid w:val="007218CC"/>
    <w:rsid w:val="00722E70"/>
    <w:rsid w:val="00726466"/>
    <w:rsid w:val="00726A8A"/>
    <w:rsid w:val="00730181"/>
    <w:rsid w:val="00732BCF"/>
    <w:rsid w:val="00733478"/>
    <w:rsid w:val="00734741"/>
    <w:rsid w:val="00734D1D"/>
    <w:rsid w:val="0073680F"/>
    <w:rsid w:val="00736AED"/>
    <w:rsid w:val="00737140"/>
    <w:rsid w:val="00742930"/>
    <w:rsid w:val="00743771"/>
    <w:rsid w:val="00744D08"/>
    <w:rsid w:val="0074539F"/>
    <w:rsid w:val="007458BE"/>
    <w:rsid w:val="00745D7C"/>
    <w:rsid w:val="00746BAD"/>
    <w:rsid w:val="007557A9"/>
    <w:rsid w:val="00757204"/>
    <w:rsid w:val="007645E1"/>
    <w:rsid w:val="00764E6A"/>
    <w:rsid w:val="00766184"/>
    <w:rsid w:val="007672C2"/>
    <w:rsid w:val="0076760C"/>
    <w:rsid w:val="00767793"/>
    <w:rsid w:val="007679BB"/>
    <w:rsid w:val="00771891"/>
    <w:rsid w:val="007736D4"/>
    <w:rsid w:val="007749EF"/>
    <w:rsid w:val="00774C32"/>
    <w:rsid w:val="007755D2"/>
    <w:rsid w:val="007758D5"/>
    <w:rsid w:val="00776C82"/>
    <w:rsid w:val="00777F26"/>
    <w:rsid w:val="00780AE4"/>
    <w:rsid w:val="00780E2C"/>
    <w:rsid w:val="00781320"/>
    <w:rsid w:val="00784864"/>
    <w:rsid w:val="00785964"/>
    <w:rsid w:val="0079215F"/>
    <w:rsid w:val="007927FE"/>
    <w:rsid w:val="00792887"/>
    <w:rsid w:val="007935F6"/>
    <w:rsid w:val="007A2541"/>
    <w:rsid w:val="007A36D2"/>
    <w:rsid w:val="007A7A35"/>
    <w:rsid w:val="007A7AC7"/>
    <w:rsid w:val="007B321A"/>
    <w:rsid w:val="007C5580"/>
    <w:rsid w:val="007C5C6F"/>
    <w:rsid w:val="007C6440"/>
    <w:rsid w:val="007C79C0"/>
    <w:rsid w:val="007D00DF"/>
    <w:rsid w:val="007D341F"/>
    <w:rsid w:val="007D4408"/>
    <w:rsid w:val="007D4EE8"/>
    <w:rsid w:val="007D5D01"/>
    <w:rsid w:val="007D69AB"/>
    <w:rsid w:val="007E0400"/>
    <w:rsid w:val="007E12DD"/>
    <w:rsid w:val="007E1890"/>
    <w:rsid w:val="007E4333"/>
    <w:rsid w:val="007E5B82"/>
    <w:rsid w:val="007F05E1"/>
    <w:rsid w:val="007F0BB7"/>
    <w:rsid w:val="007F30B0"/>
    <w:rsid w:val="007F3A9B"/>
    <w:rsid w:val="007F47FA"/>
    <w:rsid w:val="007F768B"/>
    <w:rsid w:val="007F7AF5"/>
    <w:rsid w:val="008011F5"/>
    <w:rsid w:val="00801D7B"/>
    <w:rsid w:val="008034B7"/>
    <w:rsid w:val="008049D5"/>
    <w:rsid w:val="00804EC6"/>
    <w:rsid w:val="0080793B"/>
    <w:rsid w:val="00820C09"/>
    <w:rsid w:val="00820F08"/>
    <w:rsid w:val="00825587"/>
    <w:rsid w:val="00827ACC"/>
    <w:rsid w:val="00827C26"/>
    <w:rsid w:val="008321CB"/>
    <w:rsid w:val="00833936"/>
    <w:rsid w:val="00836F15"/>
    <w:rsid w:val="00840200"/>
    <w:rsid w:val="0084034D"/>
    <w:rsid w:val="0084047C"/>
    <w:rsid w:val="008416D7"/>
    <w:rsid w:val="00842BBA"/>
    <w:rsid w:val="00847CDE"/>
    <w:rsid w:val="00850AE4"/>
    <w:rsid w:val="00854EE1"/>
    <w:rsid w:val="00855A4B"/>
    <w:rsid w:val="008612A6"/>
    <w:rsid w:val="00863C2F"/>
    <w:rsid w:val="0086456B"/>
    <w:rsid w:val="00873E4A"/>
    <w:rsid w:val="00875D12"/>
    <w:rsid w:val="0088030C"/>
    <w:rsid w:val="00880C53"/>
    <w:rsid w:val="00881418"/>
    <w:rsid w:val="00882D0A"/>
    <w:rsid w:val="00883702"/>
    <w:rsid w:val="00883DD1"/>
    <w:rsid w:val="00885CE4"/>
    <w:rsid w:val="0089115F"/>
    <w:rsid w:val="00892678"/>
    <w:rsid w:val="00897485"/>
    <w:rsid w:val="00897AEF"/>
    <w:rsid w:val="00897BFA"/>
    <w:rsid w:val="008A34FB"/>
    <w:rsid w:val="008A490B"/>
    <w:rsid w:val="008A6229"/>
    <w:rsid w:val="008B259C"/>
    <w:rsid w:val="008B49D7"/>
    <w:rsid w:val="008B7253"/>
    <w:rsid w:val="008C272C"/>
    <w:rsid w:val="008C2C78"/>
    <w:rsid w:val="008C30D1"/>
    <w:rsid w:val="008C487C"/>
    <w:rsid w:val="008C681B"/>
    <w:rsid w:val="008C6EEA"/>
    <w:rsid w:val="008C7535"/>
    <w:rsid w:val="008C7E05"/>
    <w:rsid w:val="008D0AE3"/>
    <w:rsid w:val="008D22FB"/>
    <w:rsid w:val="008D3A68"/>
    <w:rsid w:val="008D3D7D"/>
    <w:rsid w:val="008D629D"/>
    <w:rsid w:val="008E34B2"/>
    <w:rsid w:val="008E518E"/>
    <w:rsid w:val="008E5EF0"/>
    <w:rsid w:val="008E5F94"/>
    <w:rsid w:val="008F0B4F"/>
    <w:rsid w:val="008F0E6F"/>
    <w:rsid w:val="008F139D"/>
    <w:rsid w:val="008F13CA"/>
    <w:rsid w:val="008F1D1C"/>
    <w:rsid w:val="008F3152"/>
    <w:rsid w:val="008F5807"/>
    <w:rsid w:val="009043A1"/>
    <w:rsid w:val="009058C0"/>
    <w:rsid w:val="00906A18"/>
    <w:rsid w:val="00907015"/>
    <w:rsid w:val="00907A61"/>
    <w:rsid w:val="00912083"/>
    <w:rsid w:val="00912129"/>
    <w:rsid w:val="00912574"/>
    <w:rsid w:val="0091516B"/>
    <w:rsid w:val="00915735"/>
    <w:rsid w:val="00916455"/>
    <w:rsid w:val="00931348"/>
    <w:rsid w:val="00933ED8"/>
    <w:rsid w:val="009362C9"/>
    <w:rsid w:val="009371DD"/>
    <w:rsid w:val="00937E8A"/>
    <w:rsid w:val="009425BC"/>
    <w:rsid w:val="00944FC6"/>
    <w:rsid w:val="00946366"/>
    <w:rsid w:val="009464E8"/>
    <w:rsid w:val="00946B19"/>
    <w:rsid w:val="00952222"/>
    <w:rsid w:val="00953838"/>
    <w:rsid w:val="00953CEF"/>
    <w:rsid w:val="00953F3E"/>
    <w:rsid w:val="00954411"/>
    <w:rsid w:val="00957057"/>
    <w:rsid w:val="009606E7"/>
    <w:rsid w:val="00960BAC"/>
    <w:rsid w:val="009626F4"/>
    <w:rsid w:val="00963F22"/>
    <w:rsid w:val="00964137"/>
    <w:rsid w:val="009644F4"/>
    <w:rsid w:val="00967C02"/>
    <w:rsid w:val="0097118C"/>
    <w:rsid w:val="009713E0"/>
    <w:rsid w:val="0097312C"/>
    <w:rsid w:val="00974C33"/>
    <w:rsid w:val="00975DC1"/>
    <w:rsid w:val="0097764A"/>
    <w:rsid w:val="00981CC2"/>
    <w:rsid w:val="00983C75"/>
    <w:rsid w:val="00984BC9"/>
    <w:rsid w:val="009867F8"/>
    <w:rsid w:val="00986C33"/>
    <w:rsid w:val="009870F1"/>
    <w:rsid w:val="009872F3"/>
    <w:rsid w:val="009906F0"/>
    <w:rsid w:val="00991FF3"/>
    <w:rsid w:val="00992EA8"/>
    <w:rsid w:val="009930B9"/>
    <w:rsid w:val="00993328"/>
    <w:rsid w:val="009936B4"/>
    <w:rsid w:val="00996F3A"/>
    <w:rsid w:val="009971D3"/>
    <w:rsid w:val="009A301B"/>
    <w:rsid w:val="009A4D96"/>
    <w:rsid w:val="009A6699"/>
    <w:rsid w:val="009B1647"/>
    <w:rsid w:val="009B36C5"/>
    <w:rsid w:val="009B4D8B"/>
    <w:rsid w:val="009C0737"/>
    <w:rsid w:val="009C1689"/>
    <w:rsid w:val="009C5BD3"/>
    <w:rsid w:val="009C6380"/>
    <w:rsid w:val="009D3D23"/>
    <w:rsid w:val="009D3D92"/>
    <w:rsid w:val="009D5A33"/>
    <w:rsid w:val="009D5E4B"/>
    <w:rsid w:val="009D797C"/>
    <w:rsid w:val="009E0285"/>
    <w:rsid w:val="009E2AA2"/>
    <w:rsid w:val="009E4161"/>
    <w:rsid w:val="009E4C10"/>
    <w:rsid w:val="009E6900"/>
    <w:rsid w:val="009E6ED1"/>
    <w:rsid w:val="009F012B"/>
    <w:rsid w:val="009F06E5"/>
    <w:rsid w:val="009F142C"/>
    <w:rsid w:val="009F2C2F"/>
    <w:rsid w:val="009F532F"/>
    <w:rsid w:val="009F7615"/>
    <w:rsid w:val="009F7D17"/>
    <w:rsid w:val="00A0086E"/>
    <w:rsid w:val="00A01D84"/>
    <w:rsid w:val="00A024A2"/>
    <w:rsid w:val="00A04645"/>
    <w:rsid w:val="00A12CCC"/>
    <w:rsid w:val="00A140AA"/>
    <w:rsid w:val="00A14F73"/>
    <w:rsid w:val="00A1551D"/>
    <w:rsid w:val="00A1780A"/>
    <w:rsid w:val="00A243A0"/>
    <w:rsid w:val="00A25387"/>
    <w:rsid w:val="00A269CD"/>
    <w:rsid w:val="00A30784"/>
    <w:rsid w:val="00A32FA7"/>
    <w:rsid w:val="00A33E90"/>
    <w:rsid w:val="00A35EF9"/>
    <w:rsid w:val="00A411A1"/>
    <w:rsid w:val="00A419CE"/>
    <w:rsid w:val="00A41CDD"/>
    <w:rsid w:val="00A4510F"/>
    <w:rsid w:val="00A4767C"/>
    <w:rsid w:val="00A51132"/>
    <w:rsid w:val="00A53575"/>
    <w:rsid w:val="00A53FB3"/>
    <w:rsid w:val="00A5682B"/>
    <w:rsid w:val="00A56A95"/>
    <w:rsid w:val="00A57D21"/>
    <w:rsid w:val="00A61FE7"/>
    <w:rsid w:val="00A63186"/>
    <w:rsid w:val="00A63F7E"/>
    <w:rsid w:val="00A706E3"/>
    <w:rsid w:val="00A71CE3"/>
    <w:rsid w:val="00A75EA7"/>
    <w:rsid w:val="00A76C6E"/>
    <w:rsid w:val="00A8048D"/>
    <w:rsid w:val="00A828FA"/>
    <w:rsid w:val="00A84BF6"/>
    <w:rsid w:val="00A8554C"/>
    <w:rsid w:val="00A93CD4"/>
    <w:rsid w:val="00A948B8"/>
    <w:rsid w:val="00A960BC"/>
    <w:rsid w:val="00A96A66"/>
    <w:rsid w:val="00A97E03"/>
    <w:rsid w:val="00AA4693"/>
    <w:rsid w:val="00AA5C48"/>
    <w:rsid w:val="00AA63DD"/>
    <w:rsid w:val="00AA6E3C"/>
    <w:rsid w:val="00AB017B"/>
    <w:rsid w:val="00AB193D"/>
    <w:rsid w:val="00AB26C8"/>
    <w:rsid w:val="00AB459F"/>
    <w:rsid w:val="00AB4648"/>
    <w:rsid w:val="00AB49A4"/>
    <w:rsid w:val="00AB5375"/>
    <w:rsid w:val="00AB7758"/>
    <w:rsid w:val="00AC503F"/>
    <w:rsid w:val="00AC7218"/>
    <w:rsid w:val="00AD0DCA"/>
    <w:rsid w:val="00AD2C02"/>
    <w:rsid w:val="00AD4EF5"/>
    <w:rsid w:val="00AD5016"/>
    <w:rsid w:val="00AD5299"/>
    <w:rsid w:val="00AD74E7"/>
    <w:rsid w:val="00AE099D"/>
    <w:rsid w:val="00AE1B03"/>
    <w:rsid w:val="00AE2DAF"/>
    <w:rsid w:val="00AE3CC8"/>
    <w:rsid w:val="00AE3E72"/>
    <w:rsid w:val="00AE3FD3"/>
    <w:rsid w:val="00AE469E"/>
    <w:rsid w:val="00AE7751"/>
    <w:rsid w:val="00AF4BA0"/>
    <w:rsid w:val="00AF63C5"/>
    <w:rsid w:val="00AF676B"/>
    <w:rsid w:val="00AF6815"/>
    <w:rsid w:val="00AF6DD8"/>
    <w:rsid w:val="00AF7523"/>
    <w:rsid w:val="00B016A4"/>
    <w:rsid w:val="00B01758"/>
    <w:rsid w:val="00B02EC3"/>
    <w:rsid w:val="00B037A6"/>
    <w:rsid w:val="00B1220F"/>
    <w:rsid w:val="00B1495B"/>
    <w:rsid w:val="00B14B41"/>
    <w:rsid w:val="00B20A44"/>
    <w:rsid w:val="00B23701"/>
    <w:rsid w:val="00B32881"/>
    <w:rsid w:val="00B33940"/>
    <w:rsid w:val="00B41C8D"/>
    <w:rsid w:val="00B42A2D"/>
    <w:rsid w:val="00B43D69"/>
    <w:rsid w:val="00B4499A"/>
    <w:rsid w:val="00B4590B"/>
    <w:rsid w:val="00B55575"/>
    <w:rsid w:val="00B5732E"/>
    <w:rsid w:val="00B607C0"/>
    <w:rsid w:val="00B62181"/>
    <w:rsid w:val="00B65337"/>
    <w:rsid w:val="00B80B23"/>
    <w:rsid w:val="00B8202D"/>
    <w:rsid w:val="00B90132"/>
    <w:rsid w:val="00B90830"/>
    <w:rsid w:val="00B93CAB"/>
    <w:rsid w:val="00BA0406"/>
    <w:rsid w:val="00BB2BBF"/>
    <w:rsid w:val="00BB4D9E"/>
    <w:rsid w:val="00BB5D50"/>
    <w:rsid w:val="00BB6029"/>
    <w:rsid w:val="00BB6994"/>
    <w:rsid w:val="00BB7FA6"/>
    <w:rsid w:val="00BC19D0"/>
    <w:rsid w:val="00BC27FF"/>
    <w:rsid w:val="00BC3C6E"/>
    <w:rsid w:val="00BC3FD5"/>
    <w:rsid w:val="00BC49B6"/>
    <w:rsid w:val="00BD4D9C"/>
    <w:rsid w:val="00BD64E2"/>
    <w:rsid w:val="00BE3A92"/>
    <w:rsid w:val="00BF2060"/>
    <w:rsid w:val="00BF3D88"/>
    <w:rsid w:val="00BF4D86"/>
    <w:rsid w:val="00BF567C"/>
    <w:rsid w:val="00C00211"/>
    <w:rsid w:val="00C01266"/>
    <w:rsid w:val="00C01503"/>
    <w:rsid w:val="00C02353"/>
    <w:rsid w:val="00C042A4"/>
    <w:rsid w:val="00C048DF"/>
    <w:rsid w:val="00C04F74"/>
    <w:rsid w:val="00C05CF6"/>
    <w:rsid w:val="00C12AAC"/>
    <w:rsid w:val="00C1307E"/>
    <w:rsid w:val="00C13335"/>
    <w:rsid w:val="00C1386F"/>
    <w:rsid w:val="00C14074"/>
    <w:rsid w:val="00C17E4A"/>
    <w:rsid w:val="00C23658"/>
    <w:rsid w:val="00C25063"/>
    <w:rsid w:val="00C267B9"/>
    <w:rsid w:val="00C27194"/>
    <w:rsid w:val="00C301CA"/>
    <w:rsid w:val="00C32537"/>
    <w:rsid w:val="00C32A65"/>
    <w:rsid w:val="00C3479D"/>
    <w:rsid w:val="00C34817"/>
    <w:rsid w:val="00C35F9F"/>
    <w:rsid w:val="00C42C0F"/>
    <w:rsid w:val="00C44852"/>
    <w:rsid w:val="00C45760"/>
    <w:rsid w:val="00C45C7C"/>
    <w:rsid w:val="00C51181"/>
    <w:rsid w:val="00C512BC"/>
    <w:rsid w:val="00C526CA"/>
    <w:rsid w:val="00C57B71"/>
    <w:rsid w:val="00C613A7"/>
    <w:rsid w:val="00C620F7"/>
    <w:rsid w:val="00C63602"/>
    <w:rsid w:val="00C64A11"/>
    <w:rsid w:val="00C7008E"/>
    <w:rsid w:val="00C713DA"/>
    <w:rsid w:val="00C71F3D"/>
    <w:rsid w:val="00C74151"/>
    <w:rsid w:val="00C80A45"/>
    <w:rsid w:val="00C80A94"/>
    <w:rsid w:val="00C824E9"/>
    <w:rsid w:val="00C903C8"/>
    <w:rsid w:val="00C9046E"/>
    <w:rsid w:val="00C9179B"/>
    <w:rsid w:val="00CA02E9"/>
    <w:rsid w:val="00CA2843"/>
    <w:rsid w:val="00CA538E"/>
    <w:rsid w:val="00CA5DD8"/>
    <w:rsid w:val="00CB025B"/>
    <w:rsid w:val="00CB0BB0"/>
    <w:rsid w:val="00CB0D00"/>
    <w:rsid w:val="00CB1B02"/>
    <w:rsid w:val="00CB2027"/>
    <w:rsid w:val="00CB3EE6"/>
    <w:rsid w:val="00CB585C"/>
    <w:rsid w:val="00CB5BB7"/>
    <w:rsid w:val="00CC1E94"/>
    <w:rsid w:val="00CC5892"/>
    <w:rsid w:val="00CD2E67"/>
    <w:rsid w:val="00CD4C50"/>
    <w:rsid w:val="00CD54AC"/>
    <w:rsid w:val="00CD5C34"/>
    <w:rsid w:val="00CD5DCC"/>
    <w:rsid w:val="00CD7631"/>
    <w:rsid w:val="00CD7F5D"/>
    <w:rsid w:val="00CE2CD8"/>
    <w:rsid w:val="00CE3194"/>
    <w:rsid w:val="00CE5C16"/>
    <w:rsid w:val="00CE5FBB"/>
    <w:rsid w:val="00CE611F"/>
    <w:rsid w:val="00CE7FED"/>
    <w:rsid w:val="00CF0F98"/>
    <w:rsid w:val="00CF14DC"/>
    <w:rsid w:val="00CF66AE"/>
    <w:rsid w:val="00D038C3"/>
    <w:rsid w:val="00D04B6E"/>
    <w:rsid w:val="00D070B7"/>
    <w:rsid w:val="00D10B90"/>
    <w:rsid w:val="00D11E13"/>
    <w:rsid w:val="00D146EF"/>
    <w:rsid w:val="00D20941"/>
    <w:rsid w:val="00D22188"/>
    <w:rsid w:val="00D23306"/>
    <w:rsid w:val="00D36798"/>
    <w:rsid w:val="00D36AAB"/>
    <w:rsid w:val="00D36D11"/>
    <w:rsid w:val="00D40AF7"/>
    <w:rsid w:val="00D40BFD"/>
    <w:rsid w:val="00D462E4"/>
    <w:rsid w:val="00D4659C"/>
    <w:rsid w:val="00D50AA7"/>
    <w:rsid w:val="00D50C49"/>
    <w:rsid w:val="00D53B47"/>
    <w:rsid w:val="00D55E70"/>
    <w:rsid w:val="00D57EEA"/>
    <w:rsid w:val="00D64584"/>
    <w:rsid w:val="00D701D6"/>
    <w:rsid w:val="00D71922"/>
    <w:rsid w:val="00D73B0D"/>
    <w:rsid w:val="00D759D6"/>
    <w:rsid w:val="00D75B54"/>
    <w:rsid w:val="00D76884"/>
    <w:rsid w:val="00D809D1"/>
    <w:rsid w:val="00D80FB4"/>
    <w:rsid w:val="00D82D89"/>
    <w:rsid w:val="00D82DD9"/>
    <w:rsid w:val="00D83362"/>
    <w:rsid w:val="00D8345E"/>
    <w:rsid w:val="00D85217"/>
    <w:rsid w:val="00D85688"/>
    <w:rsid w:val="00D85FBA"/>
    <w:rsid w:val="00D92B04"/>
    <w:rsid w:val="00D93217"/>
    <w:rsid w:val="00D9403D"/>
    <w:rsid w:val="00D944DE"/>
    <w:rsid w:val="00D9457E"/>
    <w:rsid w:val="00DA2AF7"/>
    <w:rsid w:val="00DA4730"/>
    <w:rsid w:val="00DA491C"/>
    <w:rsid w:val="00DA7144"/>
    <w:rsid w:val="00DB3594"/>
    <w:rsid w:val="00DB5B64"/>
    <w:rsid w:val="00DB5BE8"/>
    <w:rsid w:val="00DB7360"/>
    <w:rsid w:val="00DC07CB"/>
    <w:rsid w:val="00DC12F2"/>
    <w:rsid w:val="00DC2EE6"/>
    <w:rsid w:val="00DC41B8"/>
    <w:rsid w:val="00DC5168"/>
    <w:rsid w:val="00DD1307"/>
    <w:rsid w:val="00DD2B83"/>
    <w:rsid w:val="00DD2F68"/>
    <w:rsid w:val="00DD4B74"/>
    <w:rsid w:val="00DD5846"/>
    <w:rsid w:val="00DE00D0"/>
    <w:rsid w:val="00DE0CB9"/>
    <w:rsid w:val="00DE1B7F"/>
    <w:rsid w:val="00DE1E39"/>
    <w:rsid w:val="00DE266B"/>
    <w:rsid w:val="00DE42E9"/>
    <w:rsid w:val="00DE4C6D"/>
    <w:rsid w:val="00DE5846"/>
    <w:rsid w:val="00DE60B7"/>
    <w:rsid w:val="00DE7FD2"/>
    <w:rsid w:val="00DF10D9"/>
    <w:rsid w:val="00DF1664"/>
    <w:rsid w:val="00DF1CD2"/>
    <w:rsid w:val="00DF2E41"/>
    <w:rsid w:val="00DF6536"/>
    <w:rsid w:val="00DF7567"/>
    <w:rsid w:val="00E033AD"/>
    <w:rsid w:val="00E04822"/>
    <w:rsid w:val="00E0600E"/>
    <w:rsid w:val="00E109DF"/>
    <w:rsid w:val="00E11B81"/>
    <w:rsid w:val="00E147C9"/>
    <w:rsid w:val="00E14940"/>
    <w:rsid w:val="00E14F17"/>
    <w:rsid w:val="00E15025"/>
    <w:rsid w:val="00E2286F"/>
    <w:rsid w:val="00E23A6F"/>
    <w:rsid w:val="00E25E00"/>
    <w:rsid w:val="00E3092C"/>
    <w:rsid w:val="00E3296D"/>
    <w:rsid w:val="00E33239"/>
    <w:rsid w:val="00E3586E"/>
    <w:rsid w:val="00E40A2B"/>
    <w:rsid w:val="00E43E19"/>
    <w:rsid w:val="00E467D7"/>
    <w:rsid w:val="00E46ABA"/>
    <w:rsid w:val="00E475F9"/>
    <w:rsid w:val="00E502AA"/>
    <w:rsid w:val="00E50A08"/>
    <w:rsid w:val="00E539D6"/>
    <w:rsid w:val="00E53FDE"/>
    <w:rsid w:val="00E56C8F"/>
    <w:rsid w:val="00E62217"/>
    <w:rsid w:val="00E66152"/>
    <w:rsid w:val="00E67C27"/>
    <w:rsid w:val="00E70DF4"/>
    <w:rsid w:val="00E7309B"/>
    <w:rsid w:val="00E73793"/>
    <w:rsid w:val="00E755C9"/>
    <w:rsid w:val="00E75E03"/>
    <w:rsid w:val="00E81857"/>
    <w:rsid w:val="00E82BF5"/>
    <w:rsid w:val="00E864F2"/>
    <w:rsid w:val="00E86BE0"/>
    <w:rsid w:val="00E9134A"/>
    <w:rsid w:val="00E91E4E"/>
    <w:rsid w:val="00E91FAD"/>
    <w:rsid w:val="00E923DD"/>
    <w:rsid w:val="00E92A52"/>
    <w:rsid w:val="00E936ED"/>
    <w:rsid w:val="00E94756"/>
    <w:rsid w:val="00E94778"/>
    <w:rsid w:val="00E95156"/>
    <w:rsid w:val="00E962D3"/>
    <w:rsid w:val="00EA0D88"/>
    <w:rsid w:val="00EA4454"/>
    <w:rsid w:val="00EB2DE6"/>
    <w:rsid w:val="00EB4894"/>
    <w:rsid w:val="00EB4CAB"/>
    <w:rsid w:val="00EC06B1"/>
    <w:rsid w:val="00EC489E"/>
    <w:rsid w:val="00EC718C"/>
    <w:rsid w:val="00ED0178"/>
    <w:rsid w:val="00ED1943"/>
    <w:rsid w:val="00ED27F1"/>
    <w:rsid w:val="00ED2F2F"/>
    <w:rsid w:val="00ED32A1"/>
    <w:rsid w:val="00ED618C"/>
    <w:rsid w:val="00ED6CC2"/>
    <w:rsid w:val="00ED7673"/>
    <w:rsid w:val="00ED7A2E"/>
    <w:rsid w:val="00EE5944"/>
    <w:rsid w:val="00EE5AC5"/>
    <w:rsid w:val="00EE7037"/>
    <w:rsid w:val="00EE76BD"/>
    <w:rsid w:val="00EF023D"/>
    <w:rsid w:val="00EF03FA"/>
    <w:rsid w:val="00EF0E18"/>
    <w:rsid w:val="00EF353F"/>
    <w:rsid w:val="00EF3B95"/>
    <w:rsid w:val="00EF3DFC"/>
    <w:rsid w:val="00EF4FB1"/>
    <w:rsid w:val="00F004D8"/>
    <w:rsid w:val="00F024D6"/>
    <w:rsid w:val="00F04134"/>
    <w:rsid w:val="00F041C4"/>
    <w:rsid w:val="00F06CA8"/>
    <w:rsid w:val="00F10517"/>
    <w:rsid w:val="00F1189F"/>
    <w:rsid w:val="00F1444D"/>
    <w:rsid w:val="00F151AE"/>
    <w:rsid w:val="00F15E6E"/>
    <w:rsid w:val="00F21B0D"/>
    <w:rsid w:val="00F236D6"/>
    <w:rsid w:val="00F26E9F"/>
    <w:rsid w:val="00F27D7D"/>
    <w:rsid w:val="00F30542"/>
    <w:rsid w:val="00F33DDC"/>
    <w:rsid w:val="00F36D1D"/>
    <w:rsid w:val="00F3768C"/>
    <w:rsid w:val="00F456E7"/>
    <w:rsid w:val="00F45844"/>
    <w:rsid w:val="00F51C73"/>
    <w:rsid w:val="00F525D1"/>
    <w:rsid w:val="00F52CBB"/>
    <w:rsid w:val="00F54280"/>
    <w:rsid w:val="00F546BE"/>
    <w:rsid w:val="00F577A6"/>
    <w:rsid w:val="00F600F9"/>
    <w:rsid w:val="00F60909"/>
    <w:rsid w:val="00F61357"/>
    <w:rsid w:val="00F625F5"/>
    <w:rsid w:val="00F73268"/>
    <w:rsid w:val="00F77126"/>
    <w:rsid w:val="00F77736"/>
    <w:rsid w:val="00F811CB"/>
    <w:rsid w:val="00F81673"/>
    <w:rsid w:val="00F81E0F"/>
    <w:rsid w:val="00F9017E"/>
    <w:rsid w:val="00F90F73"/>
    <w:rsid w:val="00F91517"/>
    <w:rsid w:val="00F91B78"/>
    <w:rsid w:val="00F92275"/>
    <w:rsid w:val="00F929F4"/>
    <w:rsid w:val="00F945D0"/>
    <w:rsid w:val="00FA270C"/>
    <w:rsid w:val="00FA345F"/>
    <w:rsid w:val="00FA36F0"/>
    <w:rsid w:val="00FA6D44"/>
    <w:rsid w:val="00FA7091"/>
    <w:rsid w:val="00FB092F"/>
    <w:rsid w:val="00FB4F0F"/>
    <w:rsid w:val="00FB6539"/>
    <w:rsid w:val="00FB78C9"/>
    <w:rsid w:val="00FB79F3"/>
    <w:rsid w:val="00FC018F"/>
    <w:rsid w:val="00FC0BF3"/>
    <w:rsid w:val="00FC290C"/>
    <w:rsid w:val="00FC4464"/>
    <w:rsid w:val="00FC479E"/>
    <w:rsid w:val="00FC4A23"/>
    <w:rsid w:val="00FC6238"/>
    <w:rsid w:val="00FC6CFC"/>
    <w:rsid w:val="00FD02AE"/>
    <w:rsid w:val="00FD03D6"/>
    <w:rsid w:val="00FD07FD"/>
    <w:rsid w:val="00FD0A25"/>
    <w:rsid w:val="00FD5890"/>
    <w:rsid w:val="00FD6E5D"/>
    <w:rsid w:val="00FE1366"/>
    <w:rsid w:val="00FE1E98"/>
    <w:rsid w:val="00FE21FB"/>
    <w:rsid w:val="00FE2B1A"/>
    <w:rsid w:val="00FE3BE1"/>
    <w:rsid w:val="00FE3D2F"/>
    <w:rsid w:val="00FE3D38"/>
    <w:rsid w:val="00FE6CA4"/>
    <w:rsid w:val="00FE7C0B"/>
    <w:rsid w:val="00FF477F"/>
    <w:rsid w:val="00FF502D"/>
    <w:rsid w:val="00FF684E"/>
    <w:rsid w:val="00FF6C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C93A16"/>
  <w15:docId w15:val="{EAC3C572-CB44-4589-AF3B-EB74CB4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3322B0"/>
    <w:rPr>
      <w:color w:val="800080" w:themeColor="followedHyperlink"/>
      <w:u w:val="single"/>
    </w:rPr>
  </w:style>
  <w:style w:type="paragraph" w:styleId="Funotentext">
    <w:name w:val="footnote text"/>
    <w:basedOn w:val="Standard"/>
    <w:link w:val="FunotentextZchn"/>
    <w:uiPriority w:val="99"/>
    <w:semiHidden/>
    <w:unhideWhenUsed/>
    <w:rsid w:val="00130ACE"/>
    <w:rPr>
      <w:sz w:val="20"/>
      <w:szCs w:val="20"/>
    </w:rPr>
  </w:style>
  <w:style w:type="character" w:customStyle="1" w:styleId="FunotentextZchn">
    <w:name w:val="Fußnotentext Zchn"/>
    <w:basedOn w:val="Absatz-Standardschriftart"/>
    <w:link w:val="Funotentext"/>
    <w:uiPriority w:val="99"/>
    <w:semiHidden/>
    <w:rsid w:val="00130ACE"/>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160">
      <w:bodyDiv w:val="1"/>
      <w:marLeft w:val="0"/>
      <w:marRight w:val="0"/>
      <w:marTop w:val="0"/>
      <w:marBottom w:val="0"/>
      <w:divBdr>
        <w:top w:val="none" w:sz="0" w:space="0" w:color="auto"/>
        <w:left w:val="none" w:sz="0" w:space="0" w:color="auto"/>
        <w:bottom w:val="none" w:sz="0" w:space="0" w:color="auto"/>
        <w:right w:val="none" w:sz="0" w:space="0" w:color="auto"/>
      </w:divBdr>
    </w:div>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874997472">
      <w:bodyDiv w:val="1"/>
      <w:marLeft w:val="0"/>
      <w:marRight w:val="0"/>
      <w:marTop w:val="0"/>
      <w:marBottom w:val="0"/>
      <w:divBdr>
        <w:top w:val="none" w:sz="0" w:space="0" w:color="auto"/>
        <w:left w:val="none" w:sz="0" w:space="0" w:color="auto"/>
        <w:bottom w:val="none" w:sz="0" w:space="0" w:color="auto"/>
        <w:right w:val="none" w:sz="0" w:space="0" w:color="auto"/>
      </w:divBdr>
    </w:div>
    <w:div w:id="1108890730">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2.xml><?xml version="1.0" encoding="utf-8"?>
<ds:datastoreItem xmlns:ds="http://schemas.openxmlformats.org/officeDocument/2006/customXml" ds:itemID="{34F82C2F-B4B0-4952-8822-26CDBF9F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ED2CB-D2D1-424B-9FD1-920F47901F66}">
  <ds:schemaRefs>
    <ds:schemaRef ds:uri="http://schemas.microsoft.com/sharepoint/v3"/>
    <ds:schemaRef ds:uri="6d7844ee-d12b-4797-a453-a64684132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5C30C6C-F057-4C48-8711-599EEEF7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7564</Words>
  <Characters>58025</Characters>
  <Application>Microsoft Office Word</Application>
  <DocSecurity>0</DocSecurity>
  <Lines>483</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65459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24</cp:revision>
  <cp:lastPrinted>2020-06-23T16:09:00Z</cp:lastPrinted>
  <dcterms:created xsi:type="dcterms:W3CDTF">2021-07-21T13:31:00Z</dcterms:created>
  <dcterms:modified xsi:type="dcterms:W3CDTF">2024-12-16T10:37:00Z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