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2EF1" w14:textId="77777777" w:rsidR="009B5C02" w:rsidRDefault="009B5C02" w:rsidP="00546F18">
      <w:pPr>
        <w:pStyle w:val="Titel"/>
      </w:pPr>
    </w:p>
    <w:p w14:paraId="054E707D" w14:textId="4A85AE6B" w:rsidR="00883D4B" w:rsidRPr="00D12445" w:rsidRDefault="00546F18" w:rsidP="00546F18">
      <w:pPr>
        <w:pStyle w:val="Titel"/>
        <w:rPr>
          <w:highlight w:val="yellow"/>
        </w:rPr>
      </w:pPr>
      <w:r w:rsidRPr="005F0B68">
        <w:t xml:space="preserve">Anhang </w:t>
      </w:r>
      <w:r w:rsidR="006A3D14" w:rsidRPr="00077AB2">
        <w:t>M2</w:t>
      </w:r>
      <w:r w:rsidR="005039A7" w:rsidRPr="005F0B68">
        <w:t xml:space="preserve"> zu FMA-Richtlinie </w:t>
      </w:r>
      <w:r w:rsidR="00950108">
        <w:t>2025/</w:t>
      </w:r>
      <w:r w:rsidR="001722BF">
        <w:t>1</w:t>
      </w:r>
      <w:r w:rsidRPr="005F0B68">
        <w:t>:</w:t>
      </w:r>
      <w:r>
        <w:t xml:space="preserve"> Gliederung </w:t>
      </w:r>
      <w:r w:rsidR="009B5C02">
        <w:t xml:space="preserve">und Inhalt </w:t>
      </w:r>
      <w:r>
        <w:t xml:space="preserve">des </w:t>
      </w:r>
      <w:r w:rsidR="00262966">
        <w:t xml:space="preserve">Berichts über die </w:t>
      </w:r>
      <w:r w:rsidR="0071324A">
        <w:t>Aufsichtsprüfung</w:t>
      </w:r>
      <w:r w:rsidR="00262966">
        <w:t xml:space="preserve"> </w:t>
      </w:r>
      <w:r w:rsidR="008B3785">
        <w:t>der nachhaltigkeitsbezogene Offenlegungspflichten im Finanzdienstleistungssektor</w:t>
      </w:r>
      <w:bookmarkStart w:id="0" w:name="_GoBack"/>
      <w:bookmarkEnd w:id="0"/>
    </w:p>
    <w:p w14:paraId="2D3E1DEA" w14:textId="77777777" w:rsidR="006E37F1" w:rsidRPr="00D12445" w:rsidRDefault="006E37F1" w:rsidP="00F32947">
      <w:pPr>
        <w:pStyle w:val="Verzeichnis1"/>
        <w:tabs>
          <w:tab w:val="clear" w:pos="851"/>
          <w:tab w:val="left" w:pos="426"/>
        </w:tabs>
        <w:spacing w:after="0" w:line="240" w:lineRule="auto"/>
        <w:rPr>
          <w:rFonts w:cs="Arial"/>
        </w:rPr>
      </w:pPr>
    </w:p>
    <w:p w14:paraId="1BB73C27" w14:textId="07502485" w:rsidR="00A735F0" w:rsidRDefault="00383CAB">
      <w:pPr>
        <w:pStyle w:val="Verzeichnis1"/>
        <w:rPr>
          <w:rFonts w:asciiTheme="minorHAnsi" w:eastAsiaTheme="minorEastAsia" w:hAnsiTheme="minorHAnsi"/>
          <w:noProof/>
          <w:sz w:val="22"/>
          <w:szCs w:val="22"/>
          <w:lang w:eastAsia="de-CH"/>
        </w:rPr>
      </w:pPr>
      <w:r w:rsidRPr="00D12445">
        <w:rPr>
          <w:rFonts w:cs="Arial"/>
        </w:rPr>
        <w:fldChar w:fldCharType="begin"/>
      </w:r>
      <w:r w:rsidRPr="00D12445">
        <w:rPr>
          <w:rFonts w:cs="Arial"/>
        </w:rPr>
        <w:instrText xml:space="preserve"> TOC \o \h \z \u </w:instrText>
      </w:r>
      <w:r w:rsidRPr="00D12445">
        <w:rPr>
          <w:rFonts w:cs="Arial"/>
        </w:rPr>
        <w:fldChar w:fldCharType="separate"/>
      </w:r>
      <w:hyperlink w:anchor="_Toc185241518" w:history="1">
        <w:r w:rsidR="00A735F0" w:rsidRPr="00C672C7">
          <w:rPr>
            <w:rStyle w:val="Hyperlink"/>
            <w:noProof/>
          </w:rPr>
          <w:t>1.</w:t>
        </w:r>
        <w:r w:rsidR="00A735F0">
          <w:rPr>
            <w:rFonts w:asciiTheme="minorHAnsi" w:eastAsiaTheme="minorEastAsia" w:hAnsiTheme="minorHAnsi"/>
            <w:noProof/>
            <w:sz w:val="22"/>
            <w:szCs w:val="22"/>
            <w:lang w:eastAsia="de-CH"/>
          </w:rPr>
          <w:tab/>
        </w:r>
        <w:r w:rsidR="00A735F0" w:rsidRPr="00C672C7">
          <w:rPr>
            <w:rStyle w:val="Hyperlink"/>
            <w:noProof/>
          </w:rPr>
          <w:t>Wesentliche Eigenheiten des Finanzmarktteilnehmers/Finanzberaters</w:t>
        </w:r>
        <w:r w:rsidR="00A735F0">
          <w:rPr>
            <w:noProof/>
            <w:webHidden/>
          </w:rPr>
          <w:tab/>
        </w:r>
        <w:r w:rsidR="00A735F0">
          <w:rPr>
            <w:noProof/>
            <w:webHidden/>
          </w:rPr>
          <w:fldChar w:fldCharType="begin"/>
        </w:r>
        <w:r w:rsidR="00A735F0">
          <w:rPr>
            <w:noProof/>
            <w:webHidden/>
          </w:rPr>
          <w:instrText xml:space="preserve"> PAGEREF _Toc185241518 \h </w:instrText>
        </w:r>
        <w:r w:rsidR="00A735F0">
          <w:rPr>
            <w:noProof/>
            <w:webHidden/>
          </w:rPr>
        </w:r>
        <w:r w:rsidR="00A735F0">
          <w:rPr>
            <w:noProof/>
            <w:webHidden/>
          </w:rPr>
          <w:fldChar w:fldCharType="separate"/>
        </w:r>
        <w:r w:rsidR="00A735F0">
          <w:rPr>
            <w:noProof/>
            <w:webHidden/>
          </w:rPr>
          <w:t>2</w:t>
        </w:r>
        <w:r w:rsidR="00A735F0">
          <w:rPr>
            <w:noProof/>
            <w:webHidden/>
          </w:rPr>
          <w:fldChar w:fldCharType="end"/>
        </w:r>
      </w:hyperlink>
    </w:p>
    <w:p w14:paraId="5F8B6162" w14:textId="1E33ED47" w:rsidR="00A735F0" w:rsidRDefault="001722BF">
      <w:pPr>
        <w:pStyle w:val="Verzeichnis1"/>
        <w:rPr>
          <w:rFonts w:asciiTheme="minorHAnsi" w:eastAsiaTheme="minorEastAsia" w:hAnsiTheme="minorHAnsi"/>
          <w:noProof/>
          <w:sz w:val="22"/>
          <w:szCs w:val="22"/>
          <w:lang w:eastAsia="de-CH"/>
        </w:rPr>
      </w:pPr>
      <w:hyperlink w:anchor="_Toc185241519" w:history="1">
        <w:r w:rsidR="00A735F0" w:rsidRPr="00C672C7">
          <w:rPr>
            <w:rStyle w:val="Hyperlink"/>
            <w:noProof/>
          </w:rPr>
          <w:t>2.</w:t>
        </w:r>
        <w:r w:rsidR="00A735F0">
          <w:rPr>
            <w:rFonts w:asciiTheme="minorHAnsi" w:eastAsiaTheme="minorEastAsia" w:hAnsiTheme="minorHAnsi"/>
            <w:noProof/>
            <w:sz w:val="22"/>
            <w:szCs w:val="22"/>
            <w:lang w:eastAsia="de-CH"/>
          </w:rPr>
          <w:tab/>
        </w:r>
        <w:r w:rsidR="00A735F0" w:rsidRPr="00C672C7">
          <w:rPr>
            <w:rStyle w:val="Hyperlink"/>
            <w:noProof/>
          </w:rPr>
          <w:t>Zusammenfassung der Prüfungsergebnisse</w:t>
        </w:r>
        <w:r w:rsidR="00A735F0">
          <w:rPr>
            <w:noProof/>
            <w:webHidden/>
          </w:rPr>
          <w:tab/>
        </w:r>
        <w:r w:rsidR="00A735F0">
          <w:rPr>
            <w:noProof/>
            <w:webHidden/>
          </w:rPr>
          <w:fldChar w:fldCharType="begin"/>
        </w:r>
        <w:r w:rsidR="00A735F0">
          <w:rPr>
            <w:noProof/>
            <w:webHidden/>
          </w:rPr>
          <w:instrText xml:space="preserve"> PAGEREF _Toc185241519 \h </w:instrText>
        </w:r>
        <w:r w:rsidR="00A735F0">
          <w:rPr>
            <w:noProof/>
            <w:webHidden/>
          </w:rPr>
        </w:r>
        <w:r w:rsidR="00A735F0">
          <w:rPr>
            <w:noProof/>
            <w:webHidden/>
          </w:rPr>
          <w:fldChar w:fldCharType="separate"/>
        </w:r>
        <w:r w:rsidR="00A735F0">
          <w:rPr>
            <w:noProof/>
            <w:webHidden/>
          </w:rPr>
          <w:t>2</w:t>
        </w:r>
        <w:r w:rsidR="00A735F0">
          <w:rPr>
            <w:noProof/>
            <w:webHidden/>
          </w:rPr>
          <w:fldChar w:fldCharType="end"/>
        </w:r>
      </w:hyperlink>
    </w:p>
    <w:p w14:paraId="0123D5CE" w14:textId="22FAFC14" w:rsidR="00A735F0" w:rsidRDefault="001722BF">
      <w:pPr>
        <w:pStyle w:val="Verzeichnis2"/>
        <w:rPr>
          <w:rFonts w:asciiTheme="minorHAnsi" w:eastAsiaTheme="minorEastAsia" w:hAnsiTheme="minorHAnsi"/>
          <w:noProof/>
          <w:sz w:val="22"/>
          <w:szCs w:val="22"/>
          <w:lang w:eastAsia="de-CH"/>
        </w:rPr>
      </w:pPr>
      <w:hyperlink w:anchor="_Toc185241520" w:history="1">
        <w:r w:rsidR="00A735F0" w:rsidRPr="00C672C7">
          <w:rPr>
            <w:rStyle w:val="Hyperlink"/>
            <w:noProof/>
          </w:rPr>
          <w:t>2.1</w:t>
        </w:r>
        <w:r w:rsidR="00A735F0">
          <w:rPr>
            <w:rFonts w:asciiTheme="minorHAnsi" w:eastAsiaTheme="minorEastAsia" w:hAnsiTheme="minorHAnsi"/>
            <w:noProof/>
            <w:sz w:val="22"/>
            <w:szCs w:val="22"/>
            <w:lang w:eastAsia="de-CH"/>
          </w:rPr>
          <w:tab/>
        </w:r>
        <w:r w:rsidR="00A735F0" w:rsidRPr="00C672C7">
          <w:rPr>
            <w:rStyle w:val="Hyperlink"/>
            <w:noProof/>
          </w:rPr>
          <w:t>Beanstandungen</w:t>
        </w:r>
        <w:r w:rsidR="00A735F0">
          <w:rPr>
            <w:noProof/>
            <w:webHidden/>
          </w:rPr>
          <w:tab/>
        </w:r>
        <w:r w:rsidR="00A735F0">
          <w:rPr>
            <w:noProof/>
            <w:webHidden/>
          </w:rPr>
          <w:fldChar w:fldCharType="begin"/>
        </w:r>
        <w:r w:rsidR="00A735F0">
          <w:rPr>
            <w:noProof/>
            <w:webHidden/>
          </w:rPr>
          <w:instrText xml:space="preserve"> PAGEREF _Toc185241520 \h </w:instrText>
        </w:r>
        <w:r w:rsidR="00A735F0">
          <w:rPr>
            <w:noProof/>
            <w:webHidden/>
          </w:rPr>
        </w:r>
        <w:r w:rsidR="00A735F0">
          <w:rPr>
            <w:noProof/>
            <w:webHidden/>
          </w:rPr>
          <w:fldChar w:fldCharType="separate"/>
        </w:r>
        <w:r w:rsidR="00A735F0">
          <w:rPr>
            <w:noProof/>
            <w:webHidden/>
          </w:rPr>
          <w:t>2</w:t>
        </w:r>
        <w:r w:rsidR="00A735F0">
          <w:rPr>
            <w:noProof/>
            <w:webHidden/>
          </w:rPr>
          <w:fldChar w:fldCharType="end"/>
        </w:r>
      </w:hyperlink>
    </w:p>
    <w:p w14:paraId="56CDF436" w14:textId="111E2F67" w:rsidR="00A735F0" w:rsidRDefault="001722BF">
      <w:pPr>
        <w:pStyle w:val="Verzeichnis2"/>
        <w:rPr>
          <w:rFonts w:asciiTheme="minorHAnsi" w:eastAsiaTheme="minorEastAsia" w:hAnsiTheme="minorHAnsi"/>
          <w:noProof/>
          <w:sz w:val="22"/>
          <w:szCs w:val="22"/>
          <w:lang w:eastAsia="de-CH"/>
        </w:rPr>
      </w:pPr>
      <w:hyperlink w:anchor="_Toc185241521" w:history="1">
        <w:r w:rsidR="00A735F0" w:rsidRPr="00C672C7">
          <w:rPr>
            <w:rStyle w:val="Hyperlink"/>
            <w:noProof/>
          </w:rPr>
          <w:t>2.2</w:t>
        </w:r>
        <w:r w:rsidR="00A735F0">
          <w:rPr>
            <w:rFonts w:asciiTheme="minorHAnsi" w:eastAsiaTheme="minorEastAsia" w:hAnsiTheme="minorHAnsi"/>
            <w:noProof/>
            <w:sz w:val="22"/>
            <w:szCs w:val="22"/>
            <w:lang w:eastAsia="de-CH"/>
          </w:rPr>
          <w:tab/>
        </w:r>
        <w:r w:rsidR="00A735F0" w:rsidRPr="00C672C7">
          <w:rPr>
            <w:rStyle w:val="Hyperlink"/>
            <w:noProof/>
          </w:rPr>
          <w:t>Beanstandungen zum Vorjahr</w:t>
        </w:r>
        <w:r w:rsidR="00A735F0">
          <w:rPr>
            <w:noProof/>
            <w:webHidden/>
          </w:rPr>
          <w:tab/>
        </w:r>
        <w:r w:rsidR="00A735F0">
          <w:rPr>
            <w:noProof/>
            <w:webHidden/>
          </w:rPr>
          <w:fldChar w:fldCharType="begin"/>
        </w:r>
        <w:r w:rsidR="00A735F0">
          <w:rPr>
            <w:noProof/>
            <w:webHidden/>
          </w:rPr>
          <w:instrText xml:space="preserve"> PAGEREF _Toc185241521 \h </w:instrText>
        </w:r>
        <w:r w:rsidR="00A735F0">
          <w:rPr>
            <w:noProof/>
            <w:webHidden/>
          </w:rPr>
        </w:r>
        <w:r w:rsidR="00A735F0">
          <w:rPr>
            <w:noProof/>
            <w:webHidden/>
          </w:rPr>
          <w:fldChar w:fldCharType="separate"/>
        </w:r>
        <w:r w:rsidR="00A735F0">
          <w:rPr>
            <w:noProof/>
            <w:webHidden/>
          </w:rPr>
          <w:t>3</w:t>
        </w:r>
        <w:r w:rsidR="00A735F0">
          <w:rPr>
            <w:noProof/>
            <w:webHidden/>
          </w:rPr>
          <w:fldChar w:fldCharType="end"/>
        </w:r>
      </w:hyperlink>
    </w:p>
    <w:p w14:paraId="361E942F" w14:textId="244F7B7F" w:rsidR="00A735F0" w:rsidRDefault="001722BF">
      <w:pPr>
        <w:pStyle w:val="Verzeichnis2"/>
        <w:rPr>
          <w:rFonts w:asciiTheme="minorHAnsi" w:eastAsiaTheme="minorEastAsia" w:hAnsiTheme="minorHAnsi"/>
          <w:noProof/>
          <w:sz w:val="22"/>
          <w:szCs w:val="22"/>
          <w:lang w:eastAsia="de-CH"/>
        </w:rPr>
      </w:pPr>
      <w:hyperlink w:anchor="_Toc185241522" w:history="1">
        <w:r w:rsidR="00A735F0" w:rsidRPr="00C672C7">
          <w:rPr>
            <w:rStyle w:val="Hyperlink"/>
            <w:noProof/>
          </w:rPr>
          <w:t>2.3</w:t>
        </w:r>
        <w:r w:rsidR="00A735F0">
          <w:rPr>
            <w:rFonts w:asciiTheme="minorHAnsi" w:eastAsiaTheme="minorEastAsia" w:hAnsiTheme="minorHAnsi"/>
            <w:noProof/>
            <w:sz w:val="22"/>
            <w:szCs w:val="22"/>
            <w:lang w:eastAsia="de-CH"/>
          </w:rPr>
          <w:tab/>
        </w:r>
        <w:r w:rsidR="00A735F0" w:rsidRPr="00C672C7">
          <w:rPr>
            <w:rStyle w:val="Hyperlink"/>
            <w:noProof/>
          </w:rPr>
          <w:t>Empfehlungen</w:t>
        </w:r>
        <w:r w:rsidR="00A735F0">
          <w:rPr>
            <w:noProof/>
            <w:webHidden/>
          </w:rPr>
          <w:tab/>
        </w:r>
        <w:r w:rsidR="00A735F0">
          <w:rPr>
            <w:noProof/>
            <w:webHidden/>
          </w:rPr>
          <w:fldChar w:fldCharType="begin"/>
        </w:r>
        <w:r w:rsidR="00A735F0">
          <w:rPr>
            <w:noProof/>
            <w:webHidden/>
          </w:rPr>
          <w:instrText xml:space="preserve"> PAGEREF _Toc185241522 \h </w:instrText>
        </w:r>
        <w:r w:rsidR="00A735F0">
          <w:rPr>
            <w:noProof/>
            <w:webHidden/>
          </w:rPr>
        </w:r>
        <w:r w:rsidR="00A735F0">
          <w:rPr>
            <w:noProof/>
            <w:webHidden/>
          </w:rPr>
          <w:fldChar w:fldCharType="separate"/>
        </w:r>
        <w:r w:rsidR="00A735F0">
          <w:rPr>
            <w:noProof/>
            <w:webHidden/>
          </w:rPr>
          <w:t>3</w:t>
        </w:r>
        <w:r w:rsidR="00A735F0">
          <w:rPr>
            <w:noProof/>
            <w:webHidden/>
          </w:rPr>
          <w:fldChar w:fldCharType="end"/>
        </w:r>
      </w:hyperlink>
    </w:p>
    <w:p w14:paraId="4E27A8D6" w14:textId="1EE717C1" w:rsidR="00A735F0" w:rsidRDefault="001722BF">
      <w:pPr>
        <w:pStyle w:val="Verzeichnis2"/>
        <w:rPr>
          <w:rFonts w:asciiTheme="minorHAnsi" w:eastAsiaTheme="minorEastAsia" w:hAnsiTheme="minorHAnsi"/>
          <w:noProof/>
          <w:sz w:val="22"/>
          <w:szCs w:val="22"/>
          <w:lang w:eastAsia="de-CH"/>
        </w:rPr>
      </w:pPr>
      <w:hyperlink w:anchor="_Toc185241523" w:history="1">
        <w:r w:rsidR="00A735F0" w:rsidRPr="00C672C7">
          <w:rPr>
            <w:rStyle w:val="Hyperlink"/>
            <w:noProof/>
          </w:rPr>
          <w:t>2.4</w:t>
        </w:r>
        <w:r w:rsidR="00A735F0">
          <w:rPr>
            <w:rFonts w:asciiTheme="minorHAnsi" w:eastAsiaTheme="minorEastAsia" w:hAnsiTheme="minorHAnsi"/>
            <w:noProof/>
            <w:sz w:val="22"/>
            <w:szCs w:val="22"/>
            <w:lang w:eastAsia="de-CH"/>
          </w:rPr>
          <w:tab/>
        </w:r>
        <w:r w:rsidR="00A735F0" w:rsidRPr="00C672C7">
          <w:rPr>
            <w:rStyle w:val="Hyperlink"/>
            <w:noProof/>
          </w:rPr>
          <w:t>Empfehlungen zum Vorjahr</w:t>
        </w:r>
        <w:r w:rsidR="00A735F0">
          <w:rPr>
            <w:noProof/>
            <w:webHidden/>
          </w:rPr>
          <w:tab/>
        </w:r>
        <w:r w:rsidR="00A735F0">
          <w:rPr>
            <w:noProof/>
            <w:webHidden/>
          </w:rPr>
          <w:fldChar w:fldCharType="begin"/>
        </w:r>
        <w:r w:rsidR="00A735F0">
          <w:rPr>
            <w:noProof/>
            <w:webHidden/>
          </w:rPr>
          <w:instrText xml:space="preserve"> PAGEREF _Toc185241523 \h </w:instrText>
        </w:r>
        <w:r w:rsidR="00A735F0">
          <w:rPr>
            <w:noProof/>
            <w:webHidden/>
          </w:rPr>
        </w:r>
        <w:r w:rsidR="00A735F0">
          <w:rPr>
            <w:noProof/>
            <w:webHidden/>
          </w:rPr>
          <w:fldChar w:fldCharType="separate"/>
        </w:r>
        <w:r w:rsidR="00A735F0">
          <w:rPr>
            <w:noProof/>
            <w:webHidden/>
          </w:rPr>
          <w:t>3</w:t>
        </w:r>
        <w:r w:rsidR="00A735F0">
          <w:rPr>
            <w:noProof/>
            <w:webHidden/>
          </w:rPr>
          <w:fldChar w:fldCharType="end"/>
        </w:r>
      </w:hyperlink>
    </w:p>
    <w:p w14:paraId="62850ACF" w14:textId="5A87FA4D" w:rsidR="00A735F0" w:rsidRDefault="001722BF">
      <w:pPr>
        <w:pStyle w:val="Verzeichnis2"/>
        <w:rPr>
          <w:rFonts w:asciiTheme="minorHAnsi" w:eastAsiaTheme="minorEastAsia" w:hAnsiTheme="minorHAnsi"/>
          <w:noProof/>
          <w:sz w:val="22"/>
          <w:szCs w:val="22"/>
          <w:lang w:eastAsia="de-CH"/>
        </w:rPr>
      </w:pPr>
      <w:hyperlink w:anchor="_Toc185241524" w:history="1">
        <w:r w:rsidR="00A735F0" w:rsidRPr="00C672C7">
          <w:rPr>
            <w:rStyle w:val="Hyperlink"/>
            <w:noProof/>
          </w:rPr>
          <w:t>2.5</w:t>
        </w:r>
        <w:r w:rsidR="00A735F0">
          <w:rPr>
            <w:rFonts w:asciiTheme="minorHAnsi" w:eastAsiaTheme="minorEastAsia" w:hAnsiTheme="minorHAnsi"/>
            <w:noProof/>
            <w:sz w:val="22"/>
            <w:szCs w:val="22"/>
            <w:lang w:eastAsia="de-CH"/>
          </w:rPr>
          <w:tab/>
        </w:r>
        <w:r w:rsidR="00A735F0" w:rsidRPr="00C672C7">
          <w:rPr>
            <w:rStyle w:val="Hyperlink"/>
            <w:noProof/>
          </w:rPr>
          <w:t>Wichtige Informationen</w:t>
        </w:r>
        <w:r w:rsidR="00A735F0">
          <w:rPr>
            <w:noProof/>
            <w:webHidden/>
          </w:rPr>
          <w:tab/>
        </w:r>
        <w:r w:rsidR="00A735F0">
          <w:rPr>
            <w:noProof/>
            <w:webHidden/>
          </w:rPr>
          <w:fldChar w:fldCharType="begin"/>
        </w:r>
        <w:r w:rsidR="00A735F0">
          <w:rPr>
            <w:noProof/>
            <w:webHidden/>
          </w:rPr>
          <w:instrText xml:space="preserve"> PAGEREF _Toc185241524 \h </w:instrText>
        </w:r>
        <w:r w:rsidR="00A735F0">
          <w:rPr>
            <w:noProof/>
            <w:webHidden/>
          </w:rPr>
        </w:r>
        <w:r w:rsidR="00A735F0">
          <w:rPr>
            <w:noProof/>
            <w:webHidden/>
          </w:rPr>
          <w:fldChar w:fldCharType="separate"/>
        </w:r>
        <w:r w:rsidR="00A735F0">
          <w:rPr>
            <w:noProof/>
            <w:webHidden/>
          </w:rPr>
          <w:t>4</w:t>
        </w:r>
        <w:r w:rsidR="00A735F0">
          <w:rPr>
            <w:noProof/>
            <w:webHidden/>
          </w:rPr>
          <w:fldChar w:fldCharType="end"/>
        </w:r>
      </w:hyperlink>
    </w:p>
    <w:p w14:paraId="24FC84B6" w14:textId="5AEBD554" w:rsidR="00A735F0" w:rsidRDefault="001722BF">
      <w:pPr>
        <w:pStyle w:val="Verzeichnis1"/>
        <w:rPr>
          <w:rFonts w:asciiTheme="minorHAnsi" w:eastAsiaTheme="minorEastAsia" w:hAnsiTheme="minorHAnsi"/>
          <w:noProof/>
          <w:sz w:val="22"/>
          <w:szCs w:val="22"/>
          <w:lang w:eastAsia="de-CH"/>
        </w:rPr>
      </w:pPr>
      <w:hyperlink w:anchor="_Toc185241525" w:history="1">
        <w:r w:rsidR="00A735F0" w:rsidRPr="00C672C7">
          <w:rPr>
            <w:rStyle w:val="Hyperlink"/>
            <w:noProof/>
          </w:rPr>
          <w:t>3.</w:t>
        </w:r>
        <w:r w:rsidR="00A735F0">
          <w:rPr>
            <w:rFonts w:asciiTheme="minorHAnsi" w:eastAsiaTheme="minorEastAsia" w:hAnsiTheme="minorHAnsi"/>
            <w:noProof/>
            <w:sz w:val="22"/>
            <w:szCs w:val="22"/>
            <w:lang w:eastAsia="de-CH"/>
          </w:rPr>
          <w:tab/>
        </w:r>
        <w:r w:rsidR="00A735F0" w:rsidRPr="00C672C7">
          <w:rPr>
            <w:rStyle w:val="Hyperlink"/>
            <w:noProof/>
          </w:rPr>
          <w:t>Transparenz nachteiliger Nachhaltigkeitsauswirkungen auf Ebene des Unternehmens</w:t>
        </w:r>
        <w:r w:rsidR="00A735F0">
          <w:rPr>
            <w:noProof/>
            <w:webHidden/>
          </w:rPr>
          <w:tab/>
        </w:r>
        <w:r w:rsidR="00A735F0">
          <w:rPr>
            <w:noProof/>
            <w:webHidden/>
          </w:rPr>
          <w:fldChar w:fldCharType="begin"/>
        </w:r>
        <w:r w:rsidR="00A735F0">
          <w:rPr>
            <w:noProof/>
            <w:webHidden/>
          </w:rPr>
          <w:instrText xml:space="preserve"> PAGEREF _Toc185241525 \h </w:instrText>
        </w:r>
        <w:r w:rsidR="00A735F0">
          <w:rPr>
            <w:noProof/>
            <w:webHidden/>
          </w:rPr>
        </w:r>
        <w:r w:rsidR="00A735F0">
          <w:rPr>
            <w:noProof/>
            <w:webHidden/>
          </w:rPr>
          <w:fldChar w:fldCharType="separate"/>
        </w:r>
        <w:r w:rsidR="00A735F0">
          <w:rPr>
            <w:noProof/>
            <w:webHidden/>
          </w:rPr>
          <w:t>4</w:t>
        </w:r>
        <w:r w:rsidR="00A735F0">
          <w:rPr>
            <w:noProof/>
            <w:webHidden/>
          </w:rPr>
          <w:fldChar w:fldCharType="end"/>
        </w:r>
      </w:hyperlink>
    </w:p>
    <w:p w14:paraId="067C07F9" w14:textId="30598639" w:rsidR="00A735F0" w:rsidRDefault="001722BF">
      <w:pPr>
        <w:pStyle w:val="Verzeichnis2"/>
        <w:rPr>
          <w:rFonts w:asciiTheme="minorHAnsi" w:eastAsiaTheme="minorEastAsia" w:hAnsiTheme="minorHAnsi"/>
          <w:noProof/>
          <w:sz w:val="22"/>
          <w:szCs w:val="22"/>
          <w:lang w:eastAsia="de-CH"/>
        </w:rPr>
      </w:pPr>
      <w:hyperlink w:anchor="_Toc185241526" w:history="1">
        <w:r w:rsidR="00A735F0" w:rsidRPr="00C672C7">
          <w:rPr>
            <w:rStyle w:val="Hyperlink"/>
            <w:noProof/>
          </w:rPr>
          <w:t>3.1</w:t>
        </w:r>
        <w:r w:rsidR="00A735F0">
          <w:rPr>
            <w:rFonts w:asciiTheme="minorHAnsi" w:eastAsiaTheme="minorEastAsia" w:hAnsiTheme="minorHAnsi"/>
            <w:noProof/>
            <w:sz w:val="22"/>
            <w:szCs w:val="22"/>
            <w:lang w:eastAsia="de-CH"/>
          </w:rPr>
          <w:tab/>
        </w:r>
        <w:r w:rsidR="00A735F0" w:rsidRPr="00C672C7">
          <w:rPr>
            <w:rStyle w:val="Hyperlink"/>
            <w:noProof/>
          </w:rPr>
          <w:t>Erklärung zu den wichtigsten nachteiligen Auswirkungen auf Nachhaltigkeitsfaktoren</w:t>
        </w:r>
        <w:r w:rsidR="00A735F0">
          <w:rPr>
            <w:noProof/>
            <w:webHidden/>
          </w:rPr>
          <w:tab/>
        </w:r>
        <w:r w:rsidR="00A735F0">
          <w:rPr>
            <w:noProof/>
            <w:webHidden/>
          </w:rPr>
          <w:fldChar w:fldCharType="begin"/>
        </w:r>
        <w:r w:rsidR="00A735F0">
          <w:rPr>
            <w:noProof/>
            <w:webHidden/>
          </w:rPr>
          <w:instrText xml:space="preserve"> PAGEREF _Toc185241526 \h </w:instrText>
        </w:r>
        <w:r w:rsidR="00A735F0">
          <w:rPr>
            <w:noProof/>
            <w:webHidden/>
          </w:rPr>
        </w:r>
        <w:r w:rsidR="00A735F0">
          <w:rPr>
            <w:noProof/>
            <w:webHidden/>
          </w:rPr>
          <w:fldChar w:fldCharType="separate"/>
        </w:r>
        <w:r w:rsidR="00A735F0">
          <w:rPr>
            <w:noProof/>
            <w:webHidden/>
          </w:rPr>
          <w:t>4</w:t>
        </w:r>
        <w:r w:rsidR="00A735F0">
          <w:rPr>
            <w:noProof/>
            <w:webHidden/>
          </w:rPr>
          <w:fldChar w:fldCharType="end"/>
        </w:r>
      </w:hyperlink>
    </w:p>
    <w:p w14:paraId="5F4A845E" w14:textId="4E667E1D" w:rsidR="00A735F0" w:rsidRDefault="001722BF">
      <w:pPr>
        <w:pStyle w:val="Verzeichnis2"/>
        <w:rPr>
          <w:rFonts w:asciiTheme="minorHAnsi" w:eastAsiaTheme="minorEastAsia" w:hAnsiTheme="minorHAnsi"/>
          <w:noProof/>
          <w:sz w:val="22"/>
          <w:szCs w:val="22"/>
          <w:lang w:eastAsia="de-CH"/>
        </w:rPr>
      </w:pPr>
      <w:hyperlink w:anchor="_Toc185241527" w:history="1">
        <w:r w:rsidR="00A735F0" w:rsidRPr="00C672C7">
          <w:rPr>
            <w:rStyle w:val="Hyperlink"/>
            <w:noProof/>
          </w:rPr>
          <w:t>3.2</w:t>
        </w:r>
        <w:r w:rsidR="00A735F0">
          <w:rPr>
            <w:rFonts w:asciiTheme="minorHAnsi" w:eastAsiaTheme="minorEastAsia" w:hAnsiTheme="minorHAnsi"/>
            <w:noProof/>
            <w:sz w:val="22"/>
            <w:szCs w:val="22"/>
            <w:lang w:eastAsia="de-CH"/>
          </w:rPr>
          <w:tab/>
        </w:r>
        <w:r w:rsidR="00A735F0" w:rsidRPr="00C672C7">
          <w:rPr>
            <w:rStyle w:val="Hyperlink"/>
            <w:noProof/>
          </w:rPr>
          <w:t>Erklärung zur Nicht-Berücksichtigung nachteiliger Auswirkungen auf Nachhaltigkeitsfaktoren</w:t>
        </w:r>
        <w:r w:rsidR="00A735F0">
          <w:rPr>
            <w:noProof/>
            <w:webHidden/>
          </w:rPr>
          <w:tab/>
        </w:r>
        <w:r w:rsidR="00A735F0">
          <w:rPr>
            <w:noProof/>
            <w:webHidden/>
          </w:rPr>
          <w:fldChar w:fldCharType="begin"/>
        </w:r>
        <w:r w:rsidR="00A735F0">
          <w:rPr>
            <w:noProof/>
            <w:webHidden/>
          </w:rPr>
          <w:instrText xml:space="preserve"> PAGEREF _Toc185241527 \h </w:instrText>
        </w:r>
        <w:r w:rsidR="00A735F0">
          <w:rPr>
            <w:noProof/>
            <w:webHidden/>
          </w:rPr>
        </w:r>
        <w:r w:rsidR="00A735F0">
          <w:rPr>
            <w:noProof/>
            <w:webHidden/>
          </w:rPr>
          <w:fldChar w:fldCharType="separate"/>
        </w:r>
        <w:r w:rsidR="00A735F0">
          <w:rPr>
            <w:noProof/>
            <w:webHidden/>
          </w:rPr>
          <w:t>7</w:t>
        </w:r>
        <w:r w:rsidR="00A735F0">
          <w:rPr>
            <w:noProof/>
            <w:webHidden/>
          </w:rPr>
          <w:fldChar w:fldCharType="end"/>
        </w:r>
      </w:hyperlink>
    </w:p>
    <w:p w14:paraId="48C4EABB" w14:textId="1F3C2243" w:rsidR="00A735F0" w:rsidRDefault="001722BF">
      <w:pPr>
        <w:pStyle w:val="Verzeichnis1"/>
        <w:rPr>
          <w:rFonts w:asciiTheme="minorHAnsi" w:eastAsiaTheme="minorEastAsia" w:hAnsiTheme="minorHAnsi"/>
          <w:noProof/>
          <w:sz w:val="22"/>
          <w:szCs w:val="22"/>
          <w:lang w:eastAsia="de-CH"/>
        </w:rPr>
      </w:pPr>
      <w:hyperlink w:anchor="_Toc185241528" w:history="1">
        <w:r w:rsidR="00A735F0" w:rsidRPr="00C672C7">
          <w:rPr>
            <w:rStyle w:val="Hyperlink"/>
            <w:noProof/>
          </w:rPr>
          <w:t>4.</w:t>
        </w:r>
        <w:r w:rsidR="00A735F0">
          <w:rPr>
            <w:rFonts w:asciiTheme="minorHAnsi" w:eastAsiaTheme="minorEastAsia" w:hAnsiTheme="minorHAnsi"/>
            <w:noProof/>
            <w:sz w:val="22"/>
            <w:szCs w:val="22"/>
            <w:lang w:eastAsia="de-CH"/>
          </w:rPr>
          <w:tab/>
        </w:r>
        <w:r w:rsidR="00A735F0" w:rsidRPr="00C672C7">
          <w:rPr>
            <w:rStyle w:val="Hyperlink"/>
            <w:noProof/>
          </w:rPr>
          <w:t>Nachhaltigkeitsbezogene Prozesse für Finanzprodukte</w:t>
        </w:r>
        <w:r w:rsidR="00A735F0">
          <w:rPr>
            <w:noProof/>
            <w:webHidden/>
          </w:rPr>
          <w:tab/>
        </w:r>
        <w:r w:rsidR="00A735F0">
          <w:rPr>
            <w:noProof/>
            <w:webHidden/>
          </w:rPr>
          <w:fldChar w:fldCharType="begin"/>
        </w:r>
        <w:r w:rsidR="00A735F0">
          <w:rPr>
            <w:noProof/>
            <w:webHidden/>
          </w:rPr>
          <w:instrText xml:space="preserve"> PAGEREF _Toc185241528 \h </w:instrText>
        </w:r>
        <w:r w:rsidR="00A735F0">
          <w:rPr>
            <w:noProof/>
            <w:webHidden/>
          </w:rPr>
        </w:r>
        <w:r w:rsidR="00A735F0">
          <w:rPr>
            <w:noProof/>
            <w:webHidden/>
          </w:rPr>
          <w:fldChar w:fldCharType="separate"/>
        </w:r>
        <w:r w:rsidR="00A735F0">
          <w:rPr>
            <w:noProof/>
            <w:webHidden/>
          </w:rPr>
          <w:t>8</w:t>
        </w:r>
        <w:r w:rsidR="00A735F0">
          <w:rPr>
            <w:noProof/>
            <w:webHidden/>
          </w:rPr>
          <w:fldChar w:fldCharType="end"/>
        </w:r>
      </w:hyperlink>
    </w:p>
    <w:p w14:paraId="456DE6F1" w14:textId="4647C75F" w:rsidR="00A735F0" w:rsidRDefault="001722BF">
      <w:pPr>
        <w:pStyle w:val="Verzeichnis1"/>
        <w:rPr>
          <w:rFonts w:asciiTheme="minorHAnsi" w:eastAsiaTheme="minorEastAsia" w:hAnsiTheme="minorHAnsi"/>
          <w:noProof/>
          <w:sz w:val="22"/>
          <w:szCs w:val="22"/>
          <w:lang w:eastAsia="de-CH"/>
        </w:rPr>
      </w:pPr>
      <w:hyperlink w:anchor="_Toc185241529" w:history="1">
        <w:r w:rsidR="00A735F0" w:rsidRPr="00C672C7">
          <w:rPr>
            <w:rStyle w:val="Hyperlink"/>
            <w:noProof/>
          </w:rPr>
          <w:t>5.</w:t>
        </w:r>
        <w:r w:rsidR="00A735F0">
          <w:rPr>
            <w:rFonts w:asciiTheme="minorHAnsi" w:eastAsiaTheme="minorEastAsia" w:hAnsiTheme="minorHAnsi"/>
            <w:noProof/>
            <w:sz w:val="22"/>
            <w:szCs w:val="22"/>
            <w:lang w:eastAsia="de-CH"/>
          </w:rPr>
          <w:tab/>
        </w:r>
        <w:r w:rsidR="00A735F0" w:rsidRPr="00C672C7">
          <w:rPr>
            <w:rStyle w:val="Hyperlink"/>
            <w:noProof/>
          </w:rPr>
          <w:t>Offenlegung in regelmässigen Berichten</w:t>
        </w:r>
        <w:r w:rsidR="00A735F0">
          <w:rPr>
            <w:noProof/>
            <w:webHidden/>
          </w:rPr>
          <w:tab/>
        </w:r>
        <w:r w:rsidR="00A735F0">
          <w:rPr>
            <w:noProof/>
            <w:webHidden/>
          </w:rPr>
          <w:fldChar w:fldCharType="begin"/>
        </w:r>
        <w:r w:rsidR="00A735F0">
          <w:rPr>
            <w:noProof/>
            <w:webHidden/>
          </w:rPr>
          <w:instrText xml:space="preserve"> PAGEREF _Toc185241529 \h </w:instrText>
        </w:r>
        <w:r w:rsidR="00A735F0">
          <w:rPr>
            <w:noProof/>
            <w:webHidden/>
          </w:rPr>
        </w:r>
        <w:r w:rsidR="00A735F0">
          <w:rPr>
            <w:noProof/>
            <w:webHidden/>
          </w:rPr>
          <w:fldChar w:fldCharType="separate"/>
        </w:r>
        <w:r w:rsidR="00A735F0">
          <w:rPr>
            <w:noProof/>
            <w:webHidden/>
          </w:rPr>
          <w:t>10</w:t>
        </w:r>
        <w:r w:rsidR="00A735F0">
          <w:rPr>
            <w:noProof/>
            <w:webHidden/>
          </w:rPr>
          <w:fldChar w:fldCharType="end"/>
        </w:r>
      </w:hyperlink>
    </w:p>
    <w:p w14:paraId="244191AE" w14:textId="2FD8C1EF" w:rsidR="00A735F0" w:rsidRDefault="001722BF">
      <w:pPr>
        <w:pStyle w:val="Verzeichnis1"/>
        <w:rPr>
          <w:rFonts w:asciiTheme="minorHAnsi" w:eastAsiaTheme="minorEastAsia" w:hAnsiTheme="minorHAnsi"/>
          <w:noProof/>
          <w:sz w:val="22"/>
          <w:szCs w:val="22"/>
          <w:lang w:eastAsia="de-CH"/>
        </w:rPr>
      </w:pPr>
      <w:hyperlink w:anchor="_Toc185241530" w:history="1">
        <w:r w:rsidR="00A735F0" w:rsidRPr="00C672C7">
          <w:rPr>
            <w:rStyle w:val="Hyperlink"/>
            <w:noProof/>
          </w:rPr>
          <w:t>6.</w:t>
        </w:r>
        <w:r w:rsidR="00A735F0">
          <w:rPr>
            <w:rFonts w:asciiTheme="minorHAnsi" w:eastAsiaTheme="minorEastAsia" w:hAnsiTheme="minorHAnsi"/>
            <w:noProof/>
            <w:sz w:val="22"/>
            <w:szCs w:val="22"/>
            <w:lang w:eastAsia="de-CH"/>
          </w:rPr>
          <w:tab/>
        </w:r>
        <w:r w:rsidR="00A735F0" w:rsidRPr="00C672C7">
          <w:rPr>
            <w:rStyle w:val="Hyperlink"/>
            <w:noProof/>
          </w:rPr>
          <w:t>Marketingmitteilungen</w:t>
        </w:r>
        <w:r w:rsidR="00A735F0">
          <w:rPr>
            <w:noProof/>
            <w:webHidden/>
          </w:rPr>
          <w:tab/>
        </w:r>
        <w:r w:rsidR="00A735F0">
          <w:rPr>
            <w:noProof/>
            <w:webHidden/>
          </w:rPr>
          <w:fldChar w:fldCharType="begin"/>
        </w:r>
        <w:r w:rsidR="00A735F0">
          <w:rPr>
            <w:noProof/>
            <w:webHidden/>
          </w:rPr>
          <w:instrText xml:space="preserve"> PAGEREF _Toc185241530 \h </w:instrText>
        </w:r>
        <w:r w:rsidR="00A735F0">
          <w:rPr>
            <w:noProof/>
            <w:webHidden/>
          </w:rPr>
        </w:r>
        <w:r w:rsidR="00A735F0">
          <w:rPr>
            <w:noProof/>
            <w:webHidden/>
          </w:rPr>
          <w:fldChar w:fldCharType="separate"/>
        </w:r>
        <w:r w:rsidR="00A735F0">
          <w:rPr>
            <w:noProof/>
            <w:webHidden/>
          </w:rPr>
          <w:t>11</w:t>
        </w:r>
        <w:r w:rsidR="00A735F0">
          <w:rPr>
            <w:noProof/>
            <w:webHidden/>
          </w:rPr>
          <w:fldChar w:fldCharType="end"/>
        </w:r>
      </w:hyperlink>
    </w:p>
    <w:p w14:paraId="027E89CB" w14:textId="21DE4851" w:rsidR="00A735F0" w:rsidRDefault="001722BF">
      <w:pPr>
        <w:pStyle w:val="Verzeichnis1"/>
        <w:rPr>
          <w:rFonts w:asciiTheme="minorHAnsi" w:eastAsiaTheme="minorEastAsia" w:hAnsiTheme="minorHAnsi"/>
          <w:noProof/>
          <w:sz w:val="22"/>
          <w:szCs w:val="22"/>
          <w:lang w:eastAsia="de-CH"/>
        </w:rPr>
      </w:pPr>
      <w:hyperlink w:anchor="_Toc185241531" w:history="1">
        <w:r w:rsidR="00A735F0" w:rsidRPr="00C672C7">
          <w:rPr>
            <w:rStyle w:val="Hyperlink"/>
            <w:noProof/>
          </w:rPr>
          <w:t>7.</w:t>
        </w:r>
        <w:r w:rsidR="00A735F0">
          <w:rPr>
            <w:rFonts w:asciiTheme="minorHAnsi" w:eastAsiaTheme="minorEastAsia" w:hAnsiTheme="minorHAnsi"/>
            <w:noProof/>
            <w:sz w:val="22"/>
            <w:szCs w:val="22"/>
            <w:lang w:eastAsia="de-CH"/>
          </w:rPr>
          <w:tab/>
        </w:r>
        <w:r w:rsidR="00A735F0" w:rsidRPr="00C672C7">
          <w:rPr>
            <w:rStyle w:val="Hyperlink"/>
            <w:noProof/>
          </w:rPr>
          <w:t>Anhang zum Bericht über die Aufsichtsprüfung</w:t>
        </w:r>
        <w:r w:rsidR="00A735F0">
          <w:rPr>
            <w:noProof/>
            <w:webHidden/>
          </w:rPr>
          <w:tab/>
        </w:r>
        <w:r w:rsidR="00A735F0">
          <w:rPr>
            <w:noProof/>
            <w:webHidden/>
          </w:rPr>
          <w:fldChar w:fldCharType="begin"/>
        </w:r>
        <w:r w:rsidR="00A735F0">
          <w:rPr>
            <w:noProof/>
            <w:webHidden/>
          </w:rPr>
          <w:instrText xml:space="preserve"> PAGEREF _Toc185241531 \h </w:instrText>
        </w:r>
        <w:r w:rsidR="00A735F0">
          <w:rPr>
            <w:noProof/>
            <w:webHidden/>
          </w:rPr>
        </w:r>
        <w:r w:rsidR="00A735F0">
          <w:rPr>
            <w:noProof/>
            <w:webHidden/>
          </w:rPr>
          <w:fldChar w:fldCharType="separate"/>
        </w:r>
        <w:r w:rsidR="00A735F0">
          <w:rPr>
            <w:noProof/>
            <w:webHidden/>
          </w:rPr>
          <w:t>12</w:t>
        </w:r>
        <w:r w:rsidR="00A735F0">
          <w:rPr>
            <w:noProof/>
            <w:webHidden/>
          </w:rPr>
          <w:fldChar w:fldCharType="end"/>
        </w:r>
      </w:hyperlink>
    </w:p>
    <w:p w14:paraId="303DE9D0" w14:textId="128537B8" w:rsidR="00383CAB" w:rsidRPr="00D12445" w:rsidRDefault="00383CAB" w:rsidP="004A2AD8">
      <w:pPr>
        <w:tabs>
          <w:tab w:val="left" w:pos="1080"/>
          <w:tab w:val="right" w:leader="dot" w:pos="9062"/>
        </w:tabs>
        <w:spacing w:after="0" w:line="240" w:lineRule="auto"/>
        <w:ind w:left="426" w:hanging="426"/>
        <w:rPr>
          <w:rFonts w:cs="Arial"/>
          <w:b/>
        </w:rPr>
      </w:pPr>
      <w:r w:rsidRPr="00D12445">
        <w:rPr>
          <w:rFonts w:cs="Arial"/>
          <w:b/>
        </w:rPr>
        <w:fldChar w:fldCharType="end"/>
      </w:r>
    </w:p>
    <w:p w14:paraId="2AF27906" w14:textId="3319B0E6" w:rsidR="001B5D96" w:rsidRPr="00D12445" w:rsidRDefault="001B5D96" w:rsidP="00F627F8">
      <w:pPr>
        <w:tabs>
          <w:tab w:val="left" w:pos="1080"/>
          <w:tab w:val="right" w:leader="dot" w:pos="9062"/>
        </w:tabs>
        <w:spacing w:after="0" w:line="240" w:lineRule="auto"/>
      </w:pPr>
    </w:p>
    <w:p w14:paraId="523F980B" w14:textId="77777777" w:rsidR="00383CAB" w:rsidRPr="00D12445" w:rsidRDefault="00383CAB" w:rsidP="00383CAB">
      <w:pPr>
        <w:tabs>
          <w:tab w:val="left" w:pos="1080"/>
        </w:tabs>
      </w:pPr>
    </w:p>
    <w:p w14:paraId="6CB8C2C6" w14:textId="77777777" w:rsidR="00262966" w:rsidRPr="00D12445" w:rsidRDefault="00262966">
      <w:pPr>
        <w:spacing w:after="200"/>
        <w:jc w:val="left"/>
        <w:sectPr w:rsidR="00262966" w:rsidRPr="00D12445" w:rsidSect="005239B1">
          <w:headerReference w:type="default" r:id="rId11"/>
          <w:footerReference w:type="default" r:id="rId12"/>
          <w:headerReference w:type="first" r:id="rId13"/>
          <w:footerReference w:type="first" r:id="rId14"/>
          <w:pgSz w:w="11906" w:h="16838"/>
          <w:pgMar w:top="2648" w:right="1191" w:bottom="1418" w:left="1418" w:header="851" w:footer="454" w:gutter="0"/>
          <w:cols w:space="708"/>
          <w:titlePg/>
          <w:docGrid w:linePitch="360"/>
        </w:sectPr>
      </w:pPr>
    </w:p>
    <w:p w14:paraId="07150B89" w14:textId="5BE3DD2C" w:rsidR="00546F18" w:rsidRPr="00D12445" w:rsidRDefault="00546F18" w:rsidP="00F32947">
      <w:pPr>
        <w:pStyle w:val="berschrift1"/>
        <w:tabs>
          <w:tab w:val="clear" w:pos="709"/>
        </w:tabs>
        <w:spacing w:line="240" w:lineRule="auto"/>
      </w:pPr>
      <w:bookmarkStart w:id="3" w:name="_Toc185241518"/>
      <w:r>
        <w:lastRenderedPageBreak/>
        <w:t>Wesentliche Eigenheiten de</w:t>
      </w:r>
      <w:r w:rsidR="0031351A">
        <w:t>s Finanzmarktteilnehmer</w:t>
      </w:r>
      <w:r w:rsidR="00637E72">
        <w:t>s</w:t>
      </w:r>
      <w:r w:rsidR="0031351A">
        <w:t>/Finanzberaters</w:t>
      </w:r>
      <w:bookmarkEnd w:id="3"/>
    </w:p>
    <w:tbl>
      <w:tblPr>
        <w:tblW w:w="12224" w:type="dxa"/>
        <w:tblInd w:w="817" w:type="dxa"/>
        <w:tblLook w:val="01E0" w:firstRow="1" w:lastRow="1" w:firstColumn="1" w:lastColumn="1" w:noHBand="0" w:noVBand="0"/>
      </w:tblPr>
      <w:tblGrid>
        <w:gridCol w:w="12224"/>
      </w:tblGrid>
      <w:tr w:rsidR="00E943E0" w:rsidRPr="00D12445" w14:paraId="5E0DF429" w14:textId="77777777" w:rsidTr="3727C379">
        <w:tc>
          <w:tcPr>
            <w:tcW w:w="12224" w:type="dxa"/>
            <w:shd w:val="clear" w:color="auto" w:fill="auto"/>
          </w:tcPr>
          <w:p w14:paraId="4D6845EF" w14:textId="26AB41EE" w:rsidR="00BD2E47" w:rsidRPr="008E1AFB" w:rsidRDefault="00AB30E7" w:rsidP="00F32947">
            <w:pPr>
              <w:spacing w:after="0" w:line="240" w:lineRule="auto"/>
              <w:rPr>
                <w:rFonts w:cs="Arial"/>
              </w:rPr>
            </w:pPr>
            <w:r w:rsidRPr="00D12445">
              <w:rPr>
                <w:rFonts w:cs="Arial"/>
              </w:rPr>
              <w:t>Die Revisionsstelle</w:t>
            </w:r>
            <w:r w:rsidR="00BD2E47" w:rsidRPr="00D12445">
              <w:rPr>
                <w:rFonts w:cs="Arial"/>
              </w:rPr>
              <w:t xml:space="preserve"> vermerkt die folgenden </w:t>
            </w:r>
            <w:r w:rsidR="00BD2E47" w:rsidRPr="008E1AFB">
              <w:rPr>
                <w:rFonts w:cs="Arial"/>
              </w:rPr>
              <w:t>Informationen</w:t>
            </w:r>
            <w:r w:rsidR="00B37EC4" w:rsidRPr="008E1AFB">
              <w:rPr>
                <w:rFonts w:cs="Arial"/>
              </w:rPr>
              <w:t xml:space="preserve"> </w:t>
            </w:r>
            <w:r w:rsidR="004A1B8E">
              <w:rPr>
                <w:rFonts w:cs="Arial"/>
              </w:rPr>
              <w:t>über den</w:t>
            </w:r>
            <w:r w:rsidR="005A1292">
              <w:rPr>
                <w:rFonts w:cs="Arial"/>
              </w:rPr>
              <w:t xml:space="preserve"> Finanzmarkteilnehmer bzw. </w:t>
            </w:r>
            <w:r w:rsidR="004A1B8E">
              <w:rPr>
                <w:rFonts w:cs="Arial"/>
              </w:rPr>
              <w:t xml:space="preserve">den </w:t>
            </w:r>
            <w:r w:rsidR="005A1292">
              <w:rPr>
                <w:rFonts w:cs="Arial"/>
              </w:rPr>
              <w:t>Finanzberater</w:t>
            </w:r>
            <w:r w:rsidR="004A1B8E">
              <w:rPr>
                <w:rFonts w:cs="Arial"/>
              </w:rPr>
              <w:t xml:space="preserve"> in Bezug auf das </w:t>
            </w:r>
            <w:r w:rsidR="001920F7">
              <w:rPr>
                <w:rFonts w:cs="Arial"/>
              </w:rPr>
              <w:t>nachhaltigkeitsbezogene Geschäfts</w:t>
            </w:r>
            <w:r w:rsidR="00AD61DE">
              <w:rPr>
                <w:rFonts w:cs="Arial"/>
              </w:rPr>
              <w:t>profil</w:t>
            </w:r>
            <w:r w:rsidR="00BD2E47" w:rsidRPr="008E1AFB">
              <w:rPr>
                <w:rFonts w:cs="Arial"/>
              </w:rPr>
              <w:t xml:space="preserve"> in diesem Abschnitt:</w:t>
            </w:r>
          </w:p>
          <w:p w14:paraId="4B35A45B" w14:textId="5230DDAB" w:rsidR="00D2751B" w:rsidRDefault="00D2751B" w:rsidP="00BF3617">
            <w:pPr>
              <w:numPr>
                <w:ilvl w:val="0"/>
                <w:numId w:val="11"/>
              </w:numPr>
              <w:tabs>
                <w:tab w:val="num" w:pos="317"/>
              </w:tabs>
              <w:spacing w:after="0" w:line="240" w:lineRule="auto"/>
              <w:ind w:left="317" w:hanging="283"/>
              <w:rPr>
                <w:rFonts w:eastAsia="Times New Roman" w:cs="Arial"/>
                <w:lang w:eastAsia="fr-FR"/>
              </w:rPr>
            </w:pPr>
            <w:r>
              <w:rPr>
                <w:rFonts w:eastAsia="Times New Roman" w:cs="Arial"/>
                <w:lang w:eastAsia="fr-FR"/>
              </w:rPr>
              <w:t xml:space="preserve">Nachhaltigkeitsbezogenes </w:t>
            </w:r>
            <w:r w:rsidR="0031351A" w:rsidRPr="00D12445">
              <w:rPr>
                <w:rFonts w:eastAsia="Times New Roman" w:cs="Arial"/>
                <w:lang w:eastAsia="fr-FR"/>
              </w:rPr>
              <w:t>Geschäftsmodell und Strategie</w:t>
            </w:r>
          </w:p>
          <w:p w14:paraId="28FD23C7" w14:textId="5D44D7F8" w:rsidR="005A1292" w:rsidRPr="008E1AFB" w:rsidRDefault="005A1292" w:rsidP="005A1292">
            <w:pPr>
              <w:numPr>
                <w:ilvl w:val="0"/>
                <w:numId w:val="11"/>
              </w:numPr>
              <w:tabs>
                <w:tab w:val="num" w:pos="317"/>
              </w:tabs>
              <w:spacing w:after="0" w:line="240" w:lineRule="auto"/>
              <w:ind w:left="317" w:hanging="283"/>
              <w:rPr>
                <w:rFonts w:eastAsia="Times New Roman" w:cs="Arial"/>
                <w:lang w:eastAsia="fr-FR"/>
              </w:rPr>
            </w:pPr>
            <w:r>
              <w:rPr>
                <w:rFonts w:cs="Arial"/>
              </w:rPr>
              <w:t xml:space="preserve">Übersicht über </w:t>
            </w:r>
            <w:r w:rsidR="005F0B68">
              <w:rPr>
                <w:rFonts w:cs="Arial"/>
              </w:rPr>
              <w:t xml:space="preserve">die </w:t>
            </w:r>
            <w:r>
              <w:rPr>
                <w:rFonts w:cs="Arial"/>
              </w:rPr>
              <w:t xml:space="preserve">Palette angebotener </w:t>
            </w:r>
            <w:r w:rsidRPr="008E1AFB">
              <w:rPr>
                <w:rFonts w:cs="Arial"/>
              </w:rPr>
              <w:t>nachhaltige</w:t>
            </w:r>
            <w:r>
              <w:rPr>
                <w:rFonts w:cs="Arial"/>
              </w:rPr>
              <w:t>r</w:t>
            </w:r>
            <w:r w:rsidRPr="008E1AFB">
              <w:rPr>
                <w:rFonts w:cs="Arial"/>
              </w:rPr>
              <w:t xml:space="preserve"> </w:t>
            </w:r>
            <w:r w:rsidRPr="008E1AFB">
              <w:rPr>
                <w:rFonts w:eastAsia="Times New Roman" w:cs="Arial"/>
                <w:lang w:eastAsia="fr-FR"/>
              </w:rPr>
              <w:t xml:space="preserve">Finanzprodukte bzw. </w:t>
            </w:r>
            <w:r w:rsidRPr="008E1AFB">
              <w:rPr>
                <w:rFonts w:cs="Arial"/>
              </w:rPr>
              <w:t xml:space="preserve">nachhaltigkeitsbezogener </w:t>
            </w:r>
            <w:r w:rsidRPr="008E1AFB">
              <w:rPr>
                <w:rFonts w:eastAsia="Times New Roman" w:cs="Arial"/>
                <w:lang w:eastAsia="fr-FR"/>
              </w:rPr>
              <w:t>Beratungsdienstleitungen</w:t>
            </w:r>
          </w:p>
          <w:p w14:paraId="2B034305" w14:textId="4EBD2210" w:rsidR="0031351A" w:rsidRPr="00D12445" w:rsidRDefault="00D2751B" w:rsidP="00BF3617">
            <w:pPr>
              <w:numPr>
                <w:ilvl w:val="0"/>
                <w:numId w:val="11"/>
              </w:numPr>
              <w:tabs>
                <w:tab w:val="num" w:pos="317"/>
              </w:tabs>
              <w:spacing w:after="0" w:line="240" w:lineRule="auto"/>
              <w:ind w:left="317" w:hanging="283"/>
              <w:rPr>
                <w:rFonts w:eastAsia="Times New Roman" w:cs="Arial"/>
                <w:lang w:eastAsia="fr-FR"/>
              </w:rPr>
            </w:pPr>
            <w:r>
              <w:rPr>
                <w:rFonts w:eastAsia="Times New Roman" w:cs="Arial"/>
                <w:lang w:eastAsia="fr-FR"/>
              </w:rPr>
              <w:t>Anteil erwirtschafteter Erträge aus nachhaltigen</w:t>
            </w:r>
            <w:r w:rsidR="0031351A" w:rsidRPr="00D12445">
              <w:rPr>
                <w:rFonts w:eastAsia="Times New Roman" w:cs="Arial"/>
                <w:lang w:eastAsia="fr-FR"/>
              </w:rPr>
              <w:t xml:space="preserve"> </w:t>
            </w:r>
            <w:r w:rsidRPr="008E1AFB">
              <w:rPr>
                <w:rFonts w:eastAsia="Times New Roman" w:cs="Arial"/>
                <w:lang w:eastAsia="fr-FR"/>
              </w:rPr>
              <w:t xml:space="preserve">Finanzprodukte bzw. </w:t>
            </w:r>
            <w:r w:rsidRPr="008E1AFB">
              <w:rPr>
                <w:rFonts w:cs="Arial"/>
              </w:rPr>
              <w:t>nachhaltigkeitsbezogene</w:t>
            </w:r>
            <w:r>
              <w:rPr>
                <w:rFonts w:cs="Arial"/>
              </w:rPr>
              <w:t>n</w:t>
            </w:r>
            <w:r w:rsidRPr="008E1AFB">
              <w:rPr>
                <w:rFonts w:cs="Arial"/>
              </w:rPr>
              <w:t xml:space="preserve"> </w:t>
            </w:r>
            <w:r w:rsidRPr="008E1AFB">
              <w:rPr>
                <w:rFonts w:eastAsia="Times New Roman" w:cs="Arial"/>
                <w:lang w:eastAsia="fr-FR"/>
              </w:rPr>
              <w:t>Beratungsdienstleitungen</w:t>
            </w:r>
            <w:r>
              <w:rPr>
                <w:rFonts w:eastAsia="Times New Roman" w:cs="Arial"/>
                <w:lang w:eastAsia="fr-FR"/>
              </w:rPr>
              <w:t xml:space="preserve"> an Gesamterträgen</w:t>
            </w:r>
          </w:p>
          <w:p w14:paraId="74A3DB58" w14:textId="399F0FCC" w:rsidR="00037894" w:rsidRPr="00D12445" w:rsidRDefault="00037894" w:rsidP="00037894">
            <w:pPr>
              <w:numPr>
                <w:ilvl w:val="0"/>
                <w:numId w:val="11"/>
              </w:numPr>
              <w:tabs>
                <w:tab w:val="num" w:pos="317"/>
              </w:tabs>
              <w:spacing w:after="0" w:line="240" w:lineRule="auto"/>
              <w:ind w:left="317" w:hanging="283"/>
              <w:rPr>
                <w:rFonts w:eastAsia="Times New Roman" w:cs="Arial"/>
                <w:lang w:eastAsia="fr-FR"/>
              </w:rPr>
            </w:pPr>
            <w:r w:rsidRPr="3727C379">
              <w:rPr>
                <w:rFonts w:eastAsia="Times New Roman" w:cs="Arial"/>
                <w:lang w:eastAsia="fr-FR"/>
              </w:rPr>
              <w:t>Vertriebskanäle / Zielmärkte</w:t>
            </w:r>
            <w:r w:rsidR="00D2751B" w:rsidRPr="3727C379">
              <w:rPr>
                <w:rFonts w:eastAsia="Times New Roman" w:cs="Arial"/>
                <w:lang w:eastAsia="fr-FR"/>
              </w:rPr>
              <w:t xml:space="preserve"> </w:t>
            </w:r>
            <w:r w:rsidR="6A51B692" w:rsidRPr="3727C379">
              <w:rPr>
                <w:rFonts w:eastAsia="Times New Roman" w:cs="Arial"/>
                <w:lang w:eastAsia="fr-FR"/>
              </w:rPr>
              <w:t>in Bezug auf nachhaltige Finanzprodukte</w:t>
            </w:r>
            <w:r w:rsidR="005F0B68">
              <w:rPr>
                <w:rFonts w:eastAsia="Times New Roman" w:cs="Arial"/>
                <w:lang w:eastAsia="fr-FR"/>
              </w:rPr>
              <w:t xml:space="preserve"> </w:t>
            </w:r>
            <w:r w:rsidR="005F0B68" w:rsidRPr="008E1AFB">
              <w:rPr>
                <w:rFonts w:eastAsia="Times New Roman" w:cs="Arial"/>
                <w:lang w:eastAsia="fr-FR"/>
              </w:rPr>
              <w:t xml:space="preserve">bzw. </w:t>
            </w:r>
            <w:r w:rsidR="005F0B68" w:rsidRPr="008E1AFB">
              <w:rPr>
                <w:rFonts w:cs="Arial"/>
              </w:rPr>
              <w:t>nachhaltigkeitsbezogene</w:t>
            </w:r>
            <w:r w:rsidR="005F0B68">
              <w:rPr>
                <w:rFonts w:cs="Arial"/>
              </w:rPr>
              <w:t>n</w:t>
            </w:r>
            <w:r w:rsidR="005F0B68" w:rsidRPr="008E1AFB">
              <w:rPr>
                <w:rFonts w:cs="Arial"/>
              </w:rPr>
              <w:t xml:space="preserve"> </w:t>
            </w:r>
            <w:r w:rsidR="005F0B68" w:rsidRPr="008E1AFB">
              <w:rPr>
                <w:rFonts w:eastAsia="Times New Roman" w:cs="Arial"/>
                <w:lang w:eastAsia="fr-FR"/>
              </w:rPr>
              <w:t>Beratungsdienstleitungen</w:t>
            </w:r>
          </w:p>
          <w:p w14:paraId="36D349E5" w14:textId="3CC40A51" w:rsidR="0031351A" w:rsidRPr="00D12445" w:rsidRDefault="007F763C" w:rsidP="00BF3617">
            <w:pPr>
              <w:numPr>
                <w:ilvl w:val="0"/>
                <w:numId w:val="11"/>
              </w:numPr>
              <w:tabs>
                <w:tab w:val="num" w:pos="317"/>
              </w:tabs>
              <w:spacing w:after="0" w:line="240" w:lineRule="auto"/>
              <w:ind w:left="317" w:hanging="283"/>
              <w:rPr>
                <w:rFonts w:eastAsia="Times New Roman" w:cs="Arial"/>
                <w:lang w:eastAsia="fr-FR"/>
              </w:rPr>
            </w:pPr>
            <w:r w:rsidRPr="3727C379">
              <w:rPr>
                <w:rFonts w:eastAsia="Times New Roman" w:cs="Arial"/>
                <w:lang w:eastAsia="fr-FR"/>
              </w:rPr>
              <w:t xml:space="preserve">Aufgabenübertragungen </w:t>
            </w:r>
            <w:r w:rsidR="13EB1BF9" w:rsidRPr="3727C379">
              <w:rPr>
                <w:rFonts w:eastAsia="Times New Roman" w:cs="Arial"/>
                <w:lang w:eastAsia="fr-FR"/>
              </w:rPr>
              <w:t>in Bezug auf nachhaltige Finanzprodukte</w:t>
            </w:r>
            <w:r w:rsidR="005F0B68">
              <w:rPr>
                <w:rFonts w:eastAsia="Times New Roman" w:cs="Arial"/>
                <w:lang w:eastAsia="fr-FR"/>
              </w:rPr>
              <w:t xml:space="preserve"> </w:t>
            </w:r>
            <w:r w:rsidR="005F0B68" w:rsidRPr="008E1AFB">
              <w:rPr>
                <w:rFonts w:eastAsia="Times New Roman" w:cs="Arial"/>
                <w:lang w:eastAsia="fr-FR"/>
              </w:rPr>
              <w:t xml:space="preserve">bzw. </w:t>
            </w:r>
            <w:r w:rsidR="005F0B68" w:rsidRPr="008E1AFB">
              <w:rPr>
                <w:rFonts w:cs="Arial"/>
              </w:rPr>
              <w:t>nachhaltigkeitsbezogene</w:t>
            </w:r>
            <w:r w:rsidR="005F0B68">
              <w:rPr>
                <w:rFonts w:cs="Arial"/>
              </w:rPr>
              <w:t>n</w:t>
            </w:r>
            <w:r w:rsidR="005F0B68" w:rsidRPr="008E1AFB">
              <w:rPr>
                <w:rFonts w:cs="Arial"/>
              </w:rPr>
              <w:t xml:space="preserve"> </w:t>
            </w:r>
            <w:r w:rsidR="005F0B68" w:rsidRPr="008E1AFB">
              <w:rPr>
                <w:rFonts w:eastAsia="Times New Roman" w:cs="Arial"/>
                <w:lang w:eastAsia="fr-FR"/>
              </w:rPr>
              <w:t>Beratungsdienstleitungen</w:t>
            </w:r>
          </w:p>
          <w:p w14:paraId="1A788824" w14:textId="6A95E3D2" w:rsidR="007F763C" w:rsidRDefault="007F763C" w:rsidP="00BF3617">
            <w:pPr>
              <w:numPr>
                <w:ilvl w:val="0"/>
                <w:numId w:val="11"/>
              </w:numPr>
              <w:tabs>
                <w:tab w:val="num" w:pos="317"/>
              </w:tabs>
              <w:spacing w:after="0" w:line="240" w:lineRule="auto"/>
              <w:ind w:left="317" w:hanging="283"/>
              <w:rPr>
                <w:rFonts w:eastAsia="Times New Roman" w:cs="Arial"/>
                <w:lang w:eastAsia="fr-FR"/>
              </w:rPr>
            </w:pPr>
            <w:r w:rsidRPr="3727C379">
              <w:rPr>
                <w:rFonts w:eastAsia="Times New Roman" w:cs="Arial"/>
                <w:lang w:eastAsia="fr-FR"/>
              </w:rPr>
              <w:t>Dienstleiter / Datenlieferanten / Softwareprogramme</w:t>
            </w:r>
            <w:r w:rsidR="68F05019" w:rsidRPr="3727C379">
              <w:rPr>
                <w:rFonts w:eastAsia="Times New Roman" w:cs="Arial"/>
                <w:lang w:eastAsia="fr-FR"/>
              </w:rPr>
              <w:t xml:space="preserve"> in Bezug auf nachhaltige Finanzprodukte</w:t>
            </w:r>
            <w:r w:rsidR="005F0B68">
              <w:rPr>
                <w:rFonts w:eastAsia="Times New Roman" w:cs="Arial"/>
                <w:lang w:eastAsia="fr-FR"/>
              </w:rPr>
              <w:t xml:space="preserve"> </w:t>
            </w:r>
            <w:r w:rsidR="005F0B68" w:rsidRPr="008E1AFB">
              <w:rPr>
                <w:rFonts w:eastAsia="Times New Roman" w:cs="Arial"/>
                <w:lang w:eastAsia="fr-FR"/>
              </w:rPr>
              <w:t xml:space="preserve">bzw. </w:t>
            </w:r>
            <w:r w:rsidR="005F0B68" w:rsidRPr="008E1AFB">
              <w:rPr>
                <w:rFonts w:cs="Arial"/>
              </w:rPr>
              <w:t>nachhaltigkeitsbezogene</w:t>
            </w:r>
            <w:r w:rsidR="005F0B68">
              <w:rPr>
                <w:rFonts w:cs="Arial"/>
              </w:rPr>
              <w:t>n</w:t>
            </w:r>
            <w:r w:rsidR="005F0B68" w:rsidRPr="008E1AFB">
              <w:rPr>
                <w:rFonts w:cs="Arial"/>
              </w:rPr>
              <w:t xml:space="preserve"> </w:t>
            </w:r>
            <w:r w:rsidR="005F0B68" w:rsidRPr="008E1AFB">
              <w:rPr>
                <w:rFonts w:eastAsia="Times New Roman" w:cs="Arial"/>
                <w:lang w:eastAsia="fr-FR"/>
              </w:rPr>
              <w:t>Beratungsdienstleitungen</w:t>
            </w:r>
          </w:p>
          <w:p w14:paraId="6AE49782" w14:textId="4E64F6A4" w:rsidR="00507770" w:rsidRDefault="00D2751B" w:rsidP="00BF3617">
            <w:pPr>
              <w:numPr>
                <w:ilvl w:val="0"/>
                <w:numId w:val="11"/>
              </w:numPr>
              <w:tabs>
                <w:tab w:val="num" w:pos="317"/>
              </w:tabs>
              <w:spacing w:after="0" w:line="240" w:lineRule="auto"/>
              <w:ind w:left="317" w:hanging="283"/>
              <w:rPr>
                <w:rFonts w:eastAsia="Times New Roman" w:cs="Arial"/>
                <w:lang w:eastAsia="fr-FR"/>
              </w:rPr>
            </w:pPr>
            <w:r>
              <w:rPr>
                <w:rFonts w:eastAsia="Times New Roman" w:cs="Arial"/>
                <w:lang w:eastAsia="fr-FR"/>
              </w:rPr>
              <w:t>Mit Nachhaltigkeitsthemen</w:t>
            </w:r>
            <w:r w:rsidR="00507770">
              <w:rPr>
                <w:rFonts w:eastAsia="Times New Roman" w:cs="Arial"/>
                <w:lang w:eastAsia="fr-FR"/>
              </w:rPr>
              <w:t xml:space="preserve"> </w:t>
            </w:r>
            <w:r>
              <w:rPr>
                <w:rFonts w:eastAsia="Times New Roman" w:cs="Arial"/>
                <w:lang w:eastAsia="fr-FR"/>
              </w:rPr>
              <w:t xml:space="preserve">befasster Personalbestand </w:t>
            </w:r>
            <w:r w:rsidR="00CB0D0E">
              <w:rPr>
                <w:rFonts w:eastAsia="Times New Roman" w:cs="Arial"/>
                <w:lang w:eastAsia="fr-FR"/>
              </w:rPr>
              <w:t xml:space="preserve">inkl. Funktion </w:t>
            </w:r>
            <w:r>
              <w:rPr>
                <w:rFonts w:eastAsia="Times New Roman" w:cs="Arial"/>
                <w:lang w:eastAsia="fr-FR"/>
              </w:rPr>
              <w:t>und Verantwortlichkeiten</w:t>
            </w:r>
          </w:p>
          <w:p w14:paraId="7455F55D" w14:textId="3932F35E" w:rsidR="00B37EC4" w:rsidRPr="00D12445" w:rsidRDefault="00B37EC4" w:rsidP="00BF3617">
            <w:pPr>
              <w:numPr>
                <w:ilvl w:val="0"/>
                <w:numId w:val="11"/>
              </w:numPr>
              <w:tabs>
                <w:tab w:val="num" w:pos="317"/>
              </w:tabs>
              <w:spacing w:after="0" w:line="240" w:lineRule="auto"/>
              <w:ind w:left="317" w:hanging="283"/>
              <w:rPr>
                <w:rFonts w:eastAsia="Times New Roman" w:cs="Arial"/>
                <w:lang w:eastAsia="fr-FR"/>
              </w:rPr>
            </w:pPr>
            <w:r w:rsidRPr="3727C379">
              <w:rPr>
                <w:rFonts w:cs="Arial"/>
              </w:rPr>
              <w:t>Wesentliche Änderungen im Geschäftsjahr</w:t>
            </w:r>
            <w:r w:rsidR="7D01479C" w:rsidRPr="3727C379">
              <w:rPr>
                <w:rFonts w:cs="Arial"/>
              </w:rPr>
              <w:t xml:space="preserve"> in Bezug auf nachhaltige Finanzprodukte</w:t>
            </w:r>
            <w:r w:rsidR="005F0B68">
              <w:rPr>
                <w:rFonts w:cs="Arial"/>
              </w:rPr>
              <w:t xml:space="preserve"> </w:t>
            </w:r>
            <w:r w:rsidR="005F0B68" w:rsidRPr="008E1AFB">
              <w:rPr>
                <w:rFonts w:eastAsia="Times New Roman" w:cs="Arial"/>
                <w:lang w:eastAsia="fr-FR"/>
              </w:rPr>
              <w:t xml:space="preserve">bzw. </w:t>
            </w:r>
            <w:r w:rsidR="005F0B68" w:rsidRPr="008E1AFB">
              <w:rPr>
                <w:rFonts w:cs="Arial"/>
              </w:rPr>
              <w:t>nachhaltigkeitsbezogene</w:t>
            </w:r>
            <w:r w:rsidR="005F0B68">
              <w:rPr>
                <w:rFonts w:cs="Arial"/>
              </w:rPr>
              <w:t>n</w:t>
            </w:r>
            <w:r w:rsidR="005F0B68" w:rsidRPr="008E1AFB">
              <w:rPr>
                <w:rFonts w:cs="Arial"/>
              </w:rPr>
              <w:t xml:space="preserve"> </w:t>
            </w:r>
            <w:r w:rsidR="005F0B68" w:rsidRPr="008E1AFB">
              <w:rPr>
                <w:rFonts w:eastAsia="Times New Roman" w:cs="Arial"/>
                <w:lang w:eastAsia="fr-FR"/>
              </w:rPr>
              <w:t>Beratungsdienstleitungen</w:t>
            </w:r>
          </w:p>
          <w:p w14:paraId="5B6E9D96" w14:textId="72A7B143" w:rsidR="00037894" w:rsidRDefault="00B37EC4" w:rsidP="00CF0F7B">
            <w:pPr>
              <w:numPr>
                <w:ilvl w:val="0"/>
                <w:numId w:val="11"/>
              </w:numPr>
              <w:tabs>
                <w:tab w:val="num" w:pos="317"/>
              </w:tabs>
              <w:spacing w:after="0" w:line="240" w:lineRule="auto"/>
              <w:ind w:left="317" w:hanging="283"/>
              <w:rPr>
                <w:rFonts w:eastAsia="Times New Roman" w:cs="Arial"/>
                <w:lang w:eastAsia="fr-FR"/>
              </w:rPr>
            </w:pPr>
            <w:r w:rsidRPr="3727C379">
              <w:rPr>
                <w:rFonts w:cs="Arial"/>
              </w:rPr>
              <w:t>Aussage</w:t>
            </w:r>
            <w:r w:rsidRPr="3727C379">
              <w:rPr>
                <w:rFonts w:eastAsia="Times New Roman" w:cs="Arial"/>
                <w:lang w:eastAsia="fr-FR"/>
              </w:rPr>
              <w:t xml:space="preserve"> zu den im Zusammenhang mit der aktuellen und beabsichtigten zukünftigen Geschäftstätigkeit eingegangenen Risiken, insbesondere unter Berücksichtigung der Zielmärkte, der Expansionsabsichten, der erwarteten Volumina sowie der </w:t>
            </w:r>
            <w:r w:rsidR="00CF0F7B" w:rsidRPr="3727C379">
              <w:rPr>
                <w:rFonts w:eastAsia="Times New Roman" w:cs="Arial"/>
                <w:lang w:eastAsia="fr-FR"/>
              </w:rPr>
              <w:t>Finanzprodukte</w:t>
            </w:r>
            <w:r w:rsidRPr="3727C379">
              <w:rPr>
                <w:rFonts w:eastAsia="Times New Roman" w:cs="Arial"/>
                <w:lang w:eastAsia="fr-FR"/>
              </w:rPr>
              <w:t xml:space="preserve"> und Dienstleistungspalette</w:t>
            </w:r>
            <w:r w:rsidR="2D2A1F40" w:rsidRPr="3727C379">
              <w:rPr>
                <w:rFonts w:eastAsia="Times New Roman" w:cs="Arial"/>
                <w:lang w:eastAsia="fr-FR"/>
              </w:rPr>
              <w:t xml:space="preserve"> in Bezug auf nachhaltige Finanzprodukte</w:t>
            </w:r>
            <w:r w:rsidR="005F0B68">
              <w:rPr>
                <w:rFonts w:eastAsia="Times New Roman" w:cs="Arial"/>
                <w:lang w:eastAsia="fr-FR"/>
              </w:rPr>
              <w:t xml:space="preserve"> </w:t>
            </w:r>
            <w:r w:rsidR="005F0B68" w:rsidRPr="008E1AFB">
              <w:rPr>
                <w:rFonts w:eastAsia="Times New Roman" w:cs="Arial"/>
                <w:lang w:eastAsia="fr-FR"/>
              </w:rPr>
              <w:t xml:space="preserve">bzw. </w:t>
            </w:r>
            <w:r w:rsidR="005F0B68" w:rsidRPr="008E1AFB">
              <w:rPr>
                <w:rFonts w:cs="Arial"/>
              </w:rPr>
              <w:t>nachhaltigkeitsbezogene</w:t>
            </w:r>
            <w:r w:rsidR="005F0B68">
              <w:rPr>
                <w:rFonts w:cs="Arial"/>
              </w:rPr>
              <w:t>n</w:t>
            </w:r>
            <w:r w:rsidR="005F0B68" w:rsidRPr="008E1AFB">
              <w:rPr>
                <w:rFonts w:cs="Arial"/>
              </w:rPr>
              <w:t xml:space="preserve"> </w:t>
            </w:r>
            <w:r w:rsidR="005F0B68" w:rsidRPr="008E1AFB">
              <w:rPr>
                <w:rFonts w:eastAsia="Times New Roman" w:cs="Arial"/>
                <w:lang w:eastAsia="fr-FR"/>
              </w:rPr>
              <w:t>Beratungsdienstleitungen</w:t>
            </w:r>
          </w:p>
          <w:p w14:paraId="58AF078D" w14:textId="27A058C9" w:rsidR="00D2751B" w:rsidRPr="00D2751B" w:rsidRDefault="00D2751B" w:rsidP="00D2751B">
            <w:pPr>
              <w:numPr>
                <w:ilvl w:val="0"/>
                <w:numId w:val="11"/>
              </w:numPr>
              <w:tabs>
                <w:tab w:val="num" w:pos="317"/>
              </w:tabs>
              <w:spacing w:after="0" w:line="240" w:lineRule="auto"/>
              <w:ind w:left="317" w:hanging="283"/>
              <w:rPr>
                <w:rFonts w:eastAsia="Times New Roman" w:cs="Arial"/>
                <w:lang w:eastAsia="fr-FR"/>
              </w:rPr>
            </w:pPr>
            <w:r>
              <w:rPr>
                <w:rFonts w:eastAsia="Times New Roman" w:cs="Arial"/>
                <w:lang w:eastAsia="fr-FR"/>
              </w:rPr>
              <w:t xml:space="preserve">Kundenbeschwerden im Zusammenhang mit der </w:t>
            </w:r>
            <w:r w:rsidRPr="008E1AFB">
              <w:rPr>
                <w:rFonts w:cs="Arial"/>
              </w:rPr>
              <w:t>Verwaltung von nachhaltigen Finanzprodukten bzw. der Erbringung nachhaltigkeitsbezogener Beratungsdienstleitungen</w:t>
            </w:r>
          </w:p>
          <w:p w14:paraId="4FBB4334" w14:textId="3B3F08A3" w:rsidR="00D2751B" w:rsidRPr="00037894" w:rsidRDefault="00D2751B" w:rsidP="00CF0F7B">
            <w:pPr>
              <w:numPr>
                <w:ilvl w:val="0"/>
                <w:numId w:val="11"/>
              </w:numPr>
              <w:tabs>
                <w:tab w:val="num" w:pos="317"/>
              </w:tabs>
              <w:spacing w:after="0" w:line="240" w:lineRule="auto"/>
              <w:ind w:left="317" w:hanging="283"/>
              <w:rPr>
                <w:rFonts w:eastAsia="Times New Roman" w:cs="Arial"/>
                <w:lang w:eastAsia="fr-FR"/>
              </w:rPr>
            </w:pPr>
            <w:r>
              <w:rPr>
                <w:rFonts w:eastAsia="Times New Roman" w:cs="Arial"/>
                <w:lang w:eastAsia="fr-FR"/>
              </w:rPr>
              <w:t xml:space="preserve">Hängige Verfahren im Zusammenhang mit der </w:t>
            </w:r>
            <w:r w:rsidRPr="008E1AFB">
              <w:rPr>
                <w:rFonts w:cs="Arial"/>
              </w:rPr>
              <w:t>Verwaltung von nachhaltigen Finanzprodukten bzw. der Erbringung nachhaltigkeitsbezogener Beratungsdienstleitungen</w:t>
            </w:r>
          </w:p>
        </w:tc>
      </w:tr>
    </w:tbl>
    <w:p w14:paraId="4972172C" w14:textId="77777777" w:rsidR="00546F18" w:rsidRPr="00D12445" w:rsidRDefault="00546F18" w:rsidP="00F32947">
      <w:pPr>
        <w:pStyle w:val="berschrift1"/>
        <w:tabs>
          <w:tab w:val="clear" w:pos="709"/>
        </w:tabs>
        <w:spacing w:line="240" w:lineRule="auto"/>
      </w:pPr>
      <w:bookmarkStart w:id="4" w:name="_Toc140073120"/>
      <w:bookmarkStart w:id="5" w:name="_Toc146540904"/>
      <w:bookmarkStart w:id="6" w:name="_Toc140073121"/>
      <w:bookmarkStart w:id="7" w:name="_Toc146540905"/>
      <w:bookmarkStart w:id="8" w:name="_Toc185241519"/>
      <w:bookmarkEnd w:id="4"/>
      <w:bookmarkEnd w:id="5"/>
      <w:bookmarkEnd w:id="6"/>
      <w:bookmarkEnd w:id="7"/>
      <w:r w:rsidRPr="00D12445">
        <w:t>Zusammenfassung der Prüfungsergebnisse</w:t>
      </w:r>
      <w:bookmarkEnd w:id="8"/>
    </w:p>
    <w:p w14:paraId="38EFCF72" w14:textId="77777777" w:rsidR="00546F18" w:rsidRPr="00D12445" w:rsidRDefault="00546F18" w:rsidP="00F32947">
      <w:pPr>
        <w:pStyle w:val="berschrift2"/>
        <w:spacing w:line="240" w:lineRule="auto"/>
      </w:pPr>
      <w:bookmarkStart w:id="9" w:name="_Toc185241520"/>
      <w:r w:rsidRPr="00D12445">
        <w:t>Beanstandungen</w:t>
      </w:r>
      <w:bookmarkEnd w:id="9"/>
      <w:r w:rsidRPr="00D12445">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E943E0" w:rsidRPr="00D12445" w14:paraId="18619FB8" w14:textId="77777777" w:rsidTr="00977387">
        <w:tc>
          <w:tcPr>
            <w:tcW w:w="12224" w:type="dxa"/>
            <w:tcBorders>
              <w:top w:val="nil"/>
              <w:left w:val="nil"/>
              <w:bottom w:val="nil"/>
              <w:right w:val="nil"/>
            </w:tcBorders>
            <w:shd w:val="clear" w:color="auto" w:fill="auto"/>
          </w:tcPr>
          <w:p w14:paraId="62F627CC" w14:textId="2B12B51B" w:rsidR="0094351A" w:rsidRPr="00D12445" w:rsidRDefault="00AB30E7" w:rsidP="009E3FC1">
            <w:pPr>
              <w:pStyle w:val="FormatvorlageLinks0cm"/>
              <w:spacing w:after="120"/>
              <w:rPr>
                <w:lang w:val="de-CH"/>
              </w:rPr>
            </w:pPr>
            <w:r w:rsidRPr="00D12445">
              <w:rPr>
                <w:lang w:val="de-CH"/>
              </w:rPr>
              <w:t xml:space="preserve">Die Revisionsstelle </w:t>
            </w:r>
            <w:r w:rsidR="00244DB4" w:rsidRPr="00D12445">
              <w:rPr>
                <w:color w:val="auto"/>
                <w:lang w:val="de-CH"/>
              </w:rPr>
              <w:t xml:space="preserve">nennt hier die Beanstandungen. </w:t>
            </w:r>
            <w:r w:rsidR="001F50B5" w:rsidRPr="00D12445">
              <w:rPr>
                <w:color w:val="auto"/>
                <w:lang w:val="de-CH"/>
              </w:rPr>
              <w:t xml:space="preserve">Die Klassifizierung von </w:t>
            </w:r>
            <w:r w:rsidR="003A57B6" w:rsidRPr="00D12445">
              <w:rPr>
                <w:color w:val="auto"/>
                <w:lang w:val="de-CH"/>
              </w:rPr>
              <w:t xml:space="preserve">Beanstandungen </w:t>
            </w:r>
            <w:r w:rsidR="0078754B" w:rsidRPr="00D12445">
              <w:rPr>
                <w:color w:val="auto"/>
                <w:lang w:val="de-CH"/>
              </w:rPr>
              <w:t xml:space="preserve">in </w:t>
            </w:r>
            <w:r w:rsidR="001F50B5" w:rsidRPr="00D12445">
              <w:rPr>
                <w:color w:val="auto"/>
                <w:lang w:val="de-CH"/>
              </w:rPr>
              <w:t xml:space="preserve">tief, mittel und </w:t>
            </w:r>
            <w:r w:rsidR="003A57B6" w:rsidRPr="00D12445">
              <w:rPr>
                <w:color w:val="auto"/>
                <w:lang w:val="de-CH"/>
              </w:rPr>
              <w:t>hoch</w:t>
            </w:r>
            <w:r w:rsidR="0078754B" w:rsidRPr="00D12445">
              <w:rPr>
                <w:color w:val="auto"/>
                <w:lang w:val="de-CH"/>
              </w:rPr>
              <w:t xml:space="preserve"> richtet sich nach </w:t>
            </w:r>
            <w:r w:rsidR="00A27AC0" w:rsidRPr="00D12445">
              <w:rPr>
                <w:color w:val="auto"/>
                <w:lang w:val="de-CH"/>
              </w:rPr>
              <w:t xml:space="preserve">dem </w:t>
            </w:r>
            <w:r w:rsidR="0078754B" w:rsidRPr="00D12445">
              <w:rPr>
                <w:color w:val="auto"/>
                <w:lang w:val="de-CH"/>
              </w:rPr>
              <w:t xml:space="preserve">allgemeinen Teil der </w:t>
            </w:r>
            <w:r w:rsidR="002D095D" w:rsidRPr="00D12445">
              <w:rPr>
                <w:color w:val="auto"/>
                <w:lang w:val="de-CH"/>
              </w:rPr>
              <w:t>Richtlinie</w:t>
            </w:r>
            <w:r w:rsidR="003A57B6" w:rsidRPr="00D12445">
              <w:rPr>
                <w:color w:val="auto"/>
                <w:lang w:val="de-CH"/>
              </w:rPr>
              <w:t>.</w:t>
            </w:r>
            <w:r w:rsidR="00CF0F7B" w:rsidRPr="00D12445">
              <w:rPr>
                <w:color w:val="auto"/>
                <w:lang w:val="de-CH"/>
              </w:rPr>
              <w:t xml:space="preserve"> </w:t>
            </w:r>
            <w:r w:rsidR="00CF0F7B" w:rsidRPr="00D12445">
              <w:rPr>
                <w:lang w:val="de-CH"/>
              </w:rPr>
              <w:t xml:space="preserve">Die Revisionsstelle berücksichtigt auch sämtliche Feststellungen der internen Revision im Geschäftsjahr, welche sie als wichtig erachtet. </w:t>
            </w:r>
          </w:p>
        </w:tc>
      </w:tr>
      <w:tr w:rsidR="00E943E0" w:rsidRPr="00D12445" w14:paraId="73247DFF" w14:textId="77777777" w:rsidTr="00977387">
        <w:tc>
          <w:tcPr>
            <w:tcW w:w="12224" w:type="dxa"/>
            <w:tcBorders>
              <w:top w:val="nil"/>
              <w:left w:val="nil"/>
              <w:bottom w:val="nil"/>
              <w:right w:val="nil"/>
            </w:tcBorders>
            <w:shd w:val="clear" w:color="auto" w:fill="auto"/>
          </w:tcPr>
          <w:p w14:paraId="74390AD1" w14:textId="77777777" w:rsidR="00244DB4" w:rsidRPr="00D12445" w:rsidRDefault="00E943E0" w:rsidP="00F32947">
            <w:pPr>
              <w:pStyle w:val="FormatvorlageLinks0cm"/>
              <w:rPr>
                <w:lang w:val="de-CH"/>
              </w:rPr>
            </w:pPr>
            <w:r w:rsidRPr="00D12445">
              <w:rPr>
                <w:lang w:val="de-CH"/>
              </w:rPr>
              <w:t xml:space="preserve">Die Beanstandungen erfolgen unter angemessenen Fristansetzungen und mit Hinweis auf die Seitenzahlen des Berichts mit der Detailinformation der jeweiligen Beanstandung. </w:t>
            </w:r>
          </w:p>
          <w:p w14:paraId="5E2CAE38" w14:textId="07BAA228" w:rsidR="00E943E0" w:rsidRPr="00D12445" w:rsidRDefault="00E943E0" w:rsidP="009E3FC1">
            <w:pPr>
              <w:pStyle w:val="FormatvorlageLinks0cm"/>
              <w:spacing w:after="120"/>
              <w:rPr>
                <w:lang w:val="de-CH"/>
              </w:rPr>
            </w:pPr>
            <w:r w:rsidRPr="00D12445">
              <w:rPr>
                <w:lang w:val="de-CH"/>
              </w:rPr>
              <w:t xml:space="preserve">Hat </w:t>
            </w:r>
            <w:r w:rsidR="008553FA" w:rsidRPr="00D12445">
              <w:rPr>
                <w:lang w:val="de-CH"/>
              </w:rPr>
              <w:t xml:space="preserve">die Revisionsstelle </w:t>
            </w:r>
            <w:r w:rsidRPr="00D12445">
              <w:rPr>
                <w:lang w:val="de-CH"/>
              </w:rPr>
              <w:t>keine Beanstandungen aufzuzeigen, hält sie dies ebenfalls fest.</w:t>
            </w:r>
          </w:p>
        </w:tc>
      </w:tr>
      <w:tr w:rsidR="00E943E0" w:rsidRPr="00D12445" w14:paraId="2F53A888" w14:textId="77777777" w:rsidTr="00977387">
        <w:tc>
          <w:tcPr>
            <w:tcW w:w="12224" w:type="dxa"/>
            <w:tcBorders>
              <w:top w:val="nil"/>
              <w:left w:val="nil"/>
              <w:bottom w:val="nil"/>
              <w:right w:val="nil"/>
            </w:tcBorders>
            <w:shd w:val="clear" w:color="auto" w:fill="auto"/>
          </w:tcPr>
          <w:p w14:paraId="5A028FCE" w14:textId="25A15969" w:rsidR="00E943E0" w:rsidRPr="00D12445" w:rsidRDefault="00780771">
            <w:pPr>
              <w:pStyle w:val="FormatvorlageLinks0cm"/>
              <w:rPr>
                <w:lang w:val="de-CH"/>
              </w:rPr>
            </w:pPr>
            <w:r w:rsidRPr="00D12445">
              <w:rPr>
                <w:lang w:val="de-CH"/>
              </w:rPr>
              <w:lastRenderedPageBreak/>
              <w:t>Die Revisionsstelle</w:t>
            </w:r>
            <w:r w:rsidR="00E943E0" w:rsidRPr="00D12445">
              <w:rPr>
                <w:lang w:val="de-CH"/>
              </w:rPr>
              <w:t xml:space="preserve"> gewährt </w:t>
            </w:r>
            <w:r w:rsidR="005A1292">
              <w:rPr>
                <w:lang w:val="de-CH"/>
              </w:rPr>
              <w:t>dem</w:t>
            </w:r>
            <w:r w:rsidR="00E943E0" w:rsidRPr="00D12445">
              <w:rPr>
                <w:lang w:val="de-CH"/>
              </w:rPr>
              <w:t xml:space="preserve"> </w:t>
            </w:r>
            <w:r w:rsidR="00CF0F7B" w:rsidRPr="00D12445">
              <w:rPr>
                <w:lang w:val="de-CH"/>
              </w:rPr>
              <w:t xml:space="preserve">Finanzmarktteilnehmer/Finanzberater </w:t>
            </w:r>
            <w:r w:rsidR="00E943E0" w:rsidRPr="00D12445">
              <w:rPr>
                <w:lang w:val="de-CH"/>
              </w:rPr>
              <w:t>die Möglichkeit zu einer eigenen Stellungnahme und kennzeichnet diese im Bericht entsprechend.</w:t>
            </w:r>
          </w:p>
        </w:tc>
      </w:tr>
    </w:tbl>
    <w:p w14:paraId="377522F4" w14:textId="77777777" w:rsidR="00FD2840" w:rsidRPr="00D12445" w:rsidRDefault="00FD2840" w:rsidP="00F627F8">
      <w:pPr>
        <w:pStyle w:val="berschrift2"/>
        <w:spacing w:line="240" w:lineRule="auto"/>
      </w:pPr>
      <w:bookmarkStart w:id="10" w:name="_Toc525133272"/>
      <w:bookmarkStart w:id="11" w:name="_Toc525142946"/>
      <w:bookmarkStart w:id="12" w:name="_Toc526779388"/>
      <w:bookmarkStart w:id="13" w:name="_Toc526779600"/>
      <w:bookmarkStart w:id="14" w:name="_Toc526780070"/>
      <w:bookmarkStart w:id="15" w:name="_Toc185241521"/>
      <w:bookmarkEnd w:id="10"/>
      <w:bookmarkEnd w:id="11"/>
      <w:bookmarkEnd w:id="12"/>
      <w:bookmarkEnd w:id="13"/>
      <w:bookmarkEnd w:id="14"/>
      <w:r w:rsidRPr="00D12445">
        <w:t>Beanstandungen zum Vorjahr</w:t>
      </w:r>
      <w:bookmarkEnd w:id="15"/>
    </w:p>
    <w:tbl>
      <w:tblPr>
        <w:tblW w:w="0" w:type="auto"/>
        <w:tblInd w:w="817" w:type="dxa"/>
        <w:tblLook w:val="01E0" w:firstRow="1" w:lastRow="1" w:firstColumn="1" w:lastColumn="1" w:noHBand="0" w:noVBand="0"/>
      </w:tblPr>
      <w:tblGrid>
        <w:gridCol w:w="12222"/>
      </w:tblGrid>
      <w:tr w:rsidR="00E943E0" w:rsidRPr="00D12445" w14:paraId="32009577" w14:textId="77777777" w:rsidTr="00977387">
        <w:tc>
          <w:tcPr>
            <w:tcW w:w="12224" w:type="dxa"/>
            <w:shd w:val="clear" w:color="auto" w:fill="auto"/>
          </w:tcPr>
          <w:p w14:paraId="23CAB14D" w14:textId="1AFB3895" w:rsidR="00E943E0" w:rsidRPr="00D12445" w:rsidRDefault="00E943E0" w:rsidP="00F32947">
            <w:pPr>
              <w:pStyle w:val="FormatvorlageLinks0cm"/>
              <w:rPr>
                <w:lang w:val="de-CH"/>
              </w:rPr>
            </w:pPr>
            <w:r w:rsidRPr="00D12445">
              <w:rPr>
                <w:lang w:val="de-CH"/>
              </w:rPr>
              <w:t xml:space="preserve">Die Revisionsstelle führt die Beanstandungen aufgrund des </w:t>
            </w:r>
            <w:r w:rsidR="00830146" w:rsidRPr="00D12445">
              <w:rPr>
                <w:lang w:val="de-CH"/>
              </w:rPr>
              <w:t>B</w:t>
            </w:r>
            <w:r w:rsidR="00244DB4" w:rsidRPr="00D12445">
              <w:rPr>
                <w:lang w:val="de-CH"/>
              </w:rPr>
              <w:t>erichtes</w:t>
            </w:r>
            <w:r w:rsidR="00830146" w:rsidRPr="00D12445">
              <w:rPr>
                <w:lang w:val="de-CH"/>
              </w:rPr>
              <w:t xml:space="preserve"> über die Aufsichtsprüfung</w:t>
            </w:r>
            <w:r w:rsidR="00244DB4" w:rsidRPr="00D12445">
              <w:rPr>
                <w:lang w:val="de-CH"/>
              </w:rPr>
              <w:t xml:space="preserve"> </w:t>
            </w:r>
            <w:r w:rsidRPr="00D12445">
              <w:rPr>
                <w:lang w:val="de-CH"/>
              </w:rPr>
              <w:t>im Vorjahr auf,</w:t>
            </w:r>
            <w:r w:rsidR="00DC42E5" w:rsidRPr="00D12445">
              <w:rPr>
                <w:color w:val="auto"/>
                <w:lang w:val="de-CH"/>
              </w:rPr>
              <w:t xml:space="preserve"> die zum Berichtszeitpunkt des Vorjahres nicht erledigt waren. Sie</w:t>
            </w:r>
            <w:r w:rsidRPr="00D12445">
              <w:rPr>
                <w:lang w:val="de-CH"/>
              </w:rPr>
              <w:t xml:space="preserve"> berichtet über die Ergebnisse der Nachprüfung</w:t>
            </w:r>
            <w:r w:rsidRPr="00D12445">
              <w:rPr>
                <w:i/>
                <w:iCs/>
                <w:lang w:val="de-CH"/>
              </w:rPr>
              <w:t xml:space="preserve"> </w:t>
            </w:r>
            <w:r w:rsidRPr="00D12445">
              <w:rPr>
                <w:lang w:val="de-CH"/>
              </w:rPr>
              <w:t>und nimmt zur Einhaltung der gesetzten Fristen Stellung. Hat die Revisionsstelle im Vorjahr keine Beanstandungen vermerkt, hält sie dies fest. Konnte eine Beanstandung nicht fristgerecht erledigt werden</w:t>
            </w:r>
            <w:r w:rsidR="006C53A6" w:rsidRPr="00D12445">
              <w:rPr>
                <w:lang w:val="de-CH"/>
              </w:rPr>
              <w:t>,</w:t>
            </w:r>
            <w:r w:rsidRPr="00D12445">
              <w:rPr>
                <w:lang w:val="de-CH"/>
              </w:rPr>
              <w:t xml:space="preserve"> so sind die Gründe anzugeben und es ist eine neuerliche Beanstandung zu verzeichnen.</w:t>
            </w:r>
          </w:p>
        </w:tc>
      </w:tr>
    </w:tbl>
    <w:p w14:paraId="5B72BC70" w14:textId="1DEB87BD" w:rsidR="00FD2840" w:rsidRPr="00D12445" w:rsidRDefault="00FD2840" w:rsidP="00F32947">
      <w:pPr>
        <w:pStyle w:val="berschrift2"/>
        <w:spacing w:line="240" w:lineRule="auto"/>
      </w:pPr>
      <w:bookmarkStart w:id="16" w:name="_Toc185241522"/>
      <w:r w:rsidRPr="00D12445">
        <w:t>Empfehlungen</w:t>
      </w:r>
      <w:bookmarkEnd w:id="1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CF0F7B" w:rsidRPr="00D12445" w14:paraId="6E58EDAF" w14:textId="77777777" w:rsidTr="00963309">
        <w:tc>
          <w:tcPr>
            <w:tcW w:w="12224" w:type="dxa"/>
            <w:tcBorders>
              <w:top w:val="nil"/>
              <w:left w:val="nil"/>
              <w:bottom w:val="nil"/>
              <w:right w:val="nil"/>
            </w:tcBorders>
            <w:shd w:val="clear" w:color="auto" w:fill="auto"/>
          </w:tcPr>
          <w:p w14:paraId="2D6A9EC0" w14:textId="33816860" w:rsidR="00CF0F7B" w:rsidRPr="00D12445" w:rsidRDefault="00CF0F7B" w:rsidP="009E3FC1">
            <w:pPr>
              <w:pStyle w:val="FormatvorlageLinks0cm"/>
              <w:spacing w:after="120"/>
              <w:rPr>
                <w:lang w:val="de-CH"/>
              </w:rPr>
            </w:pPr>
            <w:r w:rsidRPr="00D12445">
              <w:rPr>
                <w:lang w:val="de-CH"/>
              </w:rPr>
              <w:t xml:space="preserve">Die Revisionsstelle erläutert Empfehlungen, welche nicht als Beanstandungen eingestuft werden, aber für </w:t>
            </w:r>
            <w:r w:rsidR="005A1292">
              <w:rPr>
                <w:lang w:val="de-CH"/>
              </w:rPr>
              <w:t>den</w:t>
            </w:r>
            <w:r w:rsidRPr="00D12445">
              <w:rPr>
                <w:lang w:val="de-CH"/>
              </w:rPr>
              <w:t xml:space="preserve"> Finanzmarktteilnehmer/Finanzberater abgegeben wurden. </w:t>
            </w:r>
            <w:r w:rsidRPr="00D12445">
              <w:rPr>
                <w:color w:val="auto"/>
                <w:lang w:val="de-CH"/>
              </w:rPr>
              <w:t xml:space="preserve">Die Klassifizierung von Empfehlungen in tief, mittel und hoch richtet sich nach dem allgemeinen Teil der Richtlinie. </w:t>
            </w:r>
            <w:r w:rsidRPr="00D12445">
              <w:rPr>
                <w:lang w:val="de-CH"/>
              </w:rPr>
              <w:t xml:space="preserve">Die Revisionsstelle berücksichtigt auch sämtliche Feststellungen der internen Revision im Geschäftsjahr, welche sie als wichtig erachtet. </w:t>
            </w:r>
          </w:p>
        </w:tc>
      </w:tr>
      <w:tr w:rsidR="00CF0F7B" w:rsidRPr="00D12445" w14:paraId="1DA83EBD" w14:textId="77777777" w:rsidTr="00963309">
        <w:tc>
          <w:tcPr>
            <w:tcW w:w="12224" w:type="dxa"/>
            <w:tcBorders>
              <w:top w:val="nil"/>
              <w:left w:val="nil"/>
              <w:bottom w:val="nil"/>
              <w:right w:val="nil"/>
            </w:tcBorders>
            <w:shd w:val="clear" w:color="auto" w:fill="auto"/>
          </w:tcPr>
          <w:p w14:paraId="64A34CC8" w14:textId="7688BCE2" w:rsidR="00CF0F7B" w:rsidRPr="00D12445" w:rsidRDefault="00CF0F7B" w:rsidP="00963309">
            <w:pPr>
              <w:pStyle w:val="FormatvorlageLinks0cm"/>
              <w:rPr>
                <w:lang w:val="de-CH"/>
              </w:rPr>
            </w:pPr>
            <w:r w:rsidRPr="00D12445">
              <w:rPr>
                <w:lang w:val="de-CH"/>
              </w:rPr>
              <w:t xml:space="preserve">Die Empfehlungen erfolgen unter angemessenen Fristansetzungen und mit Hinweis auf die Seitenzahlen des Berichts mit der Detailinformation der jeweiligen Empfehlung. </w:t>
            </w:r>
          </w:p>
          <w:p w14:paraId="67C57862" w14:textId="0E10A0E2" w:rsidR="00CF0F7B" w:rsidRPr="00D12445" w:rsidRDefault="00CF0F7B" w:rsidP="009E3FC1">
            <w:pPr>
              <w:pStyle w:val="FormatvorlageLinks0cm"/>
              <w:spacing w:after="120"/>
              <w:rPr>
                <w:lang w:val="de-CH"/>
              </w:rPr>
            </w:pPr>
            <w:r w:rsidRPr="00D12445">
              <w:rPr>
                <w:lang w:val="de-CH"/>
              </w:rPr>
              <w:t>Hat die Revisionsstelle keine Empfehlungen aufzuzeigen, hält sie dies ebenfalls fest.</w:t>
            </w:r>
          </w:p>
        </w:tc>
      </w:tr>
      <w:tr w:rsidR="00CF0F7B" w:rsidRPr="00D12445" w14:paraId="5561F6D8" w14:textId="77777777" w:rsidTr="00963309">
        <w:tc>
          <w:tcPr>
            <w:tcW w:w="12224" w:type="dxa"/>
            <w:tcBorders>
              <w:top w:val="nil"/>
              <w:left w:val="nil"/>
              <w:bottom w:val="nil"/>
              <w:right w:val="nil"/>
            </w:tcBorders>
            <w:shd w:val="clear" w:color="auto" w:fill="auto"/>
          </w:tcPr>
          <w:p w14:paraId="5A7BAB28" w14:textId="0D37C8C6" w:rsidR="00CF0F7B" w:rsidRPr="00D12445" w:rsidRDefault="00CF0F7B" w:rsidP="00963309">
            <w:pPr>
              <w:pStyle w:val="FormatvorlageLinks0cm"/>
              <w:rPr>
                <w:lang w:val="de-CH"/>
              </w:rPr>
            </w:pPr>
            <w:r w:rsidRPr="00D12445">
              <w:rPr>
                <w:lang w:val="de-CH"/>
              </w:rPr>
              <w:t>Die Revisionsstelle gewährt de</w:t>
            </w:r>
            <w:r w:rsidR="002B2D2C">
              <w:rPr>
                <w:lang w:val="de-CH"/>
              </w:rPr>
              <w:t>m</w:t>
            </w:r>
            <w:r w:rsidRPr="00D12445">
              <w:rPr>
                <w:lang w:val="de-CH"/>
              </w:rPr>
              <w:t xml:space="preserve"> Finanzmarktteilnehmer/Finanzberater die Möglichkeit zu einer eigenen Stellungnahme und kennzeichnet diese im Bericht entsprechend.</w:t>
            </w:r>
          </w:p>
        </w:tc>
      </w:tr>
    </w:tbl>
    <w:p w14:paraId="6185D307" w14:textId="77777777" w:rsidR="0086073A" w:rsidRPr="00D12445" w:rsidRDefault="0086073A" w:rsidP="00595E32">
      <w:pPr>
        <w:pStyle w:val="berschrift2"/>
        <w:spacing w:line="240" w:lineRule="auto"/>
      </w:pPr>
      <w:bookmarkStart w:id="17" w:name="_Toc185241523"/>
      <w:r w:rsidRPr="00D12445">
        <w:t>Empfehlungen zum Vorjahr</w:t>
      </w:r>
      <w:bookmarkEnd w:id="17"/>
    </w:p>
    <w:tbl>
      <w:tblPr>
        <w:tblW w:w="0" w:type="auto"/>
        <w:tblInd w:w="817" w:type="dxa"/>
        <w:tblLook w:val="01E0" w:firstRow="1" w:lastRow="1" w:firstColumn="1" w:lastColumn="1" w:noHBand="0" w:noVBand="0"/>
      </w:tblPr>
      <w:tblGrid>
        <w:gridCol w:w="12222"/>
      </w:tblGrid>
      <w:tr w:rsidR="0086073A" w:rsidRPr="00D12445" w14:paraId="4E0B58E8" w14:textId="77777777" w:rsidTr="00977387">
        <w:tc>
          <w:tcPr>
            <w:tcW w:w="12224" w:type="dxa"/>
            <w:shd w:val="clear" w:color="auto" w:fill="auto"/>
          </w:tcPr>
          <w:p w14:paraId="65FDA0B6" w14:textId="7B14DFB3" w:rsidR="0086073A" w:rsidRPr="00D12445" w:rsidRDefault="00AB30E7" w:rsidP="00F32947">
            <w:pPr>
              <w:pStyle w:val="FormatvorlageLinks0cm"/>
              <w:rPr>
                <w:lang w:val="de-CH"/>
              </w:rPr>
            </w:pPr>
            <w:r w:rsidRPr="00D12445">
              <w:rPr>
                <w:lang w:val="de-CH"/>
              </w:rPr>
              <w:t xml:space="preserve">Die Revisionsstelle </w:t>
            </w:r>
            <w:r w:rsidR="0086073A" w:rsidRPr="00D12445">
              <w:rPr>
                <w:lang w:val="de-CH"/>
              </w:rPr>
              <w:t xml:space="preserve">führt die Empfehlungen aufgrund des </w:t>
            </w:r>
            <w:r w:rsidR="00830146" w:rsidRPr="00D12445">
              <w:rPr>
                <w:lang w:val="de-CH"/>
              </w:rPr>
              <w:t>Berichts über die Aufsichtsprüfung</w:t>
            </w:r>
            <w:r w:rsidR="0086073A" w:rsidRPr="00D12445">
              <w:rPr>
                <w:lang w:val="de-CH"/>
              </w:rPr>
              <w:t xml:space="preserve"> im Vorjahr auf,</w:t>
            </w:r>
            <w:r w:rsidR="00DC42E5" w:rsidRPr="00D12445">
              <w:rPr>
                <w:color w:val="auto"/>
                <w:lang w:val="de-CH"/>
              </w:rPr>
              <w:t xml:space="preserve"> die zum Berichtszeitpunkt des Vorjahres nicht erledigt waren. Sie</w:t>
            </w:r>
            <w:r w:rsidR="0086073A" w:rsidRPr="00D12445">
              <w:rPr>
                <w:lang w:val="de-CH"/>
              </w:rPr>
              <w:t xml:space="preserve"> berichtet über die Ergebnisse der Nachprüfung und nimmt zur Einhaltung der gesetzten Fristen Stellung. Hat </w:t>
            </w:r>
            <w:r w:rsidRPr="00D12445">
              <w:rPr>
                <w:lang w:val="de-CH"/>
              </w:rPr>
              <w:t xml:space="preserve">die Revisionsstelle </w:t>
            </w:r>
            <w:r w:rsidR="0086073A" w:rsidRPr="00D12445">
              <w:rPr>
                <w:lang w:val="de-CH"/>
              </w:rPr>
              <w:t xml:space="preserve">im Vorjahr keine Empfehlungen vermerkt, hält </w:t>
            </w:r>
            <w:r w:rsidRPr="00D12445">
              <w:rPr>
                <w:lang w:val="de-CH"/>
              </w:rPr>
              <w:t>sie</w:t>
            </w:r>
            <w:r w:rsidR="0086073A" w:rsidRPr="00D12445">
              <w:rPr>
                <w:lang w:val="de-CH"/>
              </w:rPr>
              <w:t xml:space="preserve"> dies fest. Konnte eine </w:t>
            </w:r>
            <w:r w:rsidR="00AC2E5B" w:rsidRPr="00D12445">
              <w:rPr>
                <w:lang w:val="de-CH"/>
              </w:rPr>
              <w:t xml:space="preserve">Empfehlung </w:t>
            </w:r>
            <w:r w:rsidR="0086073A" w:rsidRPr="00D12445">
              <w:rPr>
                <w:lang w:val="de-CH"/>
              </w:rPr>
              <w:t>nicht fristgerecht erledigt werden</w:t>
            </w:r>
            <w:r w:rsidR="00040310" w:rsidRPr="00D12445">
              <w:rPr>
                <w:lang w:val="de-CH"/>
              </w:rPr>
              <w:t>,</w:t>
            </w:r>
            <w:r w:rsidR="0086073A" w:rsidRPr="00D12445">
              <w:rPr>
                <w:lang w:val="de-CH"/>
              </w:rPr>
              <w:t xml:space="preserve"> so sind die Gründe anzugeben und es ist eine neuerliche </w:t>
            </w:r>
            <w:r w:rsidR="00A648B8" w:rsidRPr="00D12445">
              <w:rPr>
                <w:lang w:val="de-CH"/>
              </w:rPr>
              <w:t>Empfehlung</w:t>
            </w:r>
            <w:r w:rsidR="005A1292">
              <w:rPr>
                <w:lang w:val="de-CH"/>
              </w:rPr>
              <w:t xml:space="preserve"> oder Beanstandung</w:t>
            </w:r>
            <w:r w:rsidR="00A648B8" w:rsidRPr="00D12445">
              <w:rPr>
                <w:lang w:val="de-CH"/>
              </w:rPr>
              <w:t xml:space="preserve"> </w:t>
            </w:r>
            <w:r w:rsidR="0086073A" w:rsidRPr="00D12445">
              <w:rPr>
                <w:lang w:val="de-CH"/>
              </w:rPr>
              <w:t xml:space="preserve">zu verzeichnen. </w:t>
            </w:r>
          </w:p>
        </w:tc>
      </w:tr>
    </w:tbl>
    <w:p w14:paraId="30A41866" w14:textId="2248C8FD" w:rsidR="00271484" w:rsidRDefault="00271484" w:rsidP="00271484">
      <w:pPr>
        <w:pStyle w:val="berschrift2"/>
        <w:numPr>
          <w:ilvl w:val="0"/>
          <w:numId w:val="0"/>
        </w:numPr>
        <w:spacing w:line="240" w:lineRule="auto"/>
        <w:ind w:left="709"/>
      </w:pPr>
    </w:p>
    <w:p w14:paraId="5D5353C5" w14:textId="77777777" w:rsidR="00271484" w:rsidRPr="00916E73" w:rsidRDefault="00271484" w:rsidP="00077AB2"/>
    <w:p w14:paraId="245EA09D" w14:textId="3822F880" w:rsidR="00FD2840" w:rsidRPr="00D12445" w:rsidRDefault="00FD2840" w:rsidP="00F32947">
      <w:pPr>
        <w:pStyle w:val="berschrift2"/>
        <w:spacing w:line="240" w:lineRule="auto"/>
      </w:pPr>
      <w:bookmarkStart w:id="18" w:name="_Toc185241524"/>
      <w:r w:rsidRPr="00D12445">
        <w:lastRenderedPageBreak/>
        <w:t>Wichtige Informationen</w:t>
      </w:r>
      <w:bookmarkEnd w:id="18"/>
    </w:p>
    <w:tbl>
      <w:tblPr>
        <w:tblW w:w="0" w:type="auto"/>
        <w:tblInd w:w="817" w:type="dxa"/>
        <w:tblLook w:val="01E0" w:firstRow="1" w:lastRow="1" w:firstColumn="1" w:lastColumn="1" w:noHBand="0" w:noVBand="0"/>
      </w:tblPr>
      <w:tblGrid>
        <w:gridCol w:w="12222"/>
      </w:tblGrid>
      <w:tr w:rsidR="00E943E0" w:rsidRPr="00D12445" w14:paraId="6418118F" w14:textId="77777777" w:rsidTr="00977387">
        <w:tc>
          <w:tcPr>
            <w:tcW w:w="12224" w:type="dxa"/>
            <w:shd w:val="clear" w:color="auto" w:fill="auto"/>
          </w:tcPr>
          <w:p w14:paraId="5D4462D4" w14:textId="77777777" w:rsidR="00E943E0" w:rsidRPr="00D12445" w:rsidRDefault="003F57C2" w:rsidP="0079364F">
            <w:pPr>
              <w:pStyle w:val="Default"/>
              <w:jc w:val="both"/>
              <w:rPr>
                <w:color w:val="auto"/>
                <w:sz w:val="20"/>
                <w:szCs w:val="20"/>
              </w:rPr>
            </w:pPr>
            <w:r w:rsidRPr="00D12445">
              <w:rPr>
                <w:rFonts w:ascii="Arial" w:hAnsi="Arial" w:cs="Arial"/>
                <w:color w:val="auto"/>
                <w:sz w:val="20"/>
                <w:szCs w:val="20"/>
              </w:rPr>
              <w:t>Hierunter</w:t>
            </w:r>
            <w:r w:rsidR="00E943E0" w:rsidRPr="00D12445">
              <w:rPr>
                <w:rFonts w:ascii="Arial" w:hAnsi="Arial" w:cs="Arial"/>
                <w:color w:val="auto"/>
                <w:sz w:val="20"/>
                <w:szCs w:val="20"/>
              </w:rPr>
              <w:t xml:space="preserve"> fallen insbesondere:</w:t>
            </w:r>
          </w:p>
          <w:p w14:paraId="239036E9" w14:textId="010AC3D3" w:rsidR="00E943E0" w:rsidRPr="00D12445" w:rsidRDefault="00E943E0" w:rsidP="00BF3617">
            <w:pPr>
              <w:pStyle w:val="Listenabsatz"/>
              <w:numPr>
                <w:ilvl w:val="0"/>
                <w:numId w:val="12"/>
              </w:numPr>
              <w:spacing w:after="0" w:line="240" w:lineRule="auto"/>
              <w:rPr>
                <w:rFonts w:cs="Arial"/>
              </w:rPr>
            </w:pPr>
            <w:r w:rsidRPr="00D12445">
              <w:rPr>
                <w:rFonts w:cs="Arial"/>
              </w:rPr>
              <w:t xml:space="preserve">Hinweis auf allfällige Schwierigkeiten bei der Prüfung (z.B. bezüglich Mitwirkung </w:t>
            </w:r>
            <w:r w:rsidR="00BA43B7">
              <w:rPr>
                <w:rFonts w:cs="Arial"/>
              </w:rPr>
              <w:t>des</w:t>
            </w:r>
            <w:r w:rsidRPr="00D12445">
              <w:rPr>
                <w:rFonts w:cs="Arial"/>
              </w:rPr>
              <w:t xml:space="preserve"> zu prüfenden </w:t>
            </w:r>
            <w:r w:rsidR="00CF0F7B" w:rsidRPr="00D12445">
              <w:rPr>
                <w:rFonts w:cs="Arial"/>
              </w:rPr>
              <w:t>Finanzmarktteilnehmer</w:t>
            </w:r>
            <w:r w:rsidR="009F704D">
              <w:rPr>
                <w:rFonts w:cs="Arial"/>
              </w:rPr>
              <w:t>s</w:t>
            </w:r>
            <w:r w:rsidR="00CF0F7B" w:rsidRPr="00D12445">
              <w:rPr>
                <w:rFonts w:cs="Arial"/>
              </w:rPr>
              <w:t>/Finanzberaters</w:t>
            </w:r>
            <w:r w:rsidRPr="00D12445">
              <w:rPr>
                <w:rFonts w:cs="Arial"/>
              </w:rPr>
              <w:t>, Bereitstellung von Unterlagen etc.)</w:t>
            </w:r>
          </w:p>
          <w:p w14:paraId="6E973E97" w14:textId="536016CD" w:rsidR="003F57C2" w:rsidRPr="00D12445" w:rsidRDefault="003F57C2" w:rsidP="00BF3617">
            <w:pPr>
              <w:pStyle w:val="Listenabsatz"/>
              <w:numPr>
                <w:ilvl w:val="0"/>
                <w:numId w:val="12"/>
              </w:numPr>
              <w:spacing w:after="0" w:line="240" w:lineRule="auto"/>
              <w:rPr>
                <w:rFonts w:cs="Arial"/>
              </w:rPr>
            </w:pPr>
            <w:r w:rsidRPr="00D12445">
              <w:rPr>
                <w:rFonts w:cs="Arial"/>
              </w:rPr>
              <w:t xml:space="preserve">Abstützung auf Arbeiten der </w:t>
            </w:r>
            <w:r w:rsidR="009F704D">
              <w:rPr>
                <w:rFonts w:cs="Arial"/>
              </w:rPr>
              <w:t>i</w:t>
            </w:r>
            <w:r w:rsidRPr="00D12445">
              <w:rPr>
                <w:rFonts w:cs="Arial"/>
              </w:rPr>
              <w:t>n</w:t>
            </w:r>
            <w:r w:rsidR="009F704D">
              <w:rPr>
                <w:rFonts w:cs="Arial"/>
              </w:rPr>
              <w:t>ternen R</w:t>
            </w:r>
            <w:r w:rsidRPr="00D12445">
              <w:rPr>
                <w:rFonts w:cs="Arial"/>
              </w:rPr>
              <w:t>evision (Prüffeld</w:t>
            </w:r>
            <w:r w:rsidR="00037894">
              <w:rPr>
                <w:rFonts w:cs="Arial"/>
              </w:rPr>
              <w:t>er</w:t>
            </w:r>
            <w:r w:rsidRPr="00D12445">
              <w:rPr>
                <w:rFonts w:cs="Arial"/>
              </w:rPr>
              <w:t xml:space="preserve"> und Umfang)</w:t>
            </w:r>
          </w:p>
          <w:p w14:paraId="3B491EAB" w14:textId="2857A66B" w:rsidR="003F57C2" w:rsidRPr="00D12445" w:rsidRDefault="003F57C2" w:rsidP="00BF3617">
            <w:pPr>
              <w:pStyle w:val="Listenabsatz"/>
              <w:numPr>
                <w:ilvl w:val="0"/>
                <w:numId w:val="12"/>
              </w:numPr>
              <w:spacing w:after="0" w:line="240" w:lineRule="auto"/>
              <w:rPr>
                <w:rFonts w:cs="Arial"/>
              </w:rPr>
            </w:pPr>
            <w:r w:rsidRPr="00D12445">
              <w:rPr>
                <w:rFonts w:cs="Arial"/>
              </w:rPr>
              <w:t>Berichtszeitraum, sofern dieser nicht mit dem Geschäftsjahr de</w:t>
            </w:r>
            <w:r w:rsidR="00CF0F7B" w:rsidRPr="00D12445">
              <w:rPr>
                <w:rFonts w:cs="Arial"/>
              </w:rPr>
              <w:t>s Finanzmarktteilnehmer</w:t>
            </w:r>
            <w:r w:rsidR="009F704D">
              <w:rPr>
                <w:rFonts w:cs="Arial"/>
              </w:rPr>
              <w:t>s</w:t>
            </w:r>
            <w:r w:rsidR="00CF0F7B" w:rsidRPr="00D12445">
              <w:rPr>
                <w:rFonts w:cs="Arial"/>
              </w:rPr>
              <w:t xml:space="preserve">/Finanzberaters </w:t>
            </w:r>
            <w:r w:rsidRPr="00D12445">
              <w:rPr>
                <w:rFonts w:cs="Arial"/>
              </w:rPr>
              <w:t>übereinstimmt</w:t>
            </w:r>
          </w:p>
          <w:p w14:paraId="147FD6C5" w14:textId="3B15B93F" w:rsidR="00E943E0" w:rsidRPr="00D12445" w:rsidRDefault="00E943E0" w:rsidP="009E3FC1">
            <w:pPr>
              <w:pStyle w:val="Listenabsatz"/>
              <w:numPr>
                <w:ilvl w:val="0"/>
                <w:numId w:val="12"/>
              </w:numPr>
              <w:spacing w:line="240" w:lineRule="auto"/>
              <w:ind w:left="714" w:hanging="357"/>
              <w:contextualSpacing w:val="0"/>
              <w:rPr>
                <w:rFonts w:eastAsia="Times New Roman" w:cs="Arial"/>
                <w:lang w:eastAsia="fr-FR"/>
              </w:rPr>
            </w:pPr>
            <w:r w:rsidRPr="00D12445">
              <w:rPr>
                <w:rFonts w:cs="Arial"/>
              </w:rPr>
              <w:t>Wesentliche Ereignisse nach dem Bilanzstichtag</w:t>
            </w:r>
          </w:p>
          <w:p w14:paraId="075F0A3A" w14:textId="45981895" w:rsidR="008E1AFB" w:rsidRPr="00D12445" w:rsidRDefault="00E943E0" w:rsidP="00F32947">
            <w:pPr>
              <w:pStyle w:val="FormatvorlageLinks0cm"/>
              <w:rPr>
                <w:lang w:val="de-CH"/>
              </w:rPr>
            </w:pPr>
            <w:r w:rsidRPr="00D12445">
              <w:rPr>
                <w:lang w:val="de-CH"/>
              </w:rPr>
              <w:t>Hat die Revisionsstelle keine wichtigen Hinweise anzubringen, hält sie dies ebenfalls fest.</w:t>
            </w:r>
          </w:p>
        </w:tc>
      </w:tr>
    </w:tbl>
    <w:p w14:paraId="45EE3696" w14:textId="12FA55D3" w:rsidR="0054158E" w:rsidRPr="00D12445" w:rsidRDefault="00D82413" w:rsidP="00AE605D">
      <w:pPr>
        <w:pStyle w:val="berschrift1"/>
        <w:spacing w:line="240" w:lineRule="auto"/>
      </w:pPr>
      <w:bookmarkStart w:id="19" w:name="_Toc525108251"/>
      <w:bookmarkStart w:id="20" w:name="_Toc525108466"/>
      <w:bookmarkStart w:id="21" w:name="_Toc525108681"/>
      <w:bookmarkStart w:id="22" w:name="_Toc525108889"/>
      <w:bookmarkStart w:id="23" w:name="_Toc525109079"/>
      <w:bookmarkStart w:id="24" w:name="_Toc525109261"/>
      <w:bookmarkStart w:id="25" w:name="_Toc525114632"/>
      <w:bookmarkStart w:id="26" w:name="_Toc525114812"/>
      <w:bookmarkStart w:id="27" w:name="_Toc525116200"/>
      <w:bookmarkStart w:id="28" w:name="_Toc525133280"/>
      <w:bookmarkStart w:id="29" w:name="_Toc525142954"/>
      <w:bookmarkStart w:id="30" w:name="_Toc526779396"/>
      <w:bookmarkStart w:id="31" w:name="_Toc526779608"/>
      <w:bookmarkStart w:id="32" w:name="_Toc526780078"/>
      <w:bookmarkStart w:id="33" w:name="_Toc525108255"/>
      <w:bookmarkStart w:id="34" w:name="_Toc525108470"/>
      <w:bookmarkStart w:id="35" w:name="_Toc525108685"/>
      <w:bookmarkStart w:id="36" w:name="_Toc525108893"/>
      <w:bookmarkStart w:id="37" w:name="_Toc525109083"/>
      <w:bookmarkStart w:id="38" w:name="_Toc525109265"/>
      <w:bookmarkStart w:id="39" w:name="_Toc525114636"/>
      <w:bookmarkStart w:id="40" w:name="_Toc525114816"/>
      <w:bookmarkStart w:id="41" w:name="_Toc525116204"/>
      <w:bookmarkStart w:id="42" w:name="_Toc525133284"/>
      <w:bookmarkStart w:id="43" w:name="_Toc525142958"/>
      <w:bookmarkStart w:id="44" w:name="_Toc526779400"/>
      <w:bookmarkStart w:id="45" w:name="_Toc526779612"/>
      <w:bookmarkStart w:id="46" w:name="_Toc526780082"/>
      <w:bookmarkStart w:id="47" w:name="_Toc18524152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12445">
        <w:t>Transparenz nachteiliger Nachhaltigkeitsauswirkungen auf Ebene des Unternehmens</w:t>
      </w:r>
      <w:bookmarkEnd w:id="4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54158E" w:rsidRPr="00D12445" w14:paraId="737A252C" w14:textId="77777777" w:rsidTr="32AE1113">
        <w:tc>
          <w:tcPr>
            <w:tcW w:w="12224" w:type="dxa"/>
            <w:tcBorders>
              <w:top w:val="nil"/>
              <w:left w:val="nil"/>
              <w:bottom w:val="nil"/>
              <w:right w:val="nil"/>
            </w:tcBorders>
            <w:shd w:val="clear" w:color="auto" w:fill="auto"/>
          </w:tcPr>
          <w:p w14:paraId="147BFBDE" w14:textId="518652E8" w:rsidR="003C3175" w:rsidRPr="00D12445" w:rsidRDefault="00DD534B" w:rsidP="006215DD">
            <w:pPr>
              <w:pStyle w:val="FormatvorlageLinks0cm"/>
              <w:rPr>
                <w:lang w:val="de-CH"/>
              </w:rPr>
            </w:pPr>
            <w:r w:rsidRPr="32AE1113">
              <w:rPr>
                <w:lang w:val="de-CH"/>
              </w:rPr>
              <w:t xml:space="preserve">Entsprechend </w:t>
            </w:r>
            <w:r w:rsidR="00BE175C" w:rsidRPr="32AE1113">
              <w:rPr>
                <w:lang w:val="de-CH"/>
              </w:rPr>
              <w:t xml:space="preserve">den Grössenkriterien </w:t>
            </w:r>
            <w:r w:rsidR="00201F11" w:rsidRPr="32AE1113">
              <w:rPr>
                <w:lang w:val="de-CH"/>
              </w:rPr>
              <w:t xml:space="preserve">des </w:t>
            </w:r>
            <w:r w:rsidR="00201F11">
              <w:t>Finanzmarktteilnehmers</w:t>
            </w:r>
            <w:r w:rsidR="00201F11" w:rsidRPr="32AE1113">
              <w:rPr>
                <w:lang w:val="de-CH"/>
              </w:rPr>
              <w:t xml:space="preserve"> </w:t>
            </w:r>
            <w:r w:rsidR="00275785" w:rsidRPr="32AE1113">
              <w:rPr>
                <w:lang w:val="de-CH"/>
              </w:rPr>
              <w:t>gemäss</w:t>
            </w:r>
            <w:r w:rsidR="00BE175C" w:rsidRPr="32AE1113">
              <w:rPr>
                <w:lang w:val="de-CH"/>
              </w:rPr>
              <w:t xml:space="preserve"> Art. 4 Abs. 3 und Abs. </w:t>
            </w:r>
            <w:r w:rsidR="00F870EF" w:rsidRPr="32AE1113">
              <w:rPr>
                <w:lang w:val="de-CH"/>
              </w:rPr>
              <w:t xml:space="preserve">4 Verordnung (EU) 2019/2088 sowie der </w:t>
            </w:r>
            <w:r w:rsidRPr="32AE1113">
              <w:rPr>
                <w:lang w:val="de-CH"/>
              </w:rPr>
              <w:t xml:space="preserve">Beschlusslage </w:t>
            </w:r>
            <w:r w:rsidR="006215DD" w:rsidRPr="32AE1113">
              <w:rPr>
                <w:lang w:val="de-CH"/>
              </w:rPr>
              <w:t>des Finanzmarktteilnehmer</w:t>
            </w:r>
            <w:r w:rsidR="00BA43B7" w:rsidRPr="32AE1113">
              <w:rPr>
                <w:lang w:val="de-CH"/>
              </w:rPr>
              <w:t>s</w:t>
            </w:r>
            <w:r w:rsidR="00201F11" w:rsidRPr="32AE1113">
              <w:rPr>
                <w:lang w:val="de-CH"/>
              </w:rPr>
              <w:t xml:space="preserve"> bzw. Finanzberaters</w:t>
            </w:r>
            <w:r w:rsidR="006215DD" w:rsidRPr="32AE1113">
              <w:rPr>
                <w:lang w:val="de-CH"/>
              </w:rPr>
              <w:t xml:space="preserve"> entscheidet die Revisionsstelle</w:t>
            </w:r>
            <w:r w:rsidR="2E4A72DC" w:rsidRPr="32AE1113">
              <w:rPr>
                <w:lang w:val="de-CH"/>
              </w:rPr>
              <w:t>, ob eine</w:t>
            </w:r>
            <w:r w:rsidR="006215DD" w:rsidRPr="32AE1113">
              <w:rPr>
                <w:lang w:val="de-CH"/>
              </w:rPr>
              <w:t xml:space="preserve"> Prüfung </w:t>
            </w:r>
            <w:r w:rsidR="00275785" w:rsidRPr="32AE1113">
              <w:rPr>
                <w:lang w:val="de-CH"/>
              </w:rPr>
              <w:t>nach</w:t>
            </w:r>
            <w:r w:rsidR="006215DD" w:rsidRPr="32AE1113">
              <w:rPr>
                <w:lang w:val="de-CH"/>
              </w:rPr>
              <w:t xml:space="preserve"> Tz. </w:t>
            </w:r>
            <w:r w:rsidR="00BA43B7" w:rsidRPr="32AE1113">
              <w:rPr>
                <w:lang w:val="de-CH"/>
              </w:rPr>
              <w:t>3</w:t>
            </w:r>
            <w:r w:rsidR="006215DD" w:rsidRPr="32AE1113">
              <w:rPr>
                <w:lang w:val="de-CH"/>
              </w:rPr>
              <w:t>.1 oder Tz.</w:t>
            </w:r>
            <w:r w:rsidR="00275C2F" w:rsidRPr="32AE1113">
              <w:rPr>
                <w:lang w:val="de-CH"/>
              </w:rPr>
              <w:t> </w:t>
            </w:r>
            <w:r w:rsidR="00BA43B7" w:rsidRPr="32AE1113">
              <w:rPr>
                <w:lang w:val="de-CH"/>
              </w:rPr>
              <w:t>3</w:t>
            </w:r>
            <w:r w:rsidR="006215DD" w:rsidRPr="32AE1113">
              <w:rPr>
                <w:lang w:val="de-CH"/>
              </w:rPr>
              <w:t>.2</w:t>
            </w:r>
            <w:r w:rsidR="34E00154" w:rsidRPr="32AE1113">
              <w:rPr>
                <w:lang w:val="de-CH"/>
              </w:rPr>
              <w:t xml:space="preserve"> durchzuführen ist</w:t>
            </w:r>
            <w:r w:rsidR="006215DD" w:rsidRPr="32AE1113">
              <w:rPr>
                <w:lang w:val="de-CH"/>
              </w:rPr>
              <w:t>.</w:t>
            </w:r>
          </w:p>
        </w:tc>
      </w:tr>
    </w:tbl>
    <w:p w14:paraId="2FF10BA9" w14:textId="5048353E" w:rsidR="0054158E" w:rsidRDefault="00CC1AC7" w:rsidP="00BF3617">
      <w:pPr>
        <w:pStyle w:val="berschrift2"/>
        <w:spacing w:line="240" w:lineRule="auto"/>
      </w:pPr>
      <w:bookmarkStart w:id="48" w:name="_Toc525108261"/>
      <w:bookmarkStart w:id="49" w:name="_Toc525108476"/>
      <w:bookmarkStart w:id="50" w:name="_Toc525108691"/>
      <w:bookmarkStart w:id="51" w:name="_Toc525108899"/>
      <w:bookmarkStart w:id="52" w:name="_Toc525109089"/>
      <w:bookmarkStart w:id="53" w:name="_Toc525109271"/>
      <w:bookmarkStart w:id="54" w:name="_Toc525114642"/>
      <w:bookmarkStart w:id="55" w:name="_Toc525114822"/>
      <w:bookmarkStart w:id="56" w:name="_Toc525116210"/>
      <w:bookmarkStart w:id="57" w:name="_Toc525133290"/>
      <w:bookmarkStart w:id="58" w:name="_Toc525142964"/>
      <w:bookmarkStart w:id="59" w:name="_Toc526779406"/>
      <w:bookmarkStart w:id="60" w:name="_Toc526779618"/>
      <w:bookmarkStart w:id="61" w:name="_Toc526780088"/>
      <w:bookmarkStart w:id="62" w:name="_Toc185241526"/>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D12445">
        <w:t>Erklärung zu den wichtigsten nachteiligen Auswirkungen auf Nachhaltigkeitsfaktoren</w:t>
      </w:r>
      <w:bookmarkEnd w:id="62"/>
    </w:p>
    <w:tbl>
      <w:tblPr>
        <w:tblW w:w="0" w:type="auto"/>
        <w:tblInd w:w="817" w:type="dxa"/>
        <w:tblLook w:val="01E0" w:firstRow="1" w:lastRow="1" w:firstColumn="1" w:lastColumn="1" w:noHBand="0" w:noVBand="0"/>
      </w:tblPr>
      <w:tblGrid>
        <w:gridCol w:w="2301"/>
        <w:gridCol w:w="5380"/>
        <w:gridCol w:w="4531"/>
      </w:tblGrid>
      <w:tr w:rsidR="00637E72" w:rsidRPr="00ED6629" w14:paraId="1C6F91E8" w14:textId="77777777" w:rsidTr="00086672">
        <w:tc>
          <w:tcPr>
            <w:tcW w:w="2302" w:type="dxa"/>
            <w:tcBorders>
              <w:top w:val="single" w:sz="4" w:space="0" w:color="auto"/>
              <w:left w:val="single" w:sz="4" w:space="0" w:color="auto"/>
            </w:tcBorders>
            <w:shd w:val="clear" w:color="auto" w:fill="auto"/>
          </w:tcPr>
          <w:p w14:paraId="08DC1BD1" w14:textId="77777777" w:rsidR="00637E72" w:rsidRPr="00ED6629" w:rsidRDefault="00637E72" w:rsidP="00086672">
            <w:pPr>
              <w:pStyle w:val="FormatvorlageLinks0cm"/>
              <w:spacing w:before="120" w:after="120"/>
              <w:rPr>
                <w:b/>
                <w:lang w:val="de-CH"/>
              </w:rPr>
            </w:pPr>
            <w:r w:rsidRPr="00ED6629">
              <w:rPr>
                <w:b/>
                <w:lang w:val="de-CH"/>
              </w:rPr>
              <w:t>Anwendungsbereich</w:t>
            </w:r>
          </w:p>
        </w:tc>
        <w:tc>
          <w:tcPr>
            <w:tcW w:w="5386" w:type="dxa"/>
            <w:tcBorders>
              <w:top w:val="single" w:sz="4" w:space="0" w:color="auto"/>
            </w:tcBorders>
            <w:shd w:val="clear" w:color="auto" w:fill="auto"/>
          </w:tcPr>
          <w:p w14:paraId="7F23E0D6" w14:textId="77777777" w:rsidR="00637E72" w:rsidRPr="00ED6629" w:rsidRDefault="00637E72" w:rsidP="00086672">
            <w:pPr>
              <w:pStyle w:val="FormatvorlageLinks0cm"/>
              <w:spacing w:before="120" w:after="120"/>
              <w:jc w:val="center"/>
              <w:rPr>
                <w:b/>
                <w:lang w:val="de-CH"/>
              </w:rPr>
            </w:pPr>
            <w:r w:rsidRPr="00ED6629">
              <w:rPr>
                <w:lang w:val="de-CH"/>
              </w:rPr>
              <w:t>Finanzmarktteilnehmer</w:t>
            </w:r>
          </w:p>
        </w:tc>
        <w:tc>
          <w:tcPr>
            <w:tcW w:w="4536" w:type="dxa"/>
            <w:tcBorders>
              <w:top w:val="single" w:sz="4" w:space="0" w:color="auto"/>
              <w:right w:val="single" w:sz="4" w:space="0" w:color="auto"/>
            </w:tcBorders>
            <w:shd w:val="clear" w:color="auto" w:fill="auto"/>
          </w:tcPr>
          <w:p w14:paraId="1E757E00" w14:textId="77777777" w:rsidR="00637E72" w:rsidRPr="00ED6629" w:rsidRDefault="00637E72" w:rsidP="00086672">
            <w:pPr>
              <w:pStyle w:val="FormatvorlageLinks0cm"/>
              <w:spacing w:before="120" w:after="120"/>
              <w:jc w:val="center"/>
              <w:rPr>
                <w:b/>
                <w:lang w:val="de-CH"/>
              </w:rPr>
            </w:pPr>
            <w:r>
              <w:rPr>
                <w:lang w:val="de-CH"/>
              </w:rPr>
              <w:t>Finanzberater</w:t>
            </w:r>
          </w:p>
        </w:tc>
      </w:tr>
      <w:tr w:rsidR="00637E72" w14:paraId="7E4BB376" w14:textId="77777777" w:rsidTr="00086672">
        <w:tc>
          <w:tcPr>
            <w:tcW w:w="2302" w:type="dxa"/>
            <w:tcBorders>
              <w:left w:val="single" w:sz="4" w:space="0" w:color="auto"/>
              <w:bottom w:val="single" w:sz="4" w:space="0" w:color="auto"/>
            </w:tcBorders>
            <w:shd w:val="clear" w:color="auto" w:fill="auto"/>
            <w:vAlign w:val="center"/>
          </w:tcPr>
          <w:p w14:paraId="7F3D24D4" w14:textId="77777777" w:rsidR="00637E72" w:rsidRPr="00ED6629" w:rsidRDefault="00637E72" w:rsidP="00086672">
            <w:pPr>
              <w:pStyle w:val="FormatvorlageLinks0cm"/>
              <w:spacing w:after="120"/>
              <w:rPr>
                <w:b/>
                <w:lang w:val="de-CH"/>
              </w:rPr>
            </w:pPr>
          </w:p>
        </w:tc>
        <w:tc>
          <w:tcPr>
            <w:tcW w:w="5386" w:type="dxa"/>
            <w:tcBorders>
              <w:bottom w:val="single" w:sz="4" w:space="0" w:color="auto"/>
            </w:tcBorders>
            <w:shd w:val="clear" w:color="auto" w:fill="auto"/>
            <w:vAlign w:val="center"/>
          </w:tcPr>
          <w:p w14:paraId="67BAD804" w14:textId="77777777"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102076108"/>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c>
          <w:tcPr>
            <w:tcW w:w="4536" w:type="dxa"/>
            <w:tcBorders>
              <w:bottom w:val="single" w:sz="4" w:space="0" w:color="auto"/>
              <w:right w:val="single" w:sz="4" w:space="0" w:color="auto"/>
            </w:tcBorders>
            <w:shd w:val="clear" w:color="auto" w:fill="auto"/>
          </w:tcPr>
          <w:p w14:paraId="05FE0D2A" w14:textId="77777777"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2132213865"/>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r>
      <w:tr w:rsidR="00637E72" w14:paraId="198407CB" w14:textId="77777777" w:rsidTr="00086672">
        <w:tc>
          <w:tcPr>
            <w:tcW w:w="12224" w:type="dxa"/>
            <w:gridSpan w:val="3"/>
            <w:tcBorders>
              <w:top w:val="single" w:sz="4" w:space="0" w:color="auto"/>
            </w:tcBorders>
            <w:shd w:val="clear" w:color="auto" w:fill="auto"/>
          </w:tcPr>
          <w:p w14:paraId="3930A057" w14:textId="77777777" w:rsidR="00637E72" w:rsidRDefault="00637E72" w:rsidP="00086672">
            <w:pPr>
              <w:pStyle w:val="FormatvorlageLinks0cm"/>
              <w:jc w:val="center"/>
              <w:rPr>
                <w:lang w:val="de-CH"/>
              </w:rPr>
            </w:pPr>
          </w:p>
        </w:tc>
      </w:tr>
      <w:tr w:rsidR="00637E72" w:rsidRPr="00832EFD" w14:paraId="6A31A80A" w14:textId="77777777" w:rsidTr="00086672">
        <w:tc>
          <w:tcPr>
            <w:tcW w:w="12224" w:type="dxa"/>
            <w:gridSpan w:val="3"/>
            <w:shd w:val="clear" w:color="auto" w:fill="auto"/>
          </w:tcPr>
          <w:p w14:paraId="31A596EE" w14:textId="77777777" w:rsidR="00637E72" w:rsidRPr="00141394" w:rsidRDefault="00637E72" w:rsidP="009C5A03">
            <w:pPr>
              <w:pStyle w:val="FormatvorlageLinks0cm"/>
              <w:spacing w:after="120"/>
              <w:rPr>
                <w:u w:val="single"/>
                <w:lang w:val="de-CH"/>
              </w:rPr>
            </w:pPr>
            <w:r w:rsidRPr="00141394">
              <w:rPr>
                <w:u w:val="single"/>
                <w:lang w:val="de-CH"/>
              </w:rPr>
              <w:t>Finanzmarktteilnehmer</w:t>
            </w:r>
          </w:p>
          <w:p w14:paraId="389BF3FD" w14:textId="3EB8D2BC" w:rsidR="00637E72" w:rsidRPr="00D12445" w:rsidRDefault="00637E72" w:rsidP="00637E72">
            <w:pPr>
              <w:pStyle w:val="FormatvorlageLinks0cm"/>
              <w:spacing w:after="120"/>
              <w:rPr>
                <w:lang w:val="de-CH"/>
              </w:rPr>
            </w:pPr>
            <w:r w:rsidRPr="00D12445">
              <w:rPr>
                <w:lang w:val="de-CH"/>
              </w:rPr>
              <w:t>Sofern einschlägig prüft die Revisionsstelle die Angemessenheit der Offenlegung nach Art. 4 Abs. 1 Bst. a</w:t>
            </w:r>
            <w:r w:rsidR="00BB253F">
              <w:rPr>
                <w:lang w:val="de-CH"/>
              </w:rPr>
              <w:t xml:space="preserve"> V</w:t>
            </w:r>
            <w:r w:rsidR="00BB253F" w:rsidRPr="00D12445">
              <w:rPr>
                <w:lang w:val="de-CH"/>
              </w:rPr>
              <w:t>erordnung (EU) 2019/2088</w:t>
            </w:r>
            <w:r w:rsidR="00BB253F">
              <w:rPr>
                <w:rStyle w:val="Funotenzeichen"/>
                <w:lang w:val="de-CH"/>
              </w:rPr>
              <w:footnoteReference w:id="1"/>
            </w:r>
            <w:r w:rsidR="00BB253F">
              <w:rPr>
                <w:lang w:val="de-CH"/>
              </w:rPr>
              <w:t xml:space="preserve"> </w:t>
            </w:r>
            <w:r w:rsidR="00DB3E71">
              <w:rPr>
                <w:lang w:val="de-CH"/>
              </w:rPr>
              <w:t>in Verbindung mit (</w:t>
            </w:r>
            <w:proofErr w:type="spellStart"/>
            <w:r w:rsidR="00BB253F">
              <w:rPr>
                <w:lang w:val="de-CH"/>
              </w:rPr>
              <w:t>i.V.m</w:t>
            </w:r>
            <w:proofErr w:type="spellEnd"/>
            <w:r w:rsidR="00E77E1F">
              <w:rPr>
                <w:lang w:val="de-CH"/>
              </w:rPr>
              <w:t>.</w:t>
            </w:r>
            <w:r w:rsidR="00DB3E71">
              <w:rPr>
                <w:lang w:val="de-CH"/>
              </w:rPr>
              <w:t>)</w:t>
            </w:r>
            <w:r w:rsidR="00BB253F">
              <w:rPr>
                <w:lang w:val="de-CH"/>
              </w:rPr>
              <w:t xml:space="preserve"> Art. 4 bis 10 </w:t>
            </w:r>
            <w:r w:rsidR="00BB253F" w:rsidRPr="00BB253F">
              <w:rPr>
                <w:lang w:val="de-CH"/>
              </w:rPr>
              <w:t>Delegierte Verordnung (EU) 2022/1288</w:t>
            </w:r>
            <w:r w:rsidR="00BB253F">
              <w:rPr>
                <w:rStyle w:val="Funotenzeichen"/>
                <w:lang w:val="de-CH"/>
              </w:rPr>
              <w:footnoteReference w:id="2"/>
            </w:r>
            <w:r w:rsidRPr="00D12445">
              <w:rPr>
                <w:lang w:val="de-CH"/>
              </w:rPr>
              <w:t>.</w:t>
            </w:r>
          </w:p>
          <w:p w14:paraId="51EC0E58" w14:textId="77777777" w:rsidR="00637E72" w:rsidRDefault="00637E72" w:rsidP="00637E72">
            <w:pPr>
              <w:pStyle w:val="FormatvorlageLinks0cm"/>
              <w:spacing w:after="120"/>
              <w:rPr>
                <w:lang w:val="de-CH"/>
              </w:rPr>
            </w:pPr>
            <w:r w:rsidRPr="00D12445">
              <w:rPr>
                <w:lang w:val="de-CH"/>
              </w:rPr>
              <w:t xml:space="preserve">Die Revisionsstelle prüft </w:t>
            </w:r>
            <w:r>
              <w:rPr>
                <w:lang w:val="de-CH"/>
              </w:rPr>
              <w:t xml:space="preserve">hierbei </w:t>
            </w:r>
            <w:r w:rsidRPr="00D12445">
              <w:rPr>
                <w:lang w:val="de-CH"/>
              </w:rPr>
              <w:t xml:space="preserve">die </w:t>
            </w:r>
            <w:r>
              <w:rPr>
                <w:lang w:val="de-CH"/>
              </w:rPr>
              <w:t xml:space="preserve">Angemessenheit der </w:t>
            </w:r>
            <w:r>
              <w:t>Verfahren zur Berücksichtigung der wichtigsten nachteiligen Auswirkungen [</w:t>
            </w:r>
            <w:r w:rsidRPr="00AD0D49">
              <w:rPr>
                <w:i/>
                <w:lang w:val="de-CH"/>
              </w:rPr>
              <w:t>Art. 4 Abs. 1 Bst. a SFDR</w:t>
            </w:r>
            <w:r>
              <w:t>], zusammen mit den Verfahren zur Berücksichtigung der relevanten finanziellen Risiken und der relevanten Nachhaltigkeitsrisiken, einschliesslich der Sorgfaltsprüfungsverfahren [</w:t>
            </w:r>
            <w:r w:rsidRPr="00C4545F">
              <w:rPr>
                <w:i/>
              </w:rPr>
              <w:t>Erwägungsgrund 18 SFDR</w:t>
            </w:r>
            <w:r>
              <w:t xml:space="preserve">]. </w:t>
            </w:r>
            <w:r>
              <w:rPr>
                <w:lang w:val="de-CH"/>
              </w:rPr>
              <w:t xml:space="preserve">Die Revisionsstelle überzeugt sich, dass diese Verfahren und Verantwortlichkeiten angemessen im Weisungswesen verankert wurden. </w:t>
            </w:r>
          </w:p>
          <w:p w14:paraId="67EF3336" w14:textId="77777777" w:rsidR="00637E72" w:rsidRDefault="00637E72" w:rsidP="00637E72">
            <w:pPr>
              <w:pStyle w:val="FormatvorlageLinks0cm"/>
              <w:rPr>
                <w:lang w:val="de-CH"/>
              </w:rPr>
            </w:pPr>
            <w:r>
              <w:rPr>
                <w:lang w:val="de-CH"/>
              </w:rPr>
              <w:lastRenderedPageBreak/>
              <w:t>Dabei beurteilt und beschreibt sie insbesondere die Angemessenheit:</w:t>
            </w:r>
          </w:p>
          <w:p w14:paraId="5E8C9860" w14:textId="7240CF86" w:rsidR="00637E72" w:rsidRDefault="00637E72" w:rsidP="00637E72">
            <w:pPr>
              <w:pStyle w:val="FormatvorlageLinks0cm"/>
              <w:numPr>
                <w:ilvl w:val="0"/>
                <w:numId w:val="18"/>
              </w:numPr>
              <w:rPr>
                <w:lang w:val="de-CH"/>
              </w:rPr>
            </w:pPr>
            <w:r>
              <w:rPr>
                <w:lang w:val="de-CH"/>
              </w:rPr>
              <w:t>der Methoden zur Auswahl der Nachhaltigkeitsindikatoren [</w:t>
            </w:r>
            <w:r w:rsidRPr="00BB253F">
              <w:rPr>
                <w:i/>
                <w:lang w:val="de-CH"/>
              </w:rPr>
              <w:t>Art. 7 Abs. 1 Bst. c SFDR</w:t>
            </w:r>
            <w:r w:rsidR="00BB253F" w:rsidRPr="00BB253F">
              <w:rPr>
                <w:i/>
                <w:lang w:val="de-CH"/>
              </w:rPr>
              <w:t>-RTS</w:t>
            </w:r>
            <w:r>
              <w:rPr>
                <w:lang w:val="de-CH"/>
              </w:rPr>
              <w:t>], einschliesslich der Entscheidungsregeln und Ermessensausübungen.</w:t>
            </w:r>
          </w:p>
          <w:p w14:paraId="52BE7B15" w14:textId="4BB0A8A5" w:rsidR="00637E72" w:rsidRPr="0090496F" w:rsidRDefault="00637E72" w:rsidP="00637E72">
            <w:pPr>
              <w:pStyle w:val="FormatvorlageLinks0cm"/>
              <w:numPr>
                <w:ilvl w:val="0"/>
                <w:numId w:val="18"/>
              </w:numPr>
              <w:rPr>
                <w:lang w:val="de-CH"/>
              </w:rPr>
            </w:pPr>
            <w:r>
              <w:rPr>
                <w:lang w:val="de-CH"/>
              </w:rPr>
              <w:t>der Methoden zur Festlegung und vierteljährigen Bewertung der wichtigsten nachteiligen Auswirkungen [</w:t>
            </w:r>
            <w:r w:rsidRPr="00BB253F">
              <w:rPr>
                <w:i/>
                <w:lang w:val="de-CH"/>
              </w:rPr>
              <w:t>Art. 6 Abs. 3</w:t>
            </w:r>
            <w:r w:rsidR="00F173A4">
              <w:rPr>
                <w:i/>
                <w:lang w:val="de-CH"/>
              </w:rPr>
              <w:t>,</w:t>
            </w:r>
            <w:r w:rsidRPr="00BB253F">
              <w:rPr>
                <w:i/>
                <w:lang w:val="de-CH"/>
              </w:rPr>
              <w:t xml:space="preserve"> Art. 7 Abs.</w:t>
            </w:r>
            <w:r w:rsidR="00BB253F" w:rsidRPr="00BB253F">
              <w:rPr>
                <w:i/>
                <w:lang w:val="de-CH"/>
              </w:rPr>
              <w:t> </w:t>
            </w:r>
            <w:r w:rsidRPr="00BB253F">
              <w:rPr>
                <w:i/>
                <w:lang w:val="de-CH"/>
              </w:rPr>
              <w:t>1 Bst. c SFDR</w:t>
            </w:r>
            <w:r w:rsidR="00BB253F" w:rsidRPr="00BB253F">
              <w:rPr>
                <w:i/>
                <w:lang w:val="de-CH"/>
              </w:rPr>
              <w:t>-RTS</w:t>
            </w:r>
            <w:r>
              <w:rPr>
                <w:lang w:val="de-CH"/>
              </w:rPr>
              <w:t>], einschliesslich der Entscheidungsregeln und Ermessensausübungen.</w:t>
            </w:r>
          </w:p>
          <w:p w14:paraId="7084B728" w14:textId="6E9617F2" w:rsidR="00637E72" w:rsidRDefault="00637E72" w:rsidP="00637E72">
            <w:pPr>
              <w:pStyle w:val="FormatvorlageLinks0cm"/>
              <w:numPr>
                <w:ilvl w:val="0"/>
                <w:numId w:val="18"/>
              </w:numPr>
              <w:rPr>
                <w:lang w:val="de-CH"/>
              </w:rPr>
            </w:pPr>
            <w:r>
              <w:rPr>
                <w:lang w:val="de-CH"/>
              </w:rPr>
              <w:t>der geduldeten Fehlermargen dieser Methoden [</w:t>
            </w:r>
            <w:r w:rsidRPr="00BB253F">
              <w:rPr>
                <w:i/>
                <w:lang w:val="de-CH"/>
              </w:rPr>
              <w:t>Art. 7 Abs. 1 Bst. d SFDR</w:t>
            </w:r>
            <w:r w:rsidR="00BB253F" w:rsidRPr="00BB253F">
              <w:rPr>
                <w:i/>
                <w:lang w:val="de-CH"/>
              </w:rPr>
              <w:t>-RTS</w:t>
            </w:r>
            <w:r>
              <w:rPr>
                <w:lang w:val="de-CH"/>
              </w:rPr>
              <w:t>].</w:t>
            </w:r>
          </w:p>
          <w:p w14:paraId="2E737444" w14:textId="520B529D" w:rsidR="00637E72" w:rsidRDefault="00637E72" w:rsidP="00637E72">
            <w:pPr>
              <w:pStyle w:val="FormatvorlageLinks0cm"/>
              <w:numPr>
                <w:ilvl w:val="0"/>
                <w:numId w:val="18"/>
              </w:numPr>
              <w:rPr>
                <w:lang w:val="de-CH"/>
              </w:rPr>
            </w:pPr>
            <w:r>
              <w:rPr>
                <w:lang w:val="de-CH"/>
              </w:rPr>
              <w:t>der verwendeten Datenquellen [</w:t>
            </w:r>
            <w:r w:rsidRPr="007A3212">
              <w:rPr>
                <w:i/>
                <w:lang w:val="de-CH"/>
              </w:rPr>
              <w:t>Art. 7 Abs. 1 Bst. e SFDR</w:t>
            </w:r>
            <w:r w:rsidR="00BB253F" w:rsidRPr="007A3212">
              <w:rPr>
                <w:i/>
                <w:lang w:val="de-CH"/>
              </w:rPr>
              <w:t>-RTS</w:t>
            </w:r>
            <w:r>
              <w:rPr>
                <w:lang w:val="de-CH"/>
              </w:rPr>
              <w:t>] sowie der Schätzungen und Annahmen [</w:t>
            </w:r>
            <w:r w:rsidRPr="007A3212">
              <w:rPr>
                <w:i/>
                <w:lang w:val="de-CH"/>
              </w:rPr>
              <w:t>Art. 7 Abs. 2 SFDR</w:t>
            </w:r>
            <w:r w:rsidR="007A3212" w:rsidRPr="007A3212">
              <w:rPr>
                <w:i/>
                <w:lang w:val="de-CH"/>
              </w:rPr>
              <w:t>-RTS</w:t>
            </w:r>
            <w:r>
              <w:rPr>
                <w:lang w:val="de-CH"/>
              </w:rPr>
              <w:t>].</w:t>
            </w:r>
          </w:p>
          <w:p w14:paraId="1E401C90" w14:textId="79E2DCC1" w:rsidR="00637E72" w:rsidRPr="00A57024" w:rsidRDefault="00637E72" w:rsidP="00637E72">
            <w:pPr>
              <w:pStyle w:val="FormatvorlageLinks0cm"/>
              <w:numPr>
                <w:ilvl w:val="0"/>
                <w:numId w:val="18"/>
              </w:numPr>
              <w:rPr>
                <w:lang w:val="de-CH"/>
              </w:rPr>
            </w:pPr>
            <w:r w:rsidRPr="00A57024">
              <w:rPr>
                <w:lang w:val="de-CH"/>
              </w:rPr>
              <w:t>der Verfahren zur Festlegung, Durchführung und Überwachung von Massnahmen zur Vermeidung oder Verringerung der festgestellten wichtigsten nachteiligen</w:t>
            </w:r>
            <w:r>
              <w:rPr>
                <w:lang w:val="de-CH"/>
              </w:rPr>
              <w:t xml:space="preserve"> </w:t>
            </w:r>
            <w:r w:rsidRPr="00A57024">
              <w:rPr>
                <w:lang w:val="de-CH"/>
              </w:rPr>
              <w:t>Auswirkungen</w:t>
            </w:r>
            <w:r>
              <w:rPr>
                <w:lang w:val="de-CH"/>
              </w:rPr>
              <w:t xml:space="preserve"> [</w:t>
            </w:r>
            <w:r w:rsidRPr="007A3212">
              <w:rPr>
                <w:i/>
                <w:lang w:val="de-CH"/>
              </w:rPr>
              <w:t>Art. 6 Abs. 2 SFDR</w:t>
            </w:r>
            <w:r w:rsidR="007A3212" w:rsidRPr="007A3212">
              <w:rPr>
                <w:i/>
                <w:lang w:val="de-CH"/>
              </w:rPr>
              <w:t>-RTS</w:t>
            </w:r>
            <w:r>
              <w:rPr>
                <w:lang w:val="de-CH"/>
              </w:rPr>
              <w:t xml:space="preserve">]. </w:t>
            </w:r>
          </w:p>
          <w:p w14:paraId="1C947B35" w14:textId="69E4C012" w:rsidR="00637E72" w:rsidRDefault="00637E72" w:rsidP="00637E72">
            <w:pPr>
              <w:pStyle w:val="FormatvorlageLinks0cm"/>
              <w:numPr>
                <w:ilvl w:val="0"/>
                <w:numId w:val="18"/>
              </w:numPr>
              <w:rPr>
                <w:lang w:val="de-CH"/>
              </w:rPr>
            </w:pPr>
            <w:r w:rsidRPr="004E6831">
              <w:rPr>
                <w:lang w:val="de-CH"/>
              </w:rPr>
              <w:t>der Mitwirkungspolitik zur Verringerung der wichtigsten nachteiligen</w:t>
            </w:r>
            <w:r>
              <w:rPr>
                <w:lang w:val="de-CH"/>
              </w:rPr>
              <w:t xml:space="preserve"> </w:t>
            </w:r>
            <w:r w:rsidRPr="004E6831">
              <w:rPr>
                <w:lang w:val="de-CH"/>
              </w:rPr>
              <w:t>Auswirkungen</w:t>
            </w:r>
            <w:r>
              <w:rPr>
                <w:lang w:val="de-CH"/>
              </w:rPr>
              <w:t xml:space="preserve"> [</w:t>
            </w:r>
            <w:r w:rsidRPr="007A3212">
              <w:rPr>
                <w:i/>
                <w:lang w:val="de-CH"/>
              </w:rPr>
              <w:t>Art. 8 SFDR</w:t>
            </w:r>
            <w:r w:rsidR="007A3212" w:rsidRPr="007A3212">
              <w:rPr>
                <w:i/>
                <w:lang w:val="de-CH"/>
              </w:rPr>
              <w:t>-RTS</w:t>
            </w:r>
            <w:r>
              <w:rPr>
                <w:lang w:val="de-CH"/>
              </w:rPr>
              <w:t>].</w:t>
            </w:r>
          </w:p>
          <w:p w14:paraId="07477141" w14:textId="759FA627" w:rsidR="00637E72" w:rsidRDefault="00637E72" w:rsidP="00637E72">
            <w:pPr>
              <w:pStyle w:val="FormatvorlageLinks0cm"/>
              <w:numPr>
                <w:ilvl w:val="0"/>
                <w:numId w:val="18"/>
              </w:numPr>
              <w:spacing w:after="120"/>
              <w:ind w:left="714" w:hanging="357"/>
              <w:rPr>
                <w:lang w:val="de-CH"/>
              </w:rPr>
            </w:pPr>
            <w:r w:rsidRPr="00DC19C8">
              <w:rPr>
                <w:lang w:val="de-CH"/>
              </w:rPr>
              <w:t>der Methode</w:t>
            </w:r>
            <w:r>
              <w:rPr>
                <w:lang w:val="de-CH"/>
              </w:rPr>
              <w:t>n</w:t>
            </w:r>
            <w:r w:rsidRPr="00DC19C8">
              <w:rPr>
                <w:lang w:val="de-CH"/>
              </w:rPr>
              <w:t xml:space="preserve"> und Daten zur Messung der </w:t>
            </w:r>
            <w:r>
              <w:t xml:space="preserve">Beachtung von Kodizes für verantwortungsvolle Unternehmensführung und international anerkannte Standards für die Sorgfaltspflicht und die Berichterstattung bzw. zur Messung der Ausrichtung auf die Ziele des Übereinkommens von Paris </w:t>
            </w:r>
            <w:r>
              <w:rPr>
                <w:lang w:val="de-CH"/>
              </w:rPr>
              <w:t>[</w:t>
            </w:r>
            <w:r w:rsidRPr="007A3212">
              <w:rPr>
                <w:i/>
                <w:lang w:val="de-CH"/>
              </w:rPr>
              <w:t>Art. 9 Abs. 2 Bst. b SFDR</w:t>
            </w:r>
            <w:r w:rsidR="007A3212" w:rsidRPr="007A3212">
              <w:rPr>
                <w:i/>
                <w:lang w:val="de-CH"/>
              </w:rPr>
              <w:t>-RTS</w:t>
            </w:r>
            <w:r>
              <w:rPr>
                <w:lang w:val="de-CH"/>
              </w:rPr>
              <w:t>].</w:t>
            </w:r>
          </w:p>
          <w:p w14:paraId="5AD08BA6" w14:textId="18B3B981" w:rsidR="00637E72" w:rsidRPr="00DC19C8" w:rsidRDefault="00637E72" w:rsidP="00637E72">
            <w:pPr>
              <w:pStyle w:val="FormatvorlageLinks0cm"/>
              <w:rPr>
                <w:lang w:val="de-CH"/>
              </w:rPr>
            </w:pPr>
            <w:r>
              <w:rPr>
                <w:lang w:val="de-CH"/>
              </w:rPr>
              <w:t xml:space="preserve">Bei </w:t>
            </w:r>
            <w:r w:rsidR="009C5A03">
              <w:rPr>
                <w:lang w:val="de-CH"/>
              </w:rPr>
              <w:t>ihrer</w:t>
            </w:r>
            <w:r>
              <w:rPr>
                <w:lang w:val="de-CH"/>
              </w:rPr>
              <w:t xml:space="preserve"> Beurteilung der Angemessenheit berücksichtigt die Revisionsstelle die </w:t>
            </w:r>
            <w:r w:rsidR="009C5A03">
              <w:rPr>
                <w:lang w:val="de-CH"/>
              </w:rPr>
              <w:t xml:space="preserve">relevanten </w:t>
            </w:r>
            <w:r>
              <w:rPr>
                <w:lang w:val="de-CH"/>
              </w:rPr>
              <w:t xml:space="preserve">Begriffsdefinitionen und Formeln gemäss Anhang I </w:t>
            </w:r>
            <w:r w:rsidR="00F63B01">
              <w:rPr>
                <w:lang w:val="de-CH"/>
              </w:rPr>
              <w:t>SDFR-RTS</w:t>
            </w:r>
            <w:r>
              <w:rPr>
                <w:lang w:val="de-CH"/>
              </w:rPr>
              <w:t xml:space="preserve">, als auch den diesbezüglich veröffentlichten Q&amp;A (Kapitel III. und IV., </w:t>
            </w:r>
            <w:r>
              <w:rPr>
                <w:color w:val="222222"/>
                <w:shd w:val="clear" w:color="auto" w:fill="FFFFFF"/>
              </w:rPr>
              <w:t>JC 2023 18).</w:t>
            </w:r>
          </w:p>
          <w:p w14:paraId="0D8A529F" w14:textId="77777777" w:rsidR="00637E72" w:rsidRDefault="00637E72" w:rsidP="00637E72">
            <w:pPr>
              <w:pStyle w:val="FormatvorlageLinks0cm"/>
              <w:rPr>
                <w:lang w:val="de-CH"/>
              </w:rPr>
            </w:pPr>
          </w:p>
          <w:p w14:paraId="0E906625" w14:textId="581B5C57" w:rsidR="00637E72" w:rsidRDefault="00637E72" w:rsidP="00637E72">
            <w:pPr>
              <w:pStyle w:val="FormatvorlageLinks0cm"/>
              <w:rPr>
                <w:lang w:val="de-CH"/>
              </w:rPr>
            </w:pPr>
            <w:r>
              <w:rPr>
                <w:lang w:val="de-CH"/>
              </w:rPr>
              <w:t xml:space="preserve">Des Weiteren prüft die Revisionsstelle die Angemessenheit der zuletzt veröffentlichten </w:t>
            </w:r>
            <w:r w:rsidRPr="00963309">
              <w:rPr>
                <w:lang w:val="de-CH"/>
              </w:rPr>
              <w:t>Erklärung zu den wichtigsten nachteiligen Auswirkungen von Investitionsentscheidungen auf Nachhaltigkeitsfaktoren</w:t>
            </w:r>
            <w:r>
              <w:rPr>
                <w:lang w:val="de-CH"/>
              </w:rPr>
              <w:t xml:space="preserve"> [</w:t>
            </w:r>
            <w:r w:rsidRPr="00F63B01">
              <w:rPr>
                <w:i/>
                <w:lang w:val="de-CH"/>
              </w:rPr>
              <w:t xml:space="preserve">Art. 4 bis 10; Anhang I </w:t>
            </w:r>
            <w:r w:rsidR="00F63B01" w:rsidRPr="00F63B01">
              <w:rPr>
                <w:i/>
                <w:lang w:val="de-CH"/>
              </w:rPr>
              <w:t>SDFR-RTS</w:t>
            </w:r>
            <w:r>
              <w:rPr>
                <w:lang w:val="de-CH"/>
              </w:rPr>
              <w:t>]. Hierzu bildet sie sich insbesondere ein Urteil über die nachfolgenden Aspekte:</w:t>
            </w:r>
          </w:p>
          <w:p w14:paraId="54AB5EC0" w14:textId="61E4B996" w:rsidR="00637E72" w:rsidRDefault="00637E72" w:rsidP="00637E72">
            <w:pPr>
              <w:pStyle w:val="FormatvorlageLinks0cm"/>
              <w:numPr>
                <w:ilvl w:val="0"/>
                <w:numId w:val="19"/>
              </w:numPr>
              <w:rPr>
                <w:lang w:val="de-CH"/>
              </w:rPr>
            </w:pPr>
            <w:r>
              <w:rPr>
                <w:lang w:val="de-CH"/>
              </w:rPr>
              <w:t xml:space="preserve">Die Offenlegung steht im Einklang mit den </w:t>
            </w:r>
            <w:r w:rsidRPr="00D12445">
              <w:rPr>
                <w:lang w:val="de-CH"/>
              </w:rPr>
              <w:t xml:space="preserve">allgemeinen Grundsätzen für die Darstellung von Informationen </w:t>
            </w:r>
            <w:r>
              <w:rPr>
                <w:lang w:val="de-CH"/>
              </w:rPr>
              <w:t>[</w:t>
            </w:r>
            <w:r w:rsidRPr="00F63B01">
              <w:rPr>
                <w:i/>
                <w:lang w:val="de-CH"/>
              </w:rPr>
              <w:t>Art. 2 SFDR</w:t>
            </w:r>
            <w:r w:rsidR="00F63B01" w:rsidRPr="00F63B01">
              <w:rPr>
                <w:i/>
                <w:lang w:val="de-CH"/>
              </w:rPr>
              <w:t>-RTS</w:t>
            </w:r>
            <w:r>
              <w:rPr>
                <w:lang w:val="de-CH"/>
              </w:rPr>
              <w:t>].</w:t>
            </w:r>
          </w:p>
          <w:p w14:paraId="4D5EC643" w14:textId="479E7407" w:rsidR="00637E72" w:rsidRDefault="00637E72" w:rsidP="00637E72">
            <w:pPr>
              <w:pStyle w:val="FormatvorlageLinks0cm"/>
              <w:numPr>
                <w:ilvl w:val="0"/>
                <w:numId w:val="19"/>
              </w:numPr>
              <w:rPr>
                <w:lang w:val="de-CH"/>
              </w:rPr>
            </w:pPr>
            <w:r>
              <w:rPr>
                <w:lang w:val="de-CH"/>
              </w:rPr>
              <w:t>Die Veröffentlichung erfolgte</w:t>
            </w:r>
            <w:r w:rsidRPr="00D12445">
              <w:rPr>
                <w:lang w:val="de-CH"/>
              </w:rPr>
              <w:t xml:space="preserve"> </w:t>
            </w:r>
            <w:r>
              <w:rPr>
                <w:lang w:val="de-CH"/>
              </w:rPr>
              <w:t xml:space="preserve">fristgerecht </w:t>
            </w:r>
            <w:r w:rsidRPr="00D12445">
              <w:rPr>
                <w:lang w:val="de-CH"/>
              </w:rPr>
              <w:t>unter Angabe de</w:t>
            </w:r>
            <w:r>
              <w:rPr>
                <w:lang w:val="de-CH"/>
              </w:rPr>
              <w:t>s</w:t>
            </w:r>
            <w:r w:rsidRPr="00D12445">
              <w:rPr>
                <w:lang w:val="de-CH"/>
              </w:rPr>
              <w:t xml:space="preserve"> </w:t>
            </w:r>
            <w:r>
              <w:rPr>
                <w:lang w:val="de-CH"/>
              </w:rPr>
              <w:t>vorgegebenen</w:t>
            </w:r>
            <w:r w:rsidRPr="00D12445">
              <w:rPr>
                <w:lang w:val="de-CH"/>
              </w:rPr>
              <w:t xml:space="preserve"> </w:t>
            </w:r>
            <w:r>
              <w:rPr>
                <w:lang w:val="de-CH"/>
              </w:rPr>
              <w:t>Titels im vorgegebenen</w:t>
            </w:r>
            <w:r w:rsidRPr="00D12445">
              <w:rPr>
                <w:lang w:val="de-CH"/>
              </w:rPr>
              <w:t xml:space="preserve"> </w:t>
            </w:r>
            <w:r>
              <w:rPr>
                <w:lang w:val="de-CH"/>
              </w:rPr>
              <w:t xml:space="preserve">Abschnitt auf der </w:t>
            </w:r>
            <w:r w:rsidR="002115EF">
              <w:rPr>
                <w:lang w:val="de-CH"/>
              </w:rPr>
              <w:t>Internet</w:t>
            </w:r>
            <w:r>
              <w:rPr>
                <w:lang w:val="de-CH"/>
              </w:rPr>
              <w:t>seite [</w:t>
            </w:r>
            <w:r w:rsidRPr="00F63B01">
              <w:rPr>
                <w:i/>
                <w:lang w:val="de-CH"/>
              </w:rPr>
              <w:t>Art. 4 Abs. 1 SFDR</w:t>
            </w:r>
            <w:r w:rsidR="00F63B01" w:rsidRPr="00F63B01">
              <w:rPr>
                <w:i/>
                <w:lang w:val="de-CH"/>
              </w:rPr>
              <w:t>-RTS</w:t>
            </w:r>
            <w:r>
              <w:rPr>
                <w:lang w:val="de-CH"/>
              </w:rPr>
              <w:t>].</w:t>
            </w:r>
          </w:p>
          <w:p w14:paraId="47E8E25D" w14:textId="07C7C907" w:rsidR="00637E72" w:rsidRPr="00151343" w:rsidRDefault="00637E72" w:rsidP="00637E72">
            <w:pPr>
              <w:pStyle w:val="FormatvorlageLinks0cm"/>
              <w:numPr>
                <w:ilvl w:val="0"/>
                <w:numId w:val="19"/>
              </w:numPr>
              <w:rPr>
                <w:lang w:val="de-CH"/>
              </w:rPr>
            </w:pPr>
            <w:r>
              <w:t xml:space="preserve">Die in Anhang I, Tabelle 1 </w:t>
            </w:r>
            <w:r w:rsidR="00F63B01">
              <w:t>SFDR-RTS</w:t>
            </w:r>
            <w:r>
              <w:t xml:space="preserve"> enthaltende Vorlage wurde verwendet.</w:t>
            </w:r>
          </w:p>
          <w:p w14:paraId="4C40E473" w14:textId="7549748E" w:rsidR="00637E72" w:rsidRDefault="00637E72" w:rsidP="00637E72">
            <w:pPr>
              <w:pStyle w:val="FormatvorlageLinks0cm"/>
              <w:numPr>
                <w:ilvl w:val="0"/>
                <w:numId w:val="19"/>
              </w:numPr>
              <w:rPr>
                <w:lang w:val="de-CH"/>
              </w:rPr>
            </w:pPr>
            <w:r>
              <w:rPr>
                <w:lang w:val="de-CH"/>
              </w:rPr>
              <w:t>Der Abschnitt «</w:t>
            </w:r>
            <w:r>
              <w:t>Zusammenfassung</w:t>
            </w:r>
            <w:r>
              <w:rPr>
                <w:lang w:val="de-CH"/>
              </w:rPr>
              <w:t>» wurde in den erforderlichen Sprachen</w:t>
            </w:r>
            <w:r>
              <w:t xml:space="preserve"> abgefasst </w:t>
            </w:r>
            <w:r>
              <w:rPr>
                <w:lang w:val="de-CH"/>
              </w:rPr>
              <w:t>[</w:t>
            </w:r>
            <w:r w:rsidRPr="00F63B01">
              <w:rPr>
                <w:i/>
                <w:lang w:val="de-CH"/>
              </w:rPr>
              <w:t>Art. 5 SFDR</w:t>
            </w:r>
            <w:r w:rsidR="00F63B01" w:rsidRPr="00F63B01">
              <w:rPr>
                <w:i/>
                <w:lang w:val="de-CH"/>
              </w:rPr>
              <w:t>-RTS</w:t>
            </w:r>
            <w:r>
              <w:rPr>
                <w:lang w:val="de-CH"/>
              </w:rPr>
              <w:t>].</w:t>
            </w:r>
          </w:p>
          <w:p w14:paraId="7088E15F" w14:textId="4CA2E535" w:rsidR="00637E72" w:rsidRDefault="00637E72" w:rsidP="00637E72">
            <w:pPr>
              <w:pStyle w:val="FormatvorlageLinks0cm"/>
              <w:numPr>
                <w:ilvl w:val="0"/>
                <w:numId w:val="19"/>
              </w:numPr>
              <w:rPr>
                <w:lang w:val="de-CH"/>
              </w:rPr>
            </w:pPr>
            <w:r>
              <w:rPr>
                <w:lang w:val="de-CH"/>
              </w:rPr>
              <w:t>Die</w:t>
            </w:r>
            <w:r w:rsidRPr="00984AD7">
              <w:rPr>
                <w:lang w:val="de-CH"/>
              </w:rPr>
              <w:t xml:space="preserve"> Zusammenfassung der wichtigsten nachteiligen Auswirkungen</w:t>
            </w:r>
            <w:r>
              <w:rPr>
                <w:lang w:val="de-CH"/>
              </w:rPr>
              <w:t xml:space="preserve"> im Abschnitt «</w:t>
            </w:r>
            <w:r>
              <w:t>Zusammenfassung</w:t>
            </w:r>
            <w:r>
              <w:rPr>
                <w:lang w:val="de-CH"/>
              </w:rPr>
              <w:t>» ist konsistent mit den nachfolgenden Informationen der Erklärung [</w:t>
            </w:r>
            <w:r w:rsidRPr="00F63B01">
              <w:rPr>
                <w:i/>
                <w:lang w:val="de-CH"/>
              </w:rPr>
              <w:t>Art. 5 Bst. d SFDR</w:t>
            </w:r>
            <w:r w:rsidR="00F63B01" w:rsidRPr="00F63B01">
              <w:rPr>
                <w:i/>
                <w:lang w:val="de-CH"/>
              </w:rPr>
              <w:t>-RTS</w:t>
            </w:r>
            <w:r>
              <w:rPr>
                <w:lang w:val="de-CH"/>
              </w:rPr>
              <w:t>].</w:t>
            </w:r>
          </w:p>
          <w:p w14:paraId="4E3AF24C" w14:textId="519570C3" w:rsidR="00637E72" w:rsidRDefault="00637E72" w:rsidP="00637E72">
            <w:pPr>
              <w:pStyle w:val="FormatvorlageLinks0cm"/>
              <w:numPr>
                <w:ilvl w:val="0"/>
                <w:numId w:val="19"/>
              </w:numPr>
              <w:rPr>
                <w:lang w:val="de-CH"/>
              </w:rPr>
            </w:pPr>
            <w:r>
              <w:rPr>
                <w:lang w:val="de-CH"/>
              </w:rPr>
              <w:t>Die Erklärung umfasst Angaben zu allen Indikatoren der Tabelle 1 und jeweils einem zusätzlichen Indikator der Tabelle 2 und Tabelle 3 (insgesamt mindestens 20 Indikatoren) [</w:t>
            </w:r>
            <w:r w:rsidRPr="00F63B01">
              <w:rPr>
                <w:i/>
                <w:lang w:val="de-CH"/>
              </w:rPr>
              <w:t>Art. 6 Abs. 1 SFDR</w:t>
            </w:r>
            <w:r w:rsidR="00F63B01" w:rsidRPr="00F63B01">
              <w:rPr>
                <w:i/>
                <w:lang w:val="de-CH"/>
              </w:rPr>
              <w:t>-RTS</w:t>
            </w:r>
            <w:r>
              <w:rPr>
                <w:lang w:val="de-CH"/>
              </w:rPr>
              <w:t>].</w:t>
            </w:r>
          </w:p>
          <w:p w14:paraId="466E1FF5" w14:textId="429B7E21" w:rsidR="00637E72" w:rsidRDefault="00637E72" w:rsidP="00637E72">
            <w:pPr>
              <w:pStyle w:val="FormatvorlageLinks0cm"/>
              <w:numPr>
                <w:ilvl w:val="0"/>
                <w:numId w:val="19"/>
              </w:numPr>
              <w:rPr>
                <w:lang w:val="de-CH"/>
              </w:rPr>
            </w:pPr>
            <w:r>
              <w:rPr>
                <w:lang w:val="de-CH"/>
              </w:rPr>
              <w:t xml:space="preserve">Die ergriffenen und geplanten Massnahmen </w:t>
            </w:r>
            <w:r w:rsidRPr="00A57024">
              <w:rPr>
                <w:lang w:val="de-CH"/>
              </w:rPr>
              <w:t>zur Vermeidung oder Verringerung der festgestellten wichtigsten nachteiligen</w:t>
            </w:r>
            <w:r>
              <w:rPr>
                <w:lang w:val="de-CH"/>
              </w:rPr>
              <w:t xml:space="preserve"> </w:t>
            </w:r>
            <w:r w:rsidRPr="00A57024">
              <w:rPr>
                <w:lang w:val="de-CH"/>
              </w:rPr>
              <w:t>Auswirkungen</w:t>
            </w:r>
            <w:r>
              <w:rPr>
                <w:lang w:val="de-CH"/>
              </w:rPr>
              <w:t xml:space="preserve"> sind unter Berücksichtigung des jeweiligen Indikators sachgerecht und belegbar [</w:t>
            </w:r>
            <w:r w:rsidRPr="00F63B01">
              <w:rPr>
                <w:i/>
                <w:lang w:val="de-CH"/>
              </w:rPr>
              <w:t>Art. 6 Abs. 2 SFDR</w:t>
            </w:r>
            <w:r w:rsidR="00F63B01" w:rsidRPr="00F63B01">
              <w:rPr>
                <w:i/>
                <w:lang w:val="de-CH"/>
              </w:rPr>
              <w:t>-RTS</w:t>
            </w:r>
            <w:r>
              <w:rPr>
                <w:lang w:val="de-CH"/>
              </w:rPr>
              <w:t>].</w:t>
            </w:r>
          </w:p>
          <w:p w14:paraId="09CCC563" w14:textId="4E5C56C6" w:rsidR="00637E72" w:rsidRDefault="00637E72" w:rsidP="00637E72">
            <w:pPr>
              <w:pStyle w:val="FormatvorlageLinks0cm"/>
              <w:numPr>
                <w:ilvl w:val="0"/>
                <w:numId w:val="19"/>
              </w:numPr>
              <w:rPr>
                <w:lang w:val="de-CH"/>
              </w:rPr>
            </w:pPr>
            <w:r>
              <w:rPr>
                <w:lang w:val="de-CH"/>
              </w:rPr>
              <w:lastRenderedPageBreak/>
              <w:t>Die Angaben im Abschnitt «</w:t>
            </w:r>
            <w:r w:rsidRPr="00F01D9B">
              <w:rPr>
                <w:lang w:val="de-CH"/>
              </w:rPr>
              <w:t>Beschreibung der Strategien zur Feststellung und Gewichtung der wichtigsten nachteiligen</w:t>
            </w:r>
            <w:r>
              <w:rPr>
                <w:lang w:val="de-CH"/>
              </w:rPr>
              <w:t xml:space="preserve"> </w:t>
            </w:r>
            <w:r w:rsidRPr="00F01D9B">
              <w:rPr>
                <w:lang w:val="de-CH"/>
              </w:rPr>
              <w:t>Auswirkungen auf Nachhaltigkeitsfaktoren»</w:t>
            </w:r>
            <w:r>
              <w:rPr>
                <w:lang w:val="de-CH"/>
              </w:rPr>
              <w:t xml:space="preserve">, </w:t>
            </w:r>
            <w:r w:rsidRPr="00F01D9B">
              <w:rPr>
                <w:lang w:val="de-CH"/>
              </w:rPr>
              <w:t>«</w:t>
            </w:r>
            <w:r>
              <w:t>Mitwirkungspolitik</w:t>
            </w:r>
            <w:r w:rsidRPr="00F01D9B">
              <w:rPr>
                <w:lang w:val="de-CH"/>
              </w:rPr>
              <w:t>»</w:t>
            </w:r>
            <w:r>
              <w:rPr>
                <w:lang w:val="de-CH"/>
              </w:rPr>
              <w:t xml:space="preserve"> und «</w:t>
            </w:r>
            <w:r w:rsidRPr="00DC19C8">
              <w:rPr>
                <w:lang w:val="de-CH"/>
              </w:rPr>
              <w:t>Bezugnahme auf international anerkannte Standards</w:t>
            </w:r>
            <w:r>
              <w:rPr>
                <w:lang w:val="de-CH"/>
              </w:rPr>
              <w:t>» stehen im Einklang mit den implementierten Prozessen und einschlägigen Weisungen [</w:t>
            </w:r>
            <w:r w:rsidRPr="00F63B01">
              <w:rPr>
                <w:i/>
                <w:lang w:val="de-CH"/>
              </w:rPr>
              <w:t>Art. 7 bis Art. 9 SFDR</w:t>
            </w:r>
            <w:r w:rsidR="00F63B01" w:rsidRPr="00F63B01">
              <w:rPr>
                <w:i/>
                <w:lang w:val="de-CH"/>
              </w:rPr>
              <w:t>-RTS</w:t>
            </w:r>
            <w:r>
              <w:rPr>
                <w:lang w:val="de-CH"/>
              </w:rPr>
              <w:t>].</w:t>
            </w:r>
          </w:p>
          <w:p w14:paraId="0FBD101B" w14:textId="6F08945B" w:rsidR="00637E72" w:rsidRDefault="00637E72" w:rsidP="00637E72">
            <w:pPr>
              <w:pStyle w:val="FormatvorlageLinks0cm"/>
              <w:numPr>
                <w:ilvl w:val="0"/>
                <w:numId w:val="19"/>
              </w:numPr>
              <w:rPr>
                <w:lang w:val="de-CH"/>
              </w:rPr>
            </w:pPr>
            <w:r>
              <w:rPr>
                <w:lang w:val="de-CH"/>
              </w:rPr>
              <w:t xml:space="preserve">Die Erklärung enthält historische Vergleichszahlen, welche mit den vorherigen </w:t>
            </w:r>
            <w:r w:rsidRPr="00963309">
              <w:rPr>
                <w:lang w:val="de-CH"/>
              </w:rPr>
              <w:t>Erklärung</w:t>
            </w:r>
            <w:r>
              <w:rPr>
                <w:lang w:val="de-CH"/>
              </w:rPr>
              <w:t>en übereinstimmen [</w:t>
            </w:r>
            <w:r w:rsidRPr="00F63B01">
              <w:rPr>
                <w:i/>
                <w:lang w:val="de-CH"/>
              </w:rPr>
              <w:t>Art. 10 SFDR</w:t>
            </w:r>
            <w:r w:rsidR="00F63B01" w:rsidRPr="00F63B01">
              <w:rPr>
                <w:i/>
                <w:lang w:val="de-CH"/>
              </w:rPr>
              <w:t>-RTS</w:t>
            </w:r>
            <w:r>
              <w:rPr>
                <w:lang w:val="de-CH"/>
              </w:rPr>
              <w:t>].</w:t>
            </w:r>
          </w:p>
          <w:p w14:paraId="3730532E" w14:textId="36A4B1C8" w:rsidR="00DB3E71" w:rsidRPr="00F01D9B" w:rsidRDefault="00DB3E71" w:rsidP="00DB3E71">
            <w:pPr>
              <w:pStyle w:val="FormatvorlageLinks0cm"/>
              <w:spacing w:before="120" w:after="120"/>
              <w:rPr>
                <w:lang w:val="de-CH"/>
              </w:rPr>
            </w:pPr>
            <w:r w:rsidRPr="000A2384">
              <w:rPr>
                <w:lang w:val="de-CH"/>
              </w:rPr>
              <w:t>Die Prüfung der zuletzt veröffentlichten Erklärung zu den wichtigsten nachteiligen Auswirkungen von Investitionsentscheidungen auf Nachhaltigkeitsfaktoren entfällt, sofern der Finanzmarktteilnehmer die Erklärung bereits einer freiwilligen Prüfung durch eine Revisionsstelle vor Veröffentlichung unterstellt hat. Dieser Umstand ist im Bericht über die Aufsichtsprüfung anzugeben.</w:t>
            </w:r>
            <w:r>
              <w:rPr>
                <w:lang w:val="de-CH"/>
              </w:rPr>
              <w:t xml:space="preserve"> </w:t>
            </w:r>
          </w:p>
          <w:p w14:paraId="631F8491" w14:textId="77777777" w:rsidR="00637E72" w:rsidRDefault="00637E72" w:rsidP="00637E72">
            <w:pPr>
              <w:pStyle w:val="FormatvorlageLinks0cm"/>
              <w:rPr>
                <w:lang w:val="de-CH"/>
              </w:rPr>
            </w:pPr>
          </w:p>
          <w:p w14:paraId="4B2DA7AF" w14:textId="77777777" w:rsidR="00637E72" w:rsidRDefault="00637E72" w:rsidP="00637E72">
            <w:pPr>
              <w:pStyle w:val="FormatvorlageLinks0cm"/>
              <w:spacing w:after="120"/>
              <w:rPr>
                <w:u w:val="single"/>
                <w:lang w:val="de-CH"/>
              </w:rPr>
            </w:pPr>
            <w:r>
              <w:rPr>
                <w:u w:val="single"/>
                <w:lang w:val="de-CH"/>
              </w:rPr>
              <w:t>Finanzberater</w:t>
            </w:r>
          </w:p>
          <w:p w14:paraId="3186CBD4" w14:textId="6899DC78" w:rsidR="00637E72" w:rsidRPr="00141394" w:rsidRDefault="00637E72" w:rsidP="00637E72">
            <w:pPr>
              <w:pStyle w:val="FormatvorlageLinks0cm"/>
              <w:spacing w:after="120"/>
              <w:rPr>
                <w:u w:val="single"/>
                <w:lang w:val="de-CH"/>
              </w:rPr>
            </w:pPr>
            <w:r w:rsidRPr="00D12445">
              <w:rPr>
                <w:lang w:val="de-CH"/>
              </w:rPr>
              <w:t xml:space="preserve">Sofern einschlägig prüft die Revisionsstelle die Angemessenheit der Offenlegung nach Art. </w:t>
            </w:r>
            <w:r>
              <w:rPr>
                <w:lang w:val="de-CH"/>
              </w:rPr>
              <w:t>4</w:t>
            </w:r>
            <w:r w:rsidRPr="00D12445">
              <w:rPr>
                <w:lang w:val="de-CH"/>
              </w:rPr>
              <w:t xml:space="preserve"> Abs. </w:t>
            </w:r>
            <w:r>
              <w:rPr>
                <w:lang w:val="de-CH"/>
              </w:rPr>
              <w:t>5</w:t>
            </w:r>
            <w:r w:rsidRPr="00D12445">
              <w:rPr>
                <w:lang w:val="de-CH"/>
              </w:rPr>
              <w:t xml:space="preserve"> Bst. a </w:t>
            </w:r>
            <w:r w:rsidR="00F63B01">
              <w:rPr>
                <w:lang w:val="de-CH"/>
              </w:rPr>
              <w:t>SFDR</w:t>
            </w:r>
            <w:r w:rsidR="00BB253F">
              <w:rPr>
                <w:lang w:val="de-CH"/>
              </w:rPr>
              <w:t xml:space="preserve"> </w:t>
            </w:r>
            <w:proofErr w:type="spellStart"/>
            <w:r w:rsidR="00BB253F">
              <w:rPr>
                <w:lang w:val="de-CH"/>
              </w:rPr>
              <w:t>i.V.m</w:t>
            </w:r>
            <w:proofErr w:type="spellEnd"/>
            <w:r w:rsidR="00E77E1F">
              <w:rPr>
                <w:lang w:val="de-CH"/>
              </w:rPr>
              <w:t>.</w:t>
            </w:r>
            <w:r w:rsidR="00BB253F">
              <w:rPr>
                <w:lang w:val="de-CH"/>
              </w:rPr>
              <w:t xml:space="preserve"> Art. 11 </w:t>
            </w:r>
            <w:r w:rsidR="00F63B01">
              <w:rPr>
                <w:lang w:val="de-CH"/>
              </w:rPr>
              <w:t>SFDR</w:t>
            </w:r>
            <w:r w:rsidR="00F63B01">
              <w:rPr>
                <w:lang w:val="de-CH"/>
              </w:rPr>
              <w:noBreakHyphen/>
              <w:t>RTS</w:t>
            </w:r>
            <w:r>
              <w:rPr>
                <w:lang w:val="de-CH"/>
              </w:rPr>
              <w:t>.</w:t>
            </w:r>
          </w:p>
          <w:p w14:paraId="1B464308" w14:textId="328D8274" w:rsidR="00637E72" w:rsidRPr="00832EFD" w:rsidRDefault="00637E72" w:rsidP="00637E72">
            <w:pPr>
              <w:pStyle w:val="FormatvorlageLinks0cm"/>
            </w:pPr>
            <w:r w:rsidRPr="00D12445">
              <w:rPr>
                <w:lang w:val="de-CH"/>
              </w:rPr>
              <w:t xml:space="preserve">Die Revisionsstelle prüft </w:t>
            </w:r>
            <w:r>
              <w:rPr>
                <w:lang w:val="de-CH"/>
              </w:rPr>
              <w:t xml:space="preserve">hierbei </w:t>
            </w:r>
            <w:r w:rsidRPr="00D12445">
              <w:rPr>
                <w:lang w:val="de-CH"/>
              </w:rPr>
              <w:t xml:space="preserve">die </w:t>
            </w:r>
            <w:r>
              <w:rPr>
                <w:lang w:val="de-CH"/>
              </w:rPr>
              <w:t xml:space="preserve">Angemessenheit der </w:t>
            </w:r>
            <w:r>
              <w:t>Verfahren zur Berücksichtigung der wichtigsten nachteiligen Auswirkungen bei der Versicherungsberatung bzw. bei der Anlageberatung [</w:t>
            </w:r>
            <w:r w:rsidRPr="00F63B01">
              <w:rPr>
                <w:i/>
              </w:rPr>
              <w:t>Art. 11 SFDR</w:t>
            </w:r>
            <w:r w:rsidR="00F63B01" w:rsidRPr="00F63B01">
              <w:rPr>
                <w:i/>
              </w:rPr>
              <w:t>-RTS</w:t>
            </w:r>
            <w:r>
              <w:t>].</w:t>
            </w:r>
          </w:p>
          <w:p w14:paraId="71865A87" w14:textId="77777777" w:rsidR="00637E72" w:rsidRDefault="00637E72" w:rsidP="00637E72">
            <w:pPr>
              <w:pStyle w:val="FormatvorlageLinks0cm"/>
              <w:spacing w:before="120"/>
              <w:rPr>
                <w:lang w:val="de-CH"/>
              </w:rPr>
            </w:pPr>
            <w:r>
              <w:rPr>
                <w:lang w:val="de-CH"/>
              </w:rPr>
              <w:t>Dabei beurteilt und beschreibt sie insbesondere die Angemessenheit:</w:t>
            </w:r>
          </w:p>
          <w:p w14:paraId="4A4BD7F7" w14:textId="1CBE0491" w:rsidR="00637E72" w:rsidRDefault="00637E72" w:rsidP="00637E72">
            <w:pPr>
              <w:pStyle w:val="FormatvorlageLinks0cm"/>
              <w:numPr>
                <w:ilvl w:val="0"/>
                <w:numId w:val="23"/>
              </w:numPr>
              <w:rPr>
                <w:lang w:val="de-CH"/>
              </w:rPr>
            </w:pPr>
            <w:r>
              <w:rPr>
                <w:lang w:val="de-CH"/>
              </w:rPr>
              <w:t xml:space="preserve">der Verfahren zur Erhebung und Auswertung relevanter Informationen für die Berücksichtigung der </w:t>
            </w:r>
            <w:r w:rsidRPr="00B11BCA">
              <w:rPr>
                <w:lang w:val="de-CH"/>
              </w:rPr>
              <w:t>wichtigsten nachteiligen Auswirkungen auf Nachhaltigkeitsfaktoren</w:t>
            </w:r>
            <w:r>
              <w:rPr>
                <w:lang w:val="de-CH"/>
              </w:rPr>
              <w:t xml:space="preserve"> [</w:t>
            </w:r>
            <w:r w:rsidRPr="00F63B01">
              <w:rPr>
                <w:i/>
                <w:lang w:val="de-CH"/>
              </w:rPr>
              <w:t xml:space="preserve">Art. 11 Abs. </w:t>
            </w:r>
            <w:r w:rsidR="00C57D15">
              <w:rPr>
                <w:i/>
                <w:lang w:val="de-CH"/>
              </w:rPr>
              <w:t>3</w:t>
            </w:r>
            <w:r w:rsidR="00C57D15" w:rsidRPr="00F63B01">
              <w:rPr>
                <w:i/>
                <w:lang w:val="de-CH"/>
              </w:rPr>
              <w:t xml:space="preserve"> </w:t>
            </w:r>
            <w:r w:rsidRPr="00F63B01">
              <w:rPr>
                <w:i/>
                <w:lang w:val="de-CH"/>
              </w:rPr>
              <w:t>Bst. a SFDR</w:t>
            </w:r>
            <w:r w:rsidR="00F63B01" w:rsidRPr="00F63B01">
              <w:rPr>
                <w:i/>
                <w:lang w:val="de-CH"/>
              </w:rPr>
              <w:t>-RTS</w:t>
            </w:r>
            <w:r>
              <w:rPr>
                <w:lang w:val="de-CH"/>
              </w:rPr>
              <w:t>].</w:t>
            </w:r>
          </w:p>
          <w:p w14:paraId="5AA9005C" w14:textId="40C1E35A" w:rsidR="00637E72" w:rsidRPr="00B11BCA" w:rsidRDefault="00637E72" w:rsidP="00637E72">
            <w:pPr>
              <w:pStyle w:val="FormatvorlageLinks0cm"/>
              <w:numPr>
                <w:ilvl w:val="0"/>
                <w:numId w:val="23"/>
              </w:numPr>
              <w:rPr>
                <w:lang w:val="de-CH"/>
              </w:rPr>
            </w:pPr>
            <w:r>
              <w:rPr>
                <w:lang w:val="de-CH"/>
              </w:rPr>
              <w:t xml:space="preserve">allfälliger </w:t>
            </w:r>
            <w:r w:rsidRPr="00B11BCA">
              <w:rPr>
                <w:lang w:val="de-CH"/>
              </w:rPr>
              <w:t>verwendete</w:t>
            </w:r>
            <w:r>
              <w:rPr>
                <w:lang w:val="de-CH"/>
              </w:rPr>
              <w:t>r</w:t>
            </w:r>
            <w:r w:rsidRPr="00B11BCA">
              <w:rPr>
                <w:lang w:val="de-CH"/>
              </w:rPr>
              <w:t xml:space="preserve"> Einstufungs- und Auswahlmethode</w:t>
            </w:r>
            <w:r>
              <w:rPr>
                <w:lang w:val="de-CH"/>
              </w:rPr>
              <w:t xml:space="preserve">n für Finanzprodukte anhand von </w:t>
            </w:r>
            <w:r w:rsidRPr="00B11BCA">
              <w:rPr>
                <w:lang w:val="de-CH"/>
              </w:rPr>
              <w:t>Indikatoren</w:t>
            </w:r>
            <w:r>
              <w:rPr>
                <w:lang w:val="de-CH"/>
              </w:rPr>
              <w:t xml:space="preserve"> gemäss </w:t>
            </w:r>
            <w:r>
              <w:t xml:space="preserve">Anhang I, Tabelle 1 </w:t>
            </w:r>
            <w:r w:rsidR="00F63B01">
              <w:t>SFDR-RTS</w:t>
            </w:r>
            <w:r>
              <w:t xml:space="preserve"> [</w:t>
            </w:r>
            <w:r w:rsidRPr="00F63B01">
              <w:rPr>
                <w:i/>
                <w:lang w:val="de-CH"/>
              </w:rPr>
              <w:t>Art. 11 Abs</w:t>
            </w:r>
            <w:r w:rsidR="00F63B01" w:rsidRPr="00F63B01">
              <w:rPr>
                <w:i/>
                <w:lang w:val="de-CH"/>
              </w:rPr>
              <w:t>.</w:t>
            </w:r>
            <w:r w:rsidRPr="00F63B01">
              <w:rPr>
                <w:i/>
                <w:lang w:val="de-CH"/>
              </w:rPr>
              <w:t xml:space="preserve"> </w:t>
            </w:r>
            <w:r w:rsidR="00C57D15">
              <w:rPr>
                <w:i/>
                <w:lang w:val="de-CH"/>
              </w:rPr>
              <w:t>3</w:t>
            </w:r>
            <w:r w:rsidR="00C57D15" w:rsidRPr="00F63B01">
              <w:rPr>
                <w:i/>
                <w:lang w:val="de-CH"/>
              </w:rPr>
              <w:t xml:space="preserve"> </w:t>
            </w:r>
            <w:r w:rsidRPr="00F63B01">
              <w:rPr>
                <w:i/>
                <w:lang w:val="de-CH"/>
              </w:rPr>
              <w:t xml:space="preserve">Bst. b </w:t>
            </w:r>
            <w:r w:rsidR="00F63B01" w:rsidRPr="00F63B01">
              <w:rPr>
                <w:i/>
                <w:lang w:val="de-CH"/>
              </w:rPr>
              <w:t>SFDR-RTS</w:t>
            </w:r>
            <w:r>
              <w:t>].</w:t>
            </w:r>
          </w:p>
          <w:p w14:paraId="207FBD43" w14:textId="693BC1C5" w:rsidR="00637E72" w:rsidRPr="00B11BCA" w:rsidRDefault="00637E72" w:rsidP="00637E72">
            <w:pPr>
              <w:pStyle w:val="FormatvorlageLinks0cm"/>
              <w:numPr>
                <w:ilvl w:val="0"/>
                <w:numId w:val="23"/>
              </w:numPr>
              <w:rPr>
                <w:lang w:val="de-CH"/>
              </w:rPr>
            </w:pPr>
            <w:r w:rsidRPr="008F1333">
              <w:rPr>
                <w:lang w:val="de-CH"/>
              </w:rPr>
              <w:t>allfälliger Kriterien oder Schwellenwerte</w:t>
            </w:r>
            <w:r>
              <w:t xml:space="preserve"> </w:t>
            </w:r>
            <w:r w:rsidRPr="008F1333">
              <w:rPr>
                <w:lang w:val="de-CH"/>
              </w:rPr>
              <w:t xml:space="preserve">auf der Grundlage </w:t>
            </w:r>
            <w:r>
              <w:rPr>
                <w:lang w:val="de-CH"/>
              </w:rPr>
              <w:t>der</w:t>
            </w:r>
            <w:r w:rsidRPr="008F1333">
              <w:rPr>
                <w:lang w:val="de-CH"/>
              </w:rPr>
              <w:t xml:space="preserve"> wichtigsten nachteiligen Auswirkungen, die bei der Auswahl von Finanzprodukten oder der Beratung</w:t>
            </w:r>
            <w:r>
              <w:rPr>
                <w:lang w:val="de-CH"/>
              </w:rPr>
              <w:t xml:space="preserve"> </w:t>
            </w:r>
            <w:r w:rsidRPr="008F1333">
              <w:rPr>
                <w:lang w:val="de-CH"/>
              </w:rPr>
              <w:t>zu diesen Produkten verwendet werden</w:t>
            </w:r>
            <w:r>
              <w:rPr>
                <w:lang w:val="de-CH"/>
              </w:rPr>
              <w:t xml:space="preserve"> </w:t>
            </w:r>
            <w:r>
              <w:t>[</w:t>
            </w:r>
            <w:r w:rsidRPr="00F63B01">
              <w:rPr>
                <w:i/>
                <w:lang w:val="de-CH"/>
              </w:rPr>
              <w:t>Art. 11 Abs</w:t>
            </w:r>
            <w:r w:rsidR="00F63B01" w:rsidRPr="00F63B01">
              <w:rPr>
                <w:i/>
                <w:lang w:val="de-CH"/>
              </w:rPr>
              <w:t>.</w:t>
            </w:r>
            <w:r w:rsidRPr="00F63B01">
              <w:rPr>
                <w:i/>
                <w:lang w:val="de-CH"/>
              </w:rPr>
              <w:t xml:space="preserve"> </w:t>
            </w:r>
            <w:r w:rsidR="00793720">
              <w:rPr>
                <w:i/>
                <w:lang w:val="de-CH"/>
              </w:rPr>
              <w:t>3</w:t>
            </w:r>
            <w:r w:rsidR="00793720" w:rsidRPr="00F63B01">
              <w:rPr>
                <w:i/>
                <w:lang w:val="de-CH"/>
              </w:rPr>
              <w:t xml:space="preserve"> </w:t>
            </w:r>
            <w:r w:rsidRPr="00F63B01">
              <w:rPr>
                <w:i/>
                <w:lang w:val="de-CH"/>
              </w:rPr>
              <w:t xml:space="preserve">Bst. c </w:t>
            </w:r>
            <w:r w:rsidR="00F63B01" w:rsidRPr="00F63B01">
              <w:rPr>
                <w:i/>
                <w:lang w:val="de-CH"/>
              </w:rPr>
              <w:t>S</w:t>
            </w:r>
            <w:r w:rsidRPr="00F63B01">
              <w:rPr>
                <w:i/>
                <w:lang w:val="de-CH"/>
              </w:rPr>
              <w:t>FDR</w:t>
            </w:r>
            <w:r w:rsidR="00F63B01" w:rsidRPr="00F63B01">
              <w:rPr>
                <w:i/>
                <w:lang w:val="de-CH"/>
              </w:rPr>
              <w:t>-RTS</w:t>
            </w:r>
            <w:r>
              <w:t>].</w:t>
            </w:r>
          </w:p>
          <w:p w14:paraId="5F8C8622" w14:textId="77777777" w:rsidR="00637E72" w:rsidRDefault="00637E72" w:rsidP="00637E72">
            <w:pPr>
              <w:pStyle w:val="FormatvorlageLinks0cm"/>
              <w:ind w:left="720"/>
              <w:rPr>
                <w:lang w:val="de-CH"/>
              </w:rPr>
            </w:pPr>
          </w:p>
          <w:p w14:paraId="2D02BB8A" w14:textId="7407DE79" w:rsidR="00637E72" w:rsidRDefault="00637E72" w:rsidP="00637E72">
            <w:pPr>
              <w:pStyle w:val="FormatvorlageLinks0cm"/>
              <w:rPr>
                <w:lang w:val="de-CH"/>
              </w:rPr>
            </w:pPr>
            <w:r>
              <w:rPr>
                <w:lang w:val="de-CH"/>
              </w:rPr>
              <w:t xml:space="preserve">Des Weiteren prüft die Revisionsstelle die Angemessenheit der zuletzt veröffentlichten </w:t>
            </w:r>
            <w:r w:rsidRPr="00963309">
              <w:rPr>
                <w:lang w:val="de-CH"/>
              </w:rPr>
              <w:t>Erklärung zu den wichtigsten nachteiligen Auswirkungen auf Nachhaltigkeitsfaktoren</w:t>
            </w:r>
            <w:r>
              <w:rPr>
                <w:lang w:val="de-CH"/>
              </w:rPr>
              <w:t xml:space="preserve"> </w:t>
            </w:r>
            <w:r>
              <w:t>bei der Versicherungsberatung</w:t>
            </w:r>
            <w:r>
              <w:rPr>
                <w:lang w:val="de-CH"/>
              </w:rPr>
              <w:t xml:space="preserve"> bzw. bei </w:t>
            </w:r>
            <w:r>
              <w:t>der Anlageberatung</w:t>
            </w:r>
            <w:r>
              <w:rPr>
                <w:lang w:val="de-CH"/>
              </w:rPr>
              <w:t xml:space="preserve"> [</w:t>
            </w:r>
            <w:r w:rsidRPr="00F63B01">
              <w:rPr>
                <w:i/>
                <w:lang w:val="de-CH"/>
              </w:rPr>
              <w:t>Art. 11 Abs. 1 und Abs. 2 SFDR</w:t>
            </w:r>
            <w:r w:rsidR="00F63B01" w:rsidRPr="00F63B01">
              <w:rPr>
                <w:i/>
                <w:lang w:val="de-CH"/>
              </w:rPr>
              <w:noBreakHyphen/>
              <w:t>RTS</w:t>
            </w:r>
            <w:r>
              <w:rPr>
                <w:lang w:val="de-CH"/>
              </w:rPr>
              <w:t>].</w:t>
            </w:r>
          </w:p>
          <w:p w14:paraId="5CE17A44" w14:textId="77777777" w:rsidR="00637E72" w:rsidRPr="00832EFD" w:rsidRDefault="00637E72" w:rsidP="00637E72">
            <w:pPr>
              <w:pStyle w:val="FormatvorlageLinks0cm"/>
              <w:spacing w:before="120"/>
              <w:rPr>
                <w:lang w:val="de-CH"/>
              </w:rPr>
            </w:pPr>
            <w:r w:rsidRPr="00832EFD">
              <w:rPr>
                <w:lang w:val="de-CH"/>
              </w:rPr>
              <w:t>Hierzu bildet sie sich insbesondere ein Urteil über die nachfolgenden Aspekte:</w:t>
            </w:r>
          </w:p>
          <w:p w14:paraId="511C7A70" w14:textId="52B65F6A" w:rsidR="00637E72" w:rsidRPr="00832EFD" w:rsidRDefault="00637E72" w:rsidP="00637E72">
            <w:pPr>
              <w:pStyle w:val="FormatvorlageLinks0cm"/>
              <w:numPr>
                <w:ilvl w:val="0"/>
                <w:numId w:val="19"/>
              </w:numPr>
              <w:rPr>
                <w:lang w:val="de-CH"/>
              </w:rPr>
            </w:pPr>
            <w:r w:rsidRPr="00832EFD">
              <w:rPr>
                <w:lang w:val="de-CH"/>
              </w:rPr>
              <w:t>Die Offenlegung steht im Einklang mit den allgemeinen Grundsätzen für die Darstellung von Informationen [</w:t>
            </w:r>
            <w:r w:rsidRPr="00E77E1F">
              <w:rPr>
                <w:i/>
                <w:lang w:val="de-CH"/>
              </w:rPr>
              <w:t>Art. 2 SFDR</w:t>
            </w:r>
            <w:r w:rsidR="00E77E1F" w:rsidRPr="00E77E1F">
              <w:rPr>
                <w:i/>
                <w:lang w:val="de-CH"/>
              </w:rPr>
              <w:t>-RTS</w:t>
            </w:r>
            <w:r w:rsidRPr="00832EFD">
              <w:rPr>
                <w:lang w:val="de-CH"/>
              </w:rPr>
              <w:t>].</w:t>
            </w:r>
          </w:p>
          <w:p w14:paraId="7F653471" w14:textId="0D17A75B" w:rsidR="00E77E1F" w:rsidRDefault="00637E72" w:rsidP="00637E72">
            <w:pPr>
              <w:pStyle w:val="FormatvorlageLinks0cm"/>
              <w:numPr>
                <w:ilvl w:val="0"/>
                <w:numId w:val="19"/>
              </w:numPr>
              <w:rPr>
                <w:lang w:val="de-CH"/>
              </w:rPr>
            </w:pPr>
            <w:r w:rsidRPr="00832EFD">
              <w:rPr>
                <w:lang w:val="de-CH"/>
              </w:rPr>
              <w:t xml:space="preserve">Die Veröffentlichung erfolgte unter Angabe des vorgegebenen Titels im vorgegebenen Abschnitt auf der </w:t>
            </w:r>
            <w:r w:rsidR="002115EF">
              <w:rPr>
                <w:lang w:val="de-CH"/>
              </w:rPr>
              <w:t>Internet</w:t>
            </w:r>
            <w:r w:rsidRPr="00832EFD">
              <w:rPr>
                <w:lang w:val="de-CH"/>
              </w:rPr>
              <w:t>seite [</w:t>
            </w:r>
            <w:r w:rsidRPr="00E77E1F">
              <w:rPr>
                <w:i/>
                <w:lang w:val="de-CH"/>
              </w:rPr>
              <w:t>Art. 11 Abs. 1 und Abs. 2 SFDR</w:t>
            </w:r>
            <w:r w:rsidR="00E77E1F" w:rsidRPr="00E77E1F">
              <w:rPr>
                <w:i/>
                <w:lang w:val="de-CH"/>
              </w:rPr>
              <w:t>-RTS</w:t>
            </w:r>
            <w:r w:rsidRPr="00832EFD">
              <w:rPr>
                <w:lang w:val="de-CH"/>
              </w:rPr>
              <w:t>].</w:t>
            </w:r>
          </w:p>
          <w:p w14:paraId="66B288A9" w14:textId="1003DDEB" w:rsidR="00637E72" w:rsidRPr="00E77E1F" w:rsidRDefault="00637E72" w:rsidP="00637E72">
            <w:pPr>
              <w:pStyle w:val="FormatvorlageLinks0cm"/>
              <w:numPr>
                <w:ilvl w:val="0"/>
                <w:numId w:val="19"/>
              </w:numPr>
              <w:rPr>
                <w:lang w:val="de-CH"/>
              </w:rPr>
            </w:pPr>
            <w:r w:rsidRPr="00E77E1F">
              <w:rPr>
                <w:lang w:val="de-CH"/>
              </w:rPr>
              <w:t>Die Angaben in der Erklärung</w:t>
            </w:r>
            <w:r w:rsidRPr="00832EFD">
              <w:t xml:space="preserve"> </w:t>
            </w:r>
            <w:r w:rsidRPr="00E77E1F">
              <w:rPr>
                <w:lang w:val="de-CH"/>
              </w:rPr>
              <w:t>stehen im Einklang mit den implementierten Prozessen und einschlägigen Weisungen.</w:t>
            </w:r>
          </w:p>
        </w:tc>
      </w:tr>
    </w:tbl>
    <w:p w14:paraId="60C45159" w14:textId="018F219C" w:rsidR="00CC1AC7" w:rsidRDefault="00CC1AC7" w:rsidP="00BF3617">
      <w:pPr>
        <w:pStyle w:val="berschrift2"/>
        <w:spacing w:line="240" w:lineRule="auto"/>
      </w:pPr>
      <w:bookmarkStart w:id="63" w:name="_Toc525108274"/>
      <w:bookmarkStart w:id="64" w:name="_Toc525108489"/>
      <w:bookmarkStart w:id="65" w:name="_Toc525108704"/>
      <w:bookmarkStart w:id="66" w:name="_Toc525108912"/>
      <w:bookmarkStart w:id="67" w:name="_Toc525109102"/>
      <w:bookmarkStart w:id="68" w:name="_Toc525109284"/>
      <w:bookmarkStart w:id="69" w:name="_Toc525114655"/>
      <w:bookmarkStart w:id="70" w:name="_Toc525114835"/>
      <w:bookmarkStart w:id="71" w:name="_Toc525116223"/>
      <w:bookmarkStart w:id="72" w:name="_Toc525133303"/>
      <w:bookmarkStart w:id="73" w:name="_Toc525142977"/>
      <w:bookmarkStart w:id="74" w:name="_Toc526779419"/>
      <w:bookmarkStart w:id="75" w:name="_Toc526779631"/>
      <w:bookmarkStart w:id="76" w:name="_Toc526780101"/>
      <w:bookmarkStart w:id="77" w:name="_Toc526779420"/>
      <w:bookmarkStart w:id="78" w:name="_Toc526779632"/>
      <w:bookmarkStart w:id="79" w:name="_Toc526780102"/>
      <w:bookmarkStart w:id="80" w:name="_Toc18524152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D12445">
        <w:lastRenderedPageBreak/>
        <w:t>Erklärung zur Nicht-Berücksichtigung nachteiliger Auswirkungen auf Nachhaltigkeitsfaktoren</w:t>
      </w:r>
      <w:bookmarkEnd w:id="80"/>
    </w:p>
    <w:tbl>
      <w:tblPr>
        <w:tblW w:w="0" w:type="auto"/>
        <w:tblInd w:w="817" w:type="dxa"/>
        <w:tblLook w:val="01E0" w:firstRow="1" w:lastRow="1" w:firstColumn="1" w:lastColumn="1" w:noHBand="0" w:noVBand="0"/>
      </w:tblPr>
      <w:tblGrid>
        <w:gridCol w:w="2301"/>
        <w:gridCol w:w="5380"/>
        <w:gridCol w:w="4531"/>
      </w:tblGrid>
      <w:tr w:rsidR="00637E72" w:rsidRPr="00D12445" w14:paraId="6803CFDF" w14:textId="77777777" w:rsidTr="00637E72">
        <w:tc>
          <w:tcPr>
            <w:tcW w:w="2302" w:type="dxa"/>
            <w:tcBorders>
              <w:top w:val="single" w:sz="4" w:space="0" w:color="auto"/>
              <w:left w:val="single" w:sz="4" w:space="0" w:color="auto"/>
            </w:tcBorders>
            <w:shd w:val="clear" w:color="auto" w:fill="auto"/>
          </w:tcPr>
          <w:p w14:paraId="31175FAC" w14:textId="77777777" w:rsidR="00637E72" w:rsidRPr="00ED6629" w:rsidRDefault="00637E72" w:rsidP="00637E72">
            <w:pPr>
              <w:pStyle w:val="FormatvorlageLinks0cm"/>
              <w:spacing w:before="120" w:after="120"/>
              <w:rPr>
                <w:b/>
                <w:lang w:val="de-CH"/>
              </w:rPr>
            </w:pPr>
            <w:r w:rsidRPr="00ED6629">
              <w:rPr>
                <w:b/>
                <w:lang w:val="de-CH"/>
              </w:rPr>
              <w:t>Anwendungsbereich</w:t>
            </w:r>
          </w:p>
        </w:tc>
        <w:tc>
          <w:tcPr>
            <w:tcW w:w="5386" w:type="dxa"/>
            <w:tcBorders>
              <w:top w:val="single" w:sz="4" w:space="0" w:color="auto"/>
            </w:tcBorders>
            <w:shd w:val="clear" w:color="auto" w:fill="auto"/>
          </w:tcPr>
          <w:p w14:paraId="4106E39A" w14:textId="5254EE9E" w:rsidR="00637E72" w:rsidRPr="00ED6629" w:rsidRDefault="00637E72" w:rsidP="00637E72">
            <w:pPr>
              <w:pStyle w:val="FormatvorlageLinks0cm"/>
              <w:spacing w:before="120" w:after="120"/>
              <w:jc w:val="center"/>
              <w:rPr>
                <w:b/>
                <w:lang w:val="de-CH"/>
              </w:rPr>
            </w:pPr>
            <w:r w:rsidRPr="00ED6629">
              <w:rPr>
                <w:lang w:val="de-CH"/>
              </w:rPr>
              <w:t>Finanzmarktteilnehmer</w:t>
            </w:r>
          </w:p>
        </w:tc>
        <w:tc>
          <w:tcPr>
            <w:tcW w:w="4536" w:type="dxa"/>
            <w:tcBorders>
              <w:top w:val="single" w:sz="4" w:space="0" w:color="auto"/>
              <w:right w:val="single" w:sz="4" w:space="0" w:color="auto"/>
            </w:tcBorders>
            <w:shd w:val="clear" w:color="auto" w:fill="auto"/>
          </w:tcPr>
          <w:p w14:paraId="6A876A3F" w14:textId="417C73C8" w:rsidR="00637E72" w:rsidRPr="00ED6629" w:rsidRDefault="00637E72" w:rsidP="00637E72">
            <w:pPr>
              <w:pStyle w:val="FormatvorlageLinks0cm"/>
              <w:spacing w:before="120" w:after="120"/>
              <w:jc w:val="center"/>
              <w:rPr>
                <w:b/>
                <w:lang w:val="de-CH"/>
              </w:rPr>
            </w:pPr>
            <w:r>
              <w:rPr>
                <w:lang w:val="de-CH"/>
              </w:rPr>
              <w:t>Finanzberater</w:t>
            </w:r>
          </w:p>
        </w:tc>
      </w:tr>
      <w:tr w:rsidR="00637E72" w:rsidRPr="00D12445" w14:paraId="2E19AA31" w14:textId="77777777" w:rsidTr="00637E72">
        <w:tc>
          <w:tcPr>
            <w:tcW w:w="2302" w:type="dxa"/>
            <w:tcBorders>
              <w:left w:val="single" w:sz="4" w:space="0" w:color="auto"/>
              <w:bottom w:val="single" w:sz="4" w:space="0" w:color="auto"/>
            </w:tcBorders>
            <w:shd w:val="clear" w:color="auto" w:fill="auto"/>
            <w:vAlign w:val="center"/>
          </w:tcPr>
          <w:p w14:paraId="705104D4" w14:textId="77777777" w:rsidR="00637E72" w:rsidRPr="00ED6629" w:rsidRDefault="00637E72" w:rsidP="00637E72">
            <w:pPr>
              <w:pStyle w:val="FormatvorlageLinks0cm"/>
              <w:spacing w:after="120"/>
              <w:rPr>
                <w:b/>
                <w:lang w:val="de-CH"/>
              </w:rPr>
            </w:pPr>
          </w:p>
        </w:tc>
        <w:tc>
          <w:tcPr>
            <w:tcW w:w="5386" w:type="dxa"/>
            <w:tcBorders>
              <w:bottom w:val="single" w:sz="4" w:space="0" w:color="auto"/>
            </w:tcBorders>
            <w:shd w:val="clear" w:color="auto" w:fill="auto"/>
            <w:vAlign w:val="center"/>
          </w:tcPr>
          <w:p w14:paraId="6F331C11" w14:textId="779804CA" w:rsidR="00637E72" w:rsidRPr="00637E72" w:rsidRDefault="001722BF" w:rsidP="00637E72">
            <w:pPr>
              <w:pStyle w:val="FormatvorlageLinks0cm"/>
              <w:spacing w:after="120"/>
              <w:jc w:val="center"/>
              <w:rPr>
                <w:sz w:val="24"/>
                <w:lang w:val="de-CH"/>
              </w:rPr>
            </w:pPr>
            <w:sdt>
              <w:sdtPr>
                <w:rPr>
                  <w:rFonts w:ascii="MS Gothic" w:eastAsia="MS Gothic" w:hAnsi="MS Gothic"/>
                  <w:sz w:val="24"/>
                </w:rPr>
                <w:id w:val="97151636"/>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c>
          <w:tcPr>
            <w:tcW w:w="4536" w:type="dxa"/>
            <w:tcBorders>
              <w:bottom w:val="single" w:sz="4" w:space="0" w:color="auto"/>
              <w:right w:val="single" w:sz="4" w:space="0" w:color="auto"/>
            </w:tcBorders>
            <w:shd w:val="clear" w:color="auto" w:fill="auto"/>
          </w:tcPr>
          <w:p w14:paraId="16C8BD7A" w14:textId="094CC24E" w:rsidR="00637E72" w:rsidRPr="00637E72" w:rsidRDefault="001722BF" w:rsidP="00637E72">
            <w:pPr>
              <w:pStyle w:val="FormatvorlageLinks0cm"/>
              <w:spacing w:after="120"/>
              <w:jc w:val="center"/>
              <w:rPr>
                <w:sz w:val="24"/>
                <w:lang w:val="de-CH"/>
              </w:rPr>
            </w:pPr>
            <w:sdt>
              <w:sdtPr>
                <w:rPr>
                  <w:rFonts w:ascii="MS Gothic" w:eastAsia="MS Gothic" w:hAnsi="MS Gothic"/>
                  <w:sz w:val="24"/>
                </w:rPr>
                <w:id w:val="53668715"/>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r>
      <w:tr w:rsidR="00366015" w:rsidRPr="00D12445" w14:paraId="07796BD2" w14:textId="77777777" w:rsidTr="00637E72">
        <w:tc>
          <w:tcPr>
            <w:tcW w:w="12224" w:type="dxa"/>
            <w:gridSpan w:val="3"/>
            <w:tcBorders>
              <w:top w:val="single" w:sz="4" w:space="0" w:color="auto"/>
            </w:tcBorders>
            <w:shd w:val="clear" w:color="auto" w:fill="auto"/>
          </w:tcPr>
          <w:p w14:paraId="0CA094CE" w14:textId="77777777" w:rsidR="00366015" w:rsidRDefault="00366015" w:rsidP="00086672">
            <w:pPr>
              <w:pStyle w:val="FormatvorlageLinks0cm"/>
              <w:jc w:val="center"/>
              <w:rPr>
                <w:lang w:val="de-CH"/>
              </w:rPr>
            </w:pPr>
          </w:p>
        </w:tc>
      </w:tr>
      <w:tr w:rsidR="00366015" w:rsidRPr="00D12445" w14:paraId="621B2EE7" w14:textId="77777777" w:rsidTr="00086672">
        <w:tc>
          <w:tcPr>
            <w:tcW w:w="12224" w:type="dxa"/>
            <w:gridSpan w:val="3"/>
            <w:shd w:val="clear" w:color="auto" w:fill="auto"/>
          </w:tcPr>
          <w:p w14:paraId="737A60C3" w14:textId="259FF2D0" w:rsidR="00366015" w:rsidRPr="00D12445" w:rsidRDefault="00366015" w:rsidP="00366015">
            <w:pPr>
              <w:pStyle w:val="FormatvorlageLinks0cm"/>
              <w:spacing w:after="120"/>
              <w:rPr>
                <w:lang w:val="de-CH"/>
              </w:rPr>
            </w:pPr>
            <w:r w:rsidRPr="00D12445">
              <w:rPr>
                <w:lang w:val="de-CH"/>
              </w:rPr>
              <w:t xml:space="preserve">Sofern einschlägig prüft die Revisionsstelle die Angemessenheit der Offenlegung nach Art. 4 Abs. 1 Bst. b </w:t>
            </w:r>
            <w:r w:rsidR="00832EFD">
              <w:rPr>
                <w:lang w:val="de-CH"/>
              </w:rPr>
              <w:t>bzw. Abs. 5 Bst. b</w:t>
            </w:r>
            <w:r w:rsidR="00134606">
              <w:rPr>
                <w:lang w:val="de-CH"/>
              </w:rPr>
              <w:t xml:space="preserve"> </w:t>
            </w:r>
            <w:r w:rsidR="00E77E1F">
              <w:rPr>
                <w:lang w:val="de-CH"/>
              </w:rPr>
              <w:t>SFDR</w:t>
            </w:r>
            <w:r w:rsidRPr="00D12445">
              <w:rPr>
                <w:lang w:val="de-CH"/>
              </w:rPr>
              <w:t>.</w:t>
            </w:r>
          </w:p>
          <w:p w14:paraId="2D2EC119" w14:textId="77777777" w:rsidR="00E77E1F" w:rsidRDefault="00366015" w:rsidP="00366015">
            <w:pPr>
              <w:pStyle w:val="FormatvorlageLinks0cm"/>
              <w:spacing w:after="120"/>
              <w:rPr>
                <w:lang w:val="de-CH"/>
              </w:rPr>
            </w:pPr>
            <w:r w:rsidRPr="00D12445">
              <w:rPr>
                <w:lang w:val="de-CH"/>
              </w:rPr>
              <w:t>Dabei würdigt sie kritisch die angegebenen Gründe für die Nichtberücksichtigung nachteiliger Auswirkungen auf Nachhaltigkeitsfaktoren, sowie gegebenenfalls der Informationen darüber, ob und wann beabsichtigt wird, solche nachteiligen Auswirkungen zu berücksichtigen [</w:t>
            </w:r>
            <w:r w:rsidRPr="00E77E1F">
              <w:rPr>
                <w:i/>
                <w:lang w:val="de-CH"/>
              </w:rPr>
              <w:t>Art. 4 Abs. 1 Bst. b</w:t>
            </w:r>
            <w:r w:rsidR="00832EFD" w:rsidRPr="00E77E1F">
              <w:rPr>
                <w:i/>
                <w:lang w:val="de-CH"/>
              </w:rPr>
              <w:t xml:space="preserve">, Art. 4 Abs. 5 Bst. b </w:t>
            </w:r>
            <w:r w:rsidRPr="00E77E1F">
              <w:rPr>
                <w:i/>
                <w:lang w:val="de-CH"/>
              </w:rPr>
              <w:t>SFDR</w:t>
            </w:r>
            <w:r w:rsidRPr="00D12445">
              <w:rPr>
                <w:lang w:val="de-CH"/>
              </w:rPr>
              <w:t xml:space="preserve">]. </w:t>
            </w:r>
          </w:p>
          <w:p w14:paraId="38DF082F" w14:textId="6B091770" w:rsidR="00366015" w:rsidRPr="00D12445" w:rsidRDefault="00366015" w:rsidP="00366015">
            <w:pPr>
              <w:pStyle w:val="FormatvorlageLinks0cm"/>
              <w:spacing w:after="120"/>
              <w:rPr>
                <w:lang w:val="de-CH"/>
              </w:rPr>
            </w:pPr>
            <w:r w:rsidRPr="00D12445">
              <w:rPr>
                <w:lang w:val="de-CH"/>
              </w:rPr>
              <w:t xml:space="preserve">Die Revisionsstelle überprüft, ob die Offenlegung auf der </w:t>
            </w:r>
            <w:r w:rsidR="002115EF">
              <w:rPr>
                <w:lang w:val="de-CH"/>
              </w:rPr>
              <w:t>Internet</w:t>
            </w:r>
            <w:r w:rsidRPr="00D12445">
              <w:rPr>
                <w:lang w:val="de-CH"/>
              </w:rPr>
              <w:t xml:space="preserve">seite und unter Angabe </w:t>
            </w:r>
            <w:r>
              <w:rPr>
                <w:lang w:val="de-CH"/>
              </w:rPr>
              <w:t>des</w:t>
            </w:r>
            <w:r w:rsidRPr="00D12445">
              <w:rPr>
                <w:lang w:val="de-CH"/>
              </w:rPr>
              <w:t xml:space="preserve"> </w:t>
            </w:r>
            <w:r>
              <w:rPr>
                <w:lang w:val="de-CH"/>
              </w:rPr>
              <w:t>vorgegebenen</w:t>
            </w:r>
            <w:r w:rsidRPr="00D12445">
              <w:rPr>
                <w:lang w:val="de-CH"/>
              </w:rPr>
              <w:t xml:space="preserve"> </w:t>
            </w:r>
            <w:r>
              <w:rPr>
                <w:lang w:val="de-CH"/>
              </w:rPr>
              <w:t>Titels</w:t>
            </w:r>
            <w:r w:rsidRPr="00D12445">
              <w:rPr>
                <w:lang w:val="de-CH"/>
              </w:rPr>
              <w:t xml:space="preserve"> veröffentlicht wurde [</w:t>
            </w:r>
            <w:r w:rsidRPr="00E77E1F">
              <w:rPr>
                <w:i/>
                <w:lang w:val="de-CH"/>
              </w:rPr>
              <w:t>Art.</w:t>
            </w:r>
            <w:r w:rsidR="00E77E1F" w:rsidRPr="00E77E1F">
              <w:rPr>
                <w:i/>
                <w:lang w:val="de-CH"/>
              </w:rPr>
              <w:t> </w:t>
            </w:r>
            <w:r w:rsidRPr="00E77E1F">
              <w:rPr>
                <w:i/>
                <w:lang w:val="de-CH"/>
              </w:rPr>
              <w:t>12</w:t>
            </w:r>
            <w:r w:rsidR="00083898">
              <w:rPr>
                <w:i/>
                <w:lang w:val="de-CH"/>
              </w:rPr>
              <w:t xml:space="preserve"> bzw. </w:t>
            </w:r>
            <w:r w:rsidRPr="00E77E1F">
              <w:rPr>
                <w:i/>
                <w:lang w:val="de-CH"/>
              </w:rPr>
              <w:t>13 SFDR</w:t>
            </w:r>
            <w:r w:rsidR="00E77E1F" w:rsidRPr="00E77E1F">
              <w:rPr>
                <w:i/>
                <w:lang w:val="de-CH"/>
              </w:rPr>
              <w:t>-RTS</w:t>
            </w:r>
            <w:r w:rsidRPr="00D12445">
              <w:rPr>
                <w:lang w:val="de-CH"/>
              </w:rPr>
              <w:t>] und ob diese den allgemeinen Grundsätzen für die Darstellung von Informationen genügt [</w:t>
            </w:r>
            <w:r w:rsidRPr="00E77E1F">
              <w:rPr>
                <w:i/>
                <w:lang w:val="de-CH"/>
              </w:rPr>
              <w:t xml:space="preserve">Art. 2 </w:t>
            </w:r>
            <w:r w:rsidR="00E77E1F" w:rsidRPr="00E77E1F">
              <w:rPr>
                <w:i/>
                <w:lang w:val="de-CH"/>
              </w:rPr>
              <w:t>S</w:t>
            </w:r>
            <w:r w:rsidRPr="00E77E1F">
              <w:rPr>
                <w:i/>
                <w:lang w:val="de-CH"/>
              </w:rPr>
              <w:t>FDR</w:t>
            </w:r>
            <w:r w:rsidR="00E77E1F" w:rsidRPr="00E77E1F">
              <w:rPr>
                <w:i/>
                <w:lang w:val="de-CH"/>
              </w:rPr>
              <w:t>-RTS</w:t>
            </w:r>
            <w:r w:rsidRPr="00D12445">
              <w:rPr>
                <w:lang w:val="de-CH"/>
              </w:rPr>
              <w:t>].</w:t>
            </w:r>
          </w:p>
          <w:p w14:paraId="591AB91E" w14:textId="4A10DC10" w:rsidR="00E77E1F" w:rsidRDefault="00366015" w:rsidP="00366015">
            <w:pPr>
              <w:pStyle w:val="FormatvorlageLinks0cm"/>
              <w:rPr>
                <w:lang w:val="de-CH"/>
              </w:rPr>
            </w:pPr>
            <w:r w:rsidRPr="00D12445">
              <w:rPr>
                <w:lang w:val="de-CH"/>
              </w:rPr>
              <w:t xml:space="preserve">Zudem prüft sie, dass die vorvertraglichen Informationen </w:t>
            </w:r>
            <w:r w:rsidR="00D64CDB">
              <w:rPr>
                <w:lang w:val="de-CH"/>
              </w:rPr>
              <w:t xml:space="preserve">der Finanzprodukte der Finanzmarktteilnehmer </w:t>
            </w:r>
            <w:r w:rsidRPr="00D12445">
              <w:rPr>
                <w:lang w:val="de-CH"/>
              </w:rPr>
              <w:t>die notwendige Erklärung und Begründung beinhalten [</w:t>
            </w:r>
            <w:r w:rsidRPr="00E77E1F">
              <w:rPr>
                <w:i/>
                <w:lang w:val="de-CH"/>
              </w:rPr>
              <w:t>Art. 7 Abs. 1 SFDR</w:t>
            </w:r>
            <w:r w:rsidRPr="00D12445">
              <w:rPr>
                <w:lang w:val="de-CH"/>
              </w:rPr>
              <w:t>]</w:t>
            </w:r>
            <w:r>
              <w:rPr>
                <w:lang w:val="de-CH"/>
              </w:rPr>
              <w:t>.</w:t>
            </w:r>
          </w:p>
          <w:p w14:paraId="082DDA45" w14:textId="2FF80669" w:rsidR="00E77E1F" w:rsidRPr="00832EFD" w:rsidRDefault="00E77E1F" w:rsidP="00366015">
            <w:pPr>
              <w:pStyle w:val="FormatvorlageLinks0cm"/>
              <w:rPr>
                <w:lang w:val="de-CH"/>
              </w:rPr>
            </w:pPr>
          </w:p>
        </w:tc>
      </w:tr>
    </w:tbl>
    <w:p w14:paraId="7F1C899C" w14:textId="04D81578" w:rsidR="00271484" w:rsidRDefault="00271484" w:rsidP="00271484">
      <w:pPr>
        <w:pStyle w:val="berschrift1"/>
        <w:numPr>
          <w:ilvl w:val="0"/>
          <w:numId w:val="0"/>
        </w:numPr>
        <w:spacing w:line="240" w:lineRule="auto"/>
        <w:ind w:left="709"/>
      </w:pPr>
      <w:bookmarkStart w:id="81" w:name="_Toc525108284"/>
      <w:bookmarkStart w:id="82" w:name="_Toc525108499"/>
      <w:bookmarkStart w:id="83" w:name="_Toc525108714"/>
      <w:bookmarkStart w:id="84" w:name="_Toc525108922"/>
      <w:bookmarkStart w:id="85" w:name="_Toc525109112"/>
      <w:bookmarkStart w:id="86" w:name="_Toc525109294"/>
      <w:bookmarkStart w:id="87" w:name="_Toc525114665"/>
      <w:bookmarkStart w:id="88" w:name="_Toc525114845"/>
      <w:bookmarkStart w:id="89" w:name="_Toc525116233"/>
      <w:bookmarkStart w:id="90" w:name="_Toc525133313"/>
      <w:bookmarkStart w:id="91" w:name="_Toc525142987"/>
      <w:bookmarkStart w:id="92" w:name="_Toc526779429"/>
      <w:bookmarkStart w:id="93" w:name="_Toc526779641"/>
      <w:bookmarkStart w:id="94" w:name="_Toc526780111"/>
      <w:bookmarkStart w:id="95" w:name="_Toc525108292"/>
      <w:bookmarkStart w:id="96" w:name="_Toc525108507"/>
      <w:bookmarkStart w:id="97" w:name="_Toc525108722"/>
      <w:bookmarkStart w:id="98" w:name="_Toc525108930"/>
      <w:bookmarkStart w:id="99" w:name="_Toc525109120"/>
      <w:bookmarkStart w:id="100" w:name="_Toc525109302"/>
      <w:bookmarkStart w:id="101" w:name="_Toc525114673"/>
      <w:bookmarkStart w:id="102" w:name="_Toc525114853"/>
      <w:bookmarkStart w:id="103" w:name="_Toc525116241"/>
      <w:bookmarkStart w:id="104" w:name="_Toc525133321"/>
      <w:bookmarkStart w:id="105" w:name="_Toc525142995"/>
      <w:bookmarkStart w:id="106" w:name="_Toc526779437"/>
      <w:bookmarkStart w:id="107" w:name="_Toc526779649"/>
      <w:bookmarkStart w:id="108" w:name="_Toc526780119"/>
      <w:bookmarkStart w:id="109" w:name="_Toc525108302"/>
      <w:bookmarkStart w:id="110" w:name="_Toc525108517"/>
      <w:bookmarkStart w:id="111" w:name="_Toc525108732"/>
      <w:bookmarkStart w:id="112" w:name="_Toc525108940"/>
      <w:bookmarkStart w:id="113" w:name="_Toc525109130"/>
      <w:bookmarkStart w:id="114" w:name="_Toc525109312"/>
      <w:bookmarkStart w:id="115" w:name="_Toc525114683"/>
      <w:bookmarkStart w:id="116" w:name="_Toc525114863"/>
      <w:bookmarkStart w:id="117" w:name="_Toc525116251"/>
      <w:bookmarkStart w:id="118" w:name="_Toc525133331"/>
      <w:bookmarkStart w:id="119" w:name="_Toc525143005"/>
      <w:bookmarkStart w:id="120" w:name="_Toc526779447"/>
      <w:bookmarkStart w:id="121" w:name="_Toc526779659"/>
      <w:bookmarkStart w:id="122" w:name="_Toc52678012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0BC505E" w14:textId="036413B3" w:rsidR="00271484" w:rsidRDefault="00271484" w:rsidP="00271484"/>
    <w:p w14:paraId="31545CB8" w14:textId="0C75DC82" w:rsidR="00271484" w:rsidRDefault="00271484" w:rsidP="00271484"/>
    <w:p w14:paraId="20991CA7" w14:textId="2CECF9B4" w:rsidR="00271484" w:rsidRDefault="00271484" w:rsidP="00271484"/>
    <w:p w14:paraId="1A34295D" w14:textId="5E238663" w:rsidR="00271484" w:rsidRDefault="00271484" w:rsidP="00271484"/>
    <w:p w14:paraId="13E7673F" w14:textId="2F70A937" w:rsidR="00271484" w:rsidRDefault="00271484" w:rsidP="00271484"/>
    <w:p w14:paraId="101867D8" w14:textId="13547A2D" w:rsidR="00271484" w:rsidRDefault="00271484" w:rsidP="00271484"/>
    <w:p w14:paraId="2ADFC65F" w14:textId="77777777" w:rsidR="00271484" w:rsidRPr="00916E73" w:rsidRDefault="00271484" w:rsidP="00077AB2"/>
    <w:p w14:paraId="456C7D3F" w14:textId="60C19FCE" w:rsidR="00B917F8" w:rsidRDefault="00B917F8" w:rsidP="00B917F8">
      <w:pPr>
        <w:pStyle w:val="berschrift1"/>
        <w:spacing w:line="240" w:lineRule="auto"/>
      </w:pPr>
      <w:bookmarkStart w:id="123" w:name="_Toc185241528"/>
      <w:r>
        <w:lastRenderedPageBreak/>
        <w:t>Nachhaltigkeitsbezogene Prozesse für Finanzprodukte</w:t>
      </w:r>
      <w:bookmarkEnd w:id="123"/>
    </w:p>
    <w:tbl>
      <w:tblPr>
        <w:tblW w:w="0" w:type="auto"/>
        <w:tblInd w:w="817" w:type="dxa"/>
        <w:tblLook w:val="01E0" w:firstRow="1" w:lastRow="1" w:firstColumn="1" w:lastColumn="1" w:noHBand="0" w:noVBand="0"/>
      </w:tblPr>
      <w:tblGrid>
        <w:gridCol w:w="2301"/>
        <w:gridCol w:w="5380"/>
        <w:gridCol w:w="4531"/>
      </w:tblGrid>
      <w:tr w:rsidR="00637E72" w:rsidRPr="00D12445" w14:paraId="76BED04B" w14:textId="77777777" w:rsidTr="00086672">
        <w:tc>
          <w:tcPr>
            <w:tcW w:w="2302" w:type="dxa"/>
            <w:tcBorders>
              <w:top w:val="single" w:sz="4" w:space="0" w:color="auto"/>
              <w:left w:val="single" w:sz="4" w:space="0" w:color="auto"/>
            </w:tcBorders>
            <w:shd w:val="clear" w:color="auto" w:fill="auto"/>
          </w:tcPr>
          <w:p w14:paraId="4EB9708F" w14:textId="77777777" w:rsidR="00637E72" w:rsidRPr="00ED6629" w:rsidRDefault="00637E72" w:rsidP="00086672">
            <w:pPr>
              <w:pStyle w:val="FormatvorlageLinks0cm"/>
              <w:spacing w:before="120" w:after="120"/>
              <w:rPr>
                <w:b/>
                <w:lang w:val="de-CH"/>
              </w:rPr>
            </w:pPr>
            <w:r w:rsidRPr="00ED6629">
              <w:rPr>
                <w:b/>
                <w:lang w:val="de-CH"/>
              </w:rPr>
              <w:t>Anwendungsbereich</w:t>
            </w:r>
          </w:p>
        </w:tc>
        <w:tc>
          <w:tcPr>
            <w:tcW w:w="5386" w:type="dxa"/>
            <w:tcBorders>
              <w:top w:val="single" w:sz="4" w:space="0" w:color="auto"/>
            </w:tcBorders>
            <w:shd w:val="clear" w:color="auto" w:fill="auto"/>
          </w:tcPr>
          <w:p w14:paraId="3B1FEB93" w14:textId="77777777" w:rsidR="00637E72" w:rsidRPr="00ED6629" w:rsidRDefault="00637E72" w:rsidP="00086672">
            <w:pPr>
              <w:pStyle w:val="FormatvorlageLinks0cm"/>
              <w:spacing w:before="120" w:after="120"/>
              <w:jc w:val="center"/>
              <w:rPr>
                <w:b/>
                <w:lang w:val="de-CH"/>
              </w:rPr>
            </w:pPr>
            <w:r w:rsidRPr="00ED6629">
              <w:rPr>
                <w:lang w:val="de-CH"/>
              </w:rPr>
              <w:t>Finanzmarktteilnehmer</w:t>
            </w:r>
          </w:p>
        </w:tc>
        <w:tc>
          <w:tcPr>
            <w:tcW w:w="4536" w:type="dxa"/>
            <w:tcBorders>
              <w:top w:val="single" w:sz="4" w:space="0" w:color="auto"/>
              <w:right w:val="single" w:sz="4" w:space="0" w:color="auto"/>
            </w:tcBorders>
            <w:shd w:val="clear" w:color="auto" w:fill="auto"/>
          </w:tcPr>
          <w:p w14:paraId="529D4722" w14:textId="77777777" w:rsidR="00637E72" w:rsidRPr="00ED6629" w:rsidRDefault="00637E72" w:rsidP="00086672">
            <w:pPr>
              <w:pStyle w:val="FormatvorlageLinks0cm"/>
              <w:spacing w:before="120" w:after="120"/>
              <w:jc w:val="center"/>
              <w:rPr>
                <w:b/>
                <w:lang w:val="de-CH"/>
              </w:rPr>
            </w:pPr>
            <w:r>
              <w:rPr>
                <w:lang w:val="de-CH"/>
              </w:rPr>
              <w:t>Finanzberater</w:t>
            </w:r>
          </w:p>
        </w:tc>
      </w:tr>
      <w:tr w:rsidR="00637E72" w:rsidRPr="00D12445" w14:paraId="2F486BB0" w14:textId="77777777" w:rsidTr="00086672">
        <w:tc>
          <w:tcPr>
            <w:tcW w:w="2302" w:type="dxa"/>
            <w:tcBorders>
              <w:left w:val="single" w:sz="4" w:space="0" w:color="auto"/>
              <w:bottom w:val="single" w:sz="4" w:space="0" w:color="auto"/>
            </w:tcBorders>
            <w:shd w:val="clear" w:color="auto" w:fill="auto"/>
            <w:vAlign w:val="center"/>
          </w:tcPr>
          <w:p w14:paraId="1149D17F" w14:textId="77777777" w:rsidR="00637E72" w:rsidRPr="00ED6629" w:rsidRDefault="00637E72" w:rsidP="00086672">
            <w:pPr>
              <w:pStyle w:val="FormatvorlageLinks0cm"/>
              <w:spacing w:after="120"/>
              <w:rPr>
                <w:b/>
                <w:lang w:val="de-CH"/>
              </w:rPr>
            </w:pPr>
          </w:p>
        </w:tc>
        <w:tc>
          <w:tcPr>
            <w:tcW w:w="5386" w:type="dxa"/>
            <w:tcBorders>
              <w:bottom w:val="single" w:sz="4" w:space="0" w:color="auto"/>
            </w:tcBorders>
            <w:shd w:val="clear" w:color="auto" w:fill="auto"/>
            <w:vAlign w:val="center"/>
          </w:tcPr>
          <w:p w14:paraId="57F6BF8A" w14:textId="77777777"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345942384"/>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c>
          <w:tcPr>
            <w:tcW w:w="4536" w:type="dxa"/>
            <w:tcBorders>
              <w:bottom w:val="single" w:sz="4" w:space="0" w:color="auto"/>
              <w:right w:val="single" w:sz="4" w:space="0" w:color="auto"/>
            </w:tcBorders>
            <w:shd w:val="clear" w:color="auto" w:fill="auto"/>
          </w:tcPr>
          <w:p w14:paraId="301EF922" w14:textId="4BE8157B"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394022480"/>
                <w14:checkbox>
                  <w14:checked w14:val="0"/>
                  <w14:checkedState w14:val="00FE" w14:font="Wingdings"/>
                  <w14:uncheckedState w14:val="2610" w14:font="MS Gothic"/>
                </w14:checkbox>
              </w:sdtPr>
              <w:sdtEndPr/>
              <w:sdtContent>
                <w:r w:rsidR="00637E72">
                  <w:rPr>
                    <w:rFonts w:ascii="MS Gothic" w:eastAsia="MS Gothic" w:hAnsi="MS Gothic" w:hint="eastAsia"/>
                    <w:sz w:val="24"/>
                  </w:rPr>
                  <w:t>☐</w:t>
                </w:r>
              </w:sdtContent>
            </w:sdt>
          </w:p>
        </w:tc>
      </w:tr>
      <w:tr w:rsidR="00637E72" w:rsidRPr="00D12445" w14:paraId="34EC90CA" w14:textId="77777777" w:rsidTr="00086672">
        <w:tc>
          <w:tcPr>
            <w:tcW w:w="12224" w:type="dxa"/>
            <w:gridSpan w:val="3"/>
            <w:tcBorders>
              <w:top w:val="single" w:sz="4" w:space="0" w:color="auto"/>
            </w:tcBorders>
            <w:shd w:val="clear" w:color="auto" w:fill="auto"/>
          </w:tcPr>
          <w:p w14:paraId="08580CB7" w14:textId="77777777" w:rsidR="00637E72" w:rsidRDefault="00637E72" w:rsidP="00086672">
            <w:pPr>
              <w:pStyle w:val="FormatvorlageLinks0cm"/>
              <w:jc w:val="center"/>
              <w:rPr>
                <w:lang w:val="de-CH"/>
              </w:rPr>
            </w:pPr>
          </w:p>
        </w:tc>
      </w:tr>
      <w:tr w:rsidR="00637E72" w:rsidRPr="00D12445" w14:paraId="1F11D52C" w14:textId="77777777" w:rsidTr="00086672">
        <w:tc>
          <w:tcPr>
            <w:tcW w:w="12224" w:type="dxa"/>
            <w:gridSpan w:val="3"/>
            <w:shd w:val="clear" w:color="auto" w:fill="auto"/>
          </w:tcPr>
          <w:p w14:paraId="5C5FCDFB" w14:textId="22BA6676" w:rsidR="00637E72" w:rsidRDefault="00637E72" w:rsidP="00637E72">
            <w:pPr>
              <w:pStyle w:val="FormatvorlageLinks0cm"/>
              <w:spacing w:after="120"/>
              <w:rPr>
                <w:lang w:val="de-CH"/>
              </w:rPr>
            </w:pPr>
            <w:r>
              <w:rPr>
                <w:lang w:val="de-CH"/>
              </w:rPr>
              <w:t xml:space="preserve">Die Revisionsstelle prüft die Angemessenheit der den </w:t>
            </w:r>
            <w:r w:rsidRPr="00D12445">
              <w:rPr>
                <w:lang w:val="de-CH"/>
              </w:rPr>
              <w:t>Art. 8</w:t>
            </w:r>
            <w:r w:rsidR="00D740BD">
              <w:rPr>
                <w:lang w:val="de-CH"/>
              </w:rPr>
              <w:t xml:space="preserve"> («hellgrüne»)</w:t>
            </w:r>
            <w:r w:rsidRPr="00D12445">
              <w:rPr>
                <w:lang w:val="de-CH"/>
              </w:rPr>
              <w:t xml:space="preserve"> und Art. 9 </w:t>
            </w:r>
            <w:r w:rsidR="005F4BE4">
              <w:rPr>
                <w:lang w:val="de-CH"/>
              </w:rPr>
              <w:t xml:space="preserve">(«dunkelgrüne») </w:t>
            </w:r>
            <w:r w:rsidRPr="00D12445">
              <w:rPr>
                <w:lang w:val="de-CH"/>
              </w:rPr>
              <w:t>Finanzprodukte</w:t>
            </w:r>
            <w:r w:rsidR="001E51E5">
              <w:rPr>
                <w:lang w:val="de-CH"/>
              </w:rPr>
              <w:t>n</w:t>
            </w:r>
            <w:r>
              <w:rPr>
                <w:lang w:val="de-CH"/>
              </w:rPr>
              <w:t xml:space="preserve"> zugrundeliegenden nachhaltigkeitsbezogenen Prozesse.</w:t>
            </w:r>
          </w:p>
          <w:p w14:paraId="626DFA23" w14:textId="713C9EF8" w:rsidR="00637E72" w:rsidRDefault="00637E72" w:rsidP="00637E72">
            <w:pPr>
              <w:pStyle w:val="FormatvorlageLinks0cm"/>
              <w:rPr>
                <w:lang w:val="de-CH"/>
              </w:rPr>
            </w:pPr>
            <w:r>
              <w:rPr>
                <w:lang w:val="de-CH"/>
              </w:rPr>
              <w:t xml:space="preserve">Die Revisionsstelle prüft die implementierten Prozesse und Kontrollen der </w:t>
            </w:r>
            <w:r w:rsidRPr="00D12445">
              <w:t>Finanzmarktteilnehmer</w:t>
            </w:r>
            <w:r>
              <w:rPr>
                <w:lang w:val="de-CH"/>
              </w:rPr>
              <w:t xml:space="preserve"> insbesondere hinsichtlich der nachfolgenden Aspekte:</w:t>
            </w:r>
          </w:p>
          <w:p w14:paraId="3021F665" w14:textId="54B1E215" w:rsidR="00637E72" w:rsidRDefault="00637E72" w:rsidP="00637E72">
            <w:pPr>
              <w:pStyle w:val="FormatvorlageLinks0cm"/>
              <w:numPr>
                <w:ilvl w:val="0"/>
                <w:numId w:val="21"/>
              </w:numPr>
              <w:rPr>
                <w:lang w:val="de-CH"/>
              </w:rPr>
            </w:pPr>
            <w:r>
              <w:rPr>
                <w:lang w:val="de-CH"/>
              </w:rPr>
              <w:t>Interne Regelungen gewährleisten, dass</w:t>
            </w:r>
            <w:r w:rsidRPr="001B10EF">
              <w:rPr>
                <w:lang w:val="de-CH"/>
              </w:rPr>
              <w:t xml:space="preserve"> Anlagestrategien</w:t>
            </w:r>
            <w:r>
              <w:rPr>
                <w:lang w:val="de-CH"/>
              </w:rPr>
              <w:t xml:space="preserve">, </w:t>
            </w:r>
            <w:r w:rsidRPr="001B10EF">
              <w:rPr>
                <w:lang w:val="de-CH"/>
              </w:rPr>
              <w:t>Anlageziele</w:t>
            </w:r>
            <w:r>
              <w:rPr>
                <w:lang w:val="de-CH"/>
              </w:rPr>
              <w:t xml:space="preserve"> und </w:t>
            </w:r>
            <w:r>
              <w:t>relevanten Nachhaltigkeitsindikatoren</w:t>
            </w:r>
            <w:r>
              <w:rPr>
                <w:lang w:val="de-CH"/>
              </w:rPr>
              <w:t xml:space="preserve"> der Finanzprodukte </w:t>
            </w:r>
            <w:r w:rsidRPr="001B10EF">
              <w:rPr>
                <w:lang w:val="de-CH"/>
              </w:rPr>
              <w:t>in einer Art und Weise definiert</w:t>
            </w:r>
            <w:r>
              <w:rPr>
                <w:lang w:val="de-CH"/>
              </w:rPr>
              <w:t xml:space="preserve"> </w:t>
            </w:r>
            <w:r w:rsidRPr="001B10EF">
              <w:rPr>
                <w:lang w:val="de-CH"/>
              </w:rPr>
              <w:t xml:space="preserve">werden, </w:t>
            </w:r>
            <w:r>
              <w:rPr>
                <w:lang w:val="de-CH"/>
              </w:rPr>
              <w:t xml:space="preserve">so </w:t>
            </w:r>
            <w:r w:rsidRPr="001B10EF">
              <w:rPr>
                <w:lang w:val="de-CH"/>
              </w:rPr>
              <w:t>dass sie verständlich, klar, eindeutig</w:t>
            </w:r>
            <w:r>
              <w:rPr>
                <w:lang w:val="de-CH"/>
              </w:rPr>
              <w:t xml:space="preserve">, </w:t>
            </w:r>
            <w:r w:rsidRPr="001B10EF">
              <w:rPr>
                <w:lang w:val="de-CH"/>
              </w:rPr>
              <w:t>nicht irreführend [</w:t>
            </w:r>
            <w:r w:rsidRPr="00E77E1F">
              <w:rPr>
                <w:i/>
                <w:lang w:val="de-CH"/>
              </w:rPr>
              <w:t>Art. 10 SFDR; Art. 2, Art. 28 Bst. a, Art. 41 Bst. a SFDR</w:t>
            </w:r>
            <w:r w:rsidR="00E77E1F" w:rsidRPr="00E77E1F">
              <w:rPr>
                <w:i/>
                <w:lang w:val="de-CH"/>
              </w:rPr>
              <w:t>-RTS</w:t>
            </w:r>
            <w:r w:rsidRPr="00E77E1F">
              <w:rPr>
                <w:i/>
                <w:lang w:val="de-CH"/>
              </w:rPr>
              <w:t xml:space="preserve">] </w:t>
            </w:r>
            <w:r w:rsidRPr="00E77E1F">
              <w:rPr>
                <w:lang w:val="de-CH"/>
              </w:rPr>
              <w:t>und verbindlich sind</w:t>
            </w:r>
            <w:r w:rsidRPr="00E77E1F">
              <w:rPr>
                <w:i/>
                <w:lang w:val="de-CH"/>
              </w:rPr>
              <w:t xml:space="preserve"> [Erwägung 11 SFDR</w:t>
            </w:r>
            <w:r w:rsidR="00E77E1F" w:rsidRPr="00E77E1F">
              <w:rPr>
                <w:i/>
                <w:lang w:val="de-CH"/>
              </w:rPr>
              <w:t>-RTS</w:t>
            </w:r>
            <w:r w:rsidRPr="00E77E1F">
              <w:rPr>
                <w:i/>
                <w:lang w:val="de-CH"/>
              </w:rPr>
              <w:t xml:space="preserve">, Ziffer 32-36 </w:t>
            </w:r>
            <w:r w:rsidRPr="00E77E1F">
              <w:rPr>
                <w:i/>
              </w:rPr>
              <w:t>ESMA34-45-1427</w:t>
            </w:r>
            <w:r>
              <w:rPr>
                <w:lang w:val="de-CH"/>
              </w:rPr>
              <w:t>].</w:t>
            </w:r>
          </w:p>
          <w:p w14:paraId="21F646D4" w14:textId="0C3B063F" w:rsidR="00637E72" w:rsidRDefault="00637E72" w:rsidP="00637E72">
            <w:pPr>
              <w:pStyle w:val="FormatvorlageLinks0cm"/>
              <w:numPr>
                <w:ilvl w:val="0"/>
                <w:numId w:val="21"/>
              </w:numPr>
              <w:rPr>
                <w:lang w:val="de-CH"/>
              </w:rPr>
            </w:pPr>
            <w:r>
              <w:rPr>
                <w:lang w:val="de-CH"/>
              </w:rPr>
              <w:t xml:space="preserve">Es werden angemessene Methoden verwendet, um das Erreichen der nachhaltigkeitsbezogenen </w:t>
            </w:r>
            <w:r w:rsidRPr="001B10EF">
              <w:rPr>
                <w:lang w:val="de-CH"/>
              </w:rPr>
              <w:t>Anlageziele</w:t>
            </w:r>
            <w:r>
              <w:rPr>
                <w:lang w:val="de-CH"/>
              </w:rPr>
              <w:t xml:space="preserve"> zu messen [</w:t>
            </w:r>
            <w:r w:rsidRPr="00E77E1F">
              <w:rPr>
                <w:i/>
                <w:lang w:val="de-CH"/>
              </w:rPr>
              <w:t>Art.</w:t>
            </w:r>
            <w:r w:rsidR="00E77E1F" w:rsidRPr="00E77E1F">
              <w:rPr>
                <w:i/>
                <w:lang w:val="de-CH"/>
              </w:rPr>
              <w:t> </w:t>
            </w:r>
            <w:r w:rsidRPr="00E77E1F">
              <w:rPr>
                <w:i/>
                <w:lang w:val="de-CH"/>
              </w:rPr>
              <w:t>10 Abs. 1 Bst. b SFDR; Art. 31, Art. 44 SFDR</w:t>
            </w:r>
            <w:r w:rsidR="00E77E1F" w:rsidRPr="00E77E1F">
              <w:rPr>
                <w:i/>
                <w:lang w:val="de-CH"/>
              </w:rPr>
              <w:t>-RTS</w:t>
            </w:r>
            <w:r>
              <w:rPr>
                <w:lang w:val="de-CH"/>
              </w:rPr>
              <w:t>].</w:t>
            </w:r>
          </w:p>
          <w:p w14:paraId="0007E718" w14:textId="3F1C3B02" w:rsidR="00637E72" w:rsidRPr="007C72BA" w:rsidRDefault="00637E72" w:rsidP="00637E72">
            <w:pPr>
              <w:pStyle w:val="FormatvorlageLinks0cm"/>
              <w:numPr>
                <w:ilvl w:val="0"/>
                <w:numId w:val="21"/>
              </w:numPr>
              <w:rPr>
                <w:lang w:val="de-CH"/>
              </w:rPr>
            </w:pPr>
            <w:r>
              <w:rPr>
                <w:lang w:val="de-CH"/>
              </w:rPr>
              <w:t xml:space="preserve">Die Verfahren erlauben eine angemessene Beurteilung des </w:t>
            </w:r>
            <w:r w:rsidRPr="00D12445">
              <w:t>DNSH-Kriteri</w:t>
            </w:r>
            <w:r>
              <w:t>ums [</w:t>
            </w:r>
            <w:r w:rsidRPr="00E77E1F">
              <w:rPr>
                <w:i/>
              </w:rPr>
              <w:t>Art. 2 Abs. 17, Art. 2a SFDR; Art. 26 Abs. 2</w:t>
            </w:r>
            <w:r w:rsidR="00E77E1F" w:rsidRPr="00E77E1F">
              <w:rPr>
                <w:i/>
              </w:rPr>
              <w:t>,</w:t>
            </w:r>
            <w:r w:rsidRPr="00E77E1F">
              <w:rPr>
                <w:i/>
              </w:rPr>
              <w:t xml:space="preserve"> Art.</w:t>
            </w:r>
            <w:r w:rsidR="009C5A03">
              <w:rPr>
                <w:i/>
              </w:rPr>
              <w:t> </w:t>
            </w:r>
            <w:r w:rsidRPr="00E77E1F">
              <w:rPr>
                <w:i/>
              </w:rPr>
              <w:t>39 SFDR</w:t>
            </w:r>
            <w:r w:rsidR="00E77E1F" w:rsidRPr="00E77E1F">
              <w:rPr>
                <w:i/>
              </w:rPr>
              <w:t>-RTS</w:t>
            </w:r>
            <w:r w:rsidRPr="00E77E1F">
              <w:rPr>
                <w:i/>
              </w:rPr>
              <w:t>; Art. 17 TR</w:t>
            </w:r>
            <w:r w:rsidR="00E77E1F">
              <w:rPr>
                <w:rStyle w:val="Funotenzeichen"/>
                <w:i/>
              </w:rPr>
              <w:footnoteReference w:id="3"/>
            </w:r>
            <w:r>
              <w:t>]. Es bestehen</w:t>
            </w:r>
            <w:r w:rsidR="00805709">
              <w:t xml:space="preserve"> entsprechende</w:t>
            </w:r>
            <w:r>
              <w:t xml:space="preserve"> Kontrollen, dass das DNSH-Kriterium stets bei </w:t>
            </w:r>
            <w:r w:rsidRPr="00FB49D1">
              <w:t>nachhaltige</w:t>
            </w:r>
            <w:r>
              <w:t>n</w:t>
            </w:r>
            <w:r w:rsidRPr="00FB49D1">
              <w:t xml:space="preserve"> Investition</w:t>
            </w:r>
            <w:r>
              <w:t>en eingehalten ist [</w:t>
            </w:r>
            <w:r w:rsidRPr="00176CF5">
              <w:rPr>
                <w:i/>
              </w:rPr>
              <w:t>Art. 2 Abs. 17 SFDR</w:t>
            </w:r>
            <w:r>
              <w:t>].</w:t>
            </w:r>
          </w:p>
          <w:p w14:paraId="4A394069" w14:textId="44E1EAE3" w:rsidR="00637E72" w:rsidRPr="00E12738" w:rsidRDefault="00637E72" w:rsidP="00637E72">
            <w:pPr>
              <w:pStyle w:val="FormatvorlageLinks0cm"/>
              <w:numPr>
                <w:ilvl w:val="0"/>
                <w:numId w:val="21"/>
              </w:numPr>
              <w:rPr>
                <w:lang w:val="de-CH"/>
              </w:rPr>
            </w:pPr>
            <w:r>
              <w:rPr>
                <w:lang w:val="de-CH"/>
              </w:rPr>
              <w:t>Die Verfahren zur Bewertung einer guten Unternehmensführung der investierten Unternehmen sind sachgerecht und umfassen mindestens die vorgesehenen Bewertungskriterien [</w:t>
            </w:r>
            <w:r w:rsidRPr="00805709">
              <w:rPr>
                <w:i/>
              </w:rPr>
              <w:t xml:space="preserve">Art. 2 Abs. 17, Art. 8 Abs. 1, Art. 9 Abs. 1 SFDR; Art. 28 Bst. b, </w:t>
            </w:r>
            <w:r w:rsidRPr="00805709">
              <w:rPr>
                <w:i/>
                <w:lang w:val="de-CH"/>
              </w:rPr>
              <w:t>Art. 41 Bst.</w:t>
            </w:r>
            <w:r w:rsidR="00805709" w:rsidRPr="00805709">
              <w:rPr>
                <w:i/>
                <w:lang w:val="de-CH"/>
              </w:rPr>
              <w:t> </w:t>
            </w:r>
            <w:r w:rsidRPr="00805709">
              <w:rPr>
                <w:i/>
                <w:lang w:val="de-CH"/>
              </w:rPr>
              <w:t>b SFDR</w:t>
            </w:r>
            <w:r w:rsidR="00805709" w:rsidRPr="00805709">
              <w:rPr>
                <w:i/>
                <w:lang w:val="de-CH"/>
              </w:rPr>
              <w:t>-RTS</w:t>
            </w:r>
            <w:r>
              <w:rPr>
                <w:lang w:val="de-CH"/>
              </w:rPr>
              <w:t>].</w:t>
            </w:r>
            <w:r>
              <w:t xml:space="preserve"> Es bestehen entsprechende Kontrollen, dass die Unternehmen, in die investiert wird, stets eine gute Unternehmensführung aufweisen [</w:t>
            </w:r>
            <w:r w:rsidRPr="00805709">
              <w:rPr>
                <w:i/>
              </w:rPr>
              <w:t>Art. 2 Abs. 17, Art. 8 Abs. 1 SFDR</w:t>
            </w:r>
            <w:r>
              <w:t>].</w:t>
            </w:r>
          </w:p>
          <w:p w14:paraId="1168DAEF" w14:textId="0D8A908E" w:rsidR="00637E72" w:rsidRDefault="00637E72" w:rsidP="00637E72">
            <w:pPr>
              <w:pStyle w:val="FormatvorlageLinks0cm"/>
              <w:numPr>
                <w:ilvl w:val="0"/>
                <w:numId w:val="21"/>
              </w:numPr>
              <w:rPr>
                <w:lang w:val="de-CH"/>
              </w:rPr>
            </w:pPr>
            <w:r>
              <w:rPr>
                <w:lang w:val="de-CH"/>
              </w:rPr>
              <w:t>Die Kontroll</w:t>
            </w:r>
            <w:r w:rsidRPr="004455E7">
              <w:rPr>
                <w:lang w:val="de-CH"/>
              </w:rPr>
              <w:t xml:space="preserve">prozesse gewährleisten eine laufende Überwachung der </w:t>
            </w:r>
            <w:r w:rsidRPr="001B10EF">
              <w:rPr>
                <w:lang w:val="de-CH"/>
              </w:rPr>
              <w:t>Anlageziele</w:t>
            </w:r>
            <w:r>
              <w:rPr>
                <w:lang w:val="de-CH"/>
              </w:rPr>
              <w:t xml:space="preserve"> </w:t>
            </w:r>
            <w:r w:rsidRPr="004455E7">
              <w:rPr>
                <w:lang w:val="de-CH"/>
              </w:rPr>
              <w:t xml:space="preserve">und der </w:t>
            </w:r>
            <w:r>
              <w:rPr>
                <w:lang w:val="de-CH"/>
              </w:rPr>
              <w:t xml:space="preserve">damit verknüpften </w:t>
            </w:r>
            <w:r w:rsidRPr="004455E7">
              <w:rPr>
                <w:lang w:val="de-CH"/>
              </w:rPr>
              <w:t>Nachhaltigkeitsindikatoren</w:t>
            </w:r>
            <w:r>
              <w:rPr>
                <w:lang w:val="de-CH"/>
              </w:rPr>
              <w:t xml:space="preserve"> [</w:t>
            </w:r>
            <w:r w:rsidRPr="00805709">
              <w:rPr>
                <w:i/>
                <w:lang w:val="de-CH"/>
              </w:rPr>
              <w:t>Art. 30, Art. 43 SFDR</w:t>
            </w:r>
            <w:r w:rsidR="00805709" w:rsidRPr="00805709">
              <w:rPr>
                <w:i/>
                <w:lang w:val="de-CH"/>
              </w:rPr>
              <w:t>-RTS</w:t>
            </w:r>
            <w:r>
              <w:rPr>
                <w:lang w:val="de-CH"/>
              </w:rPr>
              <w:t>].</w:t>
            </w:r>
          </w:p>
          <w:p w14:paraId="7EA3BB51" w14:textId="691BF181" w:rsidR="00637E72" w:rsidRDefault="00637E72" w:rsidP="00637E72">
            <w:pPr>
              <w:pStyle w:val="FormatvorlageLinks0cm"/>
              <w:numPr>
                <w:ilvl w:val="0"/>
                <w:numId w:val="21"/>
              </w:numPr>
              <w:rPr>
                <w:lang w:val="de-CH"/>
              </w:rPr>
            </w:pPr>
            <w:r>
              <w:rPr>
                <w:lang w:val="de-CH"/>
              </w:rPr>
              <w:t xml:space="preserve">Die verwendeten Datenquellen sind ausreichend, um das Erreichen eines jeden nachhaltigkeitsbezogenen </w:t>
            </w:r>
            <w:r w:rsidRPr="001B10EF">
              <w:rPr>
                <w:lang w:val="de-CH"/>
              </w:rPr>
              <w:t>Anlageziele</w:t>
            </w:r>
            <w:r>
              <w:rPr>
                <w:lang w:val="de-CH"/>
              </w:rPr>
              <w:t>s messen und laufend überwachen zu können [</w:t>
            </w:r>
            <w:r w:rsidRPr="00805709">
              <w:rPr>
                <w:i/>
                <w:lang w:val="de-CH"/>
              </w:rPr>
              <w:t>Art. 10 Abs. 1 Bst. b SFDR; Art. 32 Bst. a, Art. 45 Bst. a SFDR</w:t>
            </w:r>
            <w:r w:rsidR="00805709" w:rsidRPr="00805709">
              <w:rPr>
                <w:i/>
                <w:lang w:val="de-CH"/>
              </w:rPr>
              <w:t>-RTS</w:t>
            </w:r>
            <w:r>
              <w:rPr>
                <w:lang w:val="de-CH"/>
              </w:rPr>
              <w:t xml:space="preserve">]. </w:t>
            </w:r>
          </w:p>
          <w:p w14:paraId="6A5610FA" w14:textId="3C20CDFC" w:rsidR="00637E72" w:rsidRDefault="00637E72" w:rsidP="00637E72">
            <w:pPr>
              <w:pStyle w:val="FormatvorlageLinks0cm"/>
              <w:numPr>
                <w:ilvl w:val="0"/>
                <w:numId w:val="21"/>
              </w:numPr>
              <w:rPr>
                <w:lang w:val="de-CH"/>
              </w:rPr>
            </w:pPr>
            <w:r>
              <w:rPr>
                <w:lang w:val="de-CH"/>
              </w:rPr>
              <w:t>Die Massnahmen zur Sicherung der Datenqualität sind angemessen [</w:t>
            </w:r>
            <w:r w:rsidRPr="00805709">
              <w:rPr>
                <w:i/>
                <w:lang w:val="de-CH"/>
              </w:rPr>
              <w:t>Art. 32 Bst. a, Art. 45 Bst. a SFDR</w:t>
            </w:r>
            <w:r w:rsidR="00805709" w:rsidRPr="00805709">
              <w:rPr>
                <w:i/>
                <w:lang w:val="de-CH"/>
              </w:rPr>
              <w:t>-RTS</w:t>
            </w:r>
            <w:r>
              <w:rPr>
                <w:lang w:val="de-CH"/>
              </w:rPr>
              <w:t>]. Die verwendeten Datenquellen werden regelmässig hinsichtlich ihrer Eignung und Qualität überprüft.</w:t>
            </w:r>
          </w:p>
          <w:p w14:paraId="02D63F16" w14:textId="34152FA3" w:rsidR="00637E72" w:rsidRPr="008732DE" w:rsidRDefault="00637E72" w:rsidP="00637E72">
            <w:pPr>
              <w:pStyle w:val="FormatvorlageLinks0cm"/>
              <w:numPr>
                <w:ilvl w:val="0"/>
                <w:numId w:val="21"/>
              </w:numPr>
              <w:rPr>
                <w:lang w:val="de-CH"/>
              </w:rPr>
            </w:pPr>
            <w:r w:rsidRPr="008732DE">
              <w:rPr>
                <w:lang w:val="de-CH"/>
              </w:rPr>
              <w:t>Die Entscheidungsregeln und Ermessensausübungen im Umgang mit geschätzten Daten sind sachgerecht und der Anteil geschätzter Daten ist vertretbar [</w:t>
            </w:r>
            <w:r w:rsidRPr="00805709">
              <w:rPr>
                <w:i/>
                <w:lang w:val="de-CH"/>
              </w:rPr>
              <w:t>Art. 32 Bst. d, Art. 45 Bst. d SFDR</w:t>
            </w:r>
            <w:r w:rsidR="00805709" w:rsidRPr="00805709">
              <w:rPr>
                <w:i/>
                <w:lang w:val="de-CH"/>
              </w:rPr>
              <w:t>-RTS</w:t>
            </w:r>
            <w:r w:rsidRPr="008732DE">
              <w:rPr>
                <w:lang w:val="de-CH"/>
              </w:rPr>
              <w:t>].</w:t>
            </w:r>
          </w:p>
          <w:p w14:paraId="703ED08F" w14:textId="790334B9" w:rsidR="00637E72" w:rsidRPr="008732DE" w:rsidRDefault="00637E72" w:rsidP="00637E72">
            <w:pPr>
              <w:pStyle w:val="FormatvorlageLinks0cm"/>
              <w:numPr>
                <w:ilvl w:val="0"/>
                <w:numId w:val="21"/>
              </w:numPr>
              <w:rPr>
                <w:lang w:val="de-CH"/>
              </w:rPr>
            </w:pPr>
            <w:r w:rsidRPr="008732DE">
              <w:rPr>
                <w:lang w:val="de-CH"/>
              </w:rPr>
              <w:lastRenderedPageBreak/>
              <w:t xml:space="preserve">Es bestehen </w:t>
            </w:r>
            <w:r w:rsidR="00086672">
              <w:rPr>
                <w:lang w:val="de-CH"/>
              </w:rPr>
              <w:t>angemessene</w:t>
            </w:r>
            <w:r w:rsidRPr="008732DE">
              <w:rPr>
                <w:lang w:val="de-CH"/>
              </w:rPr>
              <w:t xml:space="preserve"> Prozesse zur Identifikation allfälliger </w:t>
            </w:r>
            <w:r w:rsidRPr="008732DE">
              <w:t xml:space="preserve">Beschränkungen hinsichtlich der Methoden </w:t>
            </w:r>
            <w:r>
              <w:t>als auch der</w:t>
            </w:r>
            <w:r w:rsidRPr="008732DE">
              <w:t xml:space="preserve"> Daten</w:t>
            </w:r>
            <w:r>
              <w:t>. Die Beschränkungen werden regelmässig dahingehend beurteilt</w:t>
            </w:r>
            <w:r w:rsidRPr="008732DE">
              <w:t xml:space="preserve">, </w:t>
            </w:r>
            <w:r>
              <w:t xml:space="preserve">dass </w:t>
            </w:r>
            <w:r w:rsidRPr="008732DE">
              <w:t xml:space="preserve">sie das Erreichen der </w:t>
            </w:r>
            <w:r>
              <w:rPr>
                <w:lang w:val="de-CH"/>
              </w:rPr>
              <w:t xml:space="preserve">nachhaltigkeitsbezogenen </w:t>
            </w:r>
            <w:r w:rsidRPr="008732DE">
              <w:t xml:space="preserve">Anlageziele nicht </w:t>
            </w:r>
            <w:r>
              <w:t>beinträchtigen</w:t>
            </w:r>
            <w:r w:rsidRPr="008732DE">
              <w:t xml:space="preserve"> [</w:t>
            </w:r>
            <w:r w:rsidRPr="00805709">
              <w:rPr>
                <w:i/>
              </w:rPr>
              <w:t>Art. 33, Art. 46 SFDR</w:t>
            </w:r>
            <w:r w:rsidR="00805709" w:rsidRPr="00805709">
              <w:rPr>
                <w:i/>
              </w:rPr>
              <w:t>-RTS</w:t>
            </w:r>
            <w:r w:rsidRPr="008732DE">
              <w:t>].</w:t>
            </w:r>
          </w:p>
          <w:p w14:paraId="34D3E62E" w14:textId="23CD7043" w:rsidR="00637E72" w:rsidRDefault="00637E72" w:rsidP="00637E72">
            <w:pPr>
              <w:pStyle w:val="FormatvorlageLinks0cm"/>
              <w:numPr>
                <w:ilvl w:val="0"/>
                <w:numId w:val="21"/>
              </w:numPr>
              <w:rPr>
                <w:lang w:val="de-CH"/>
              </w:rPr>
            </w:pPr>
            <w:r>
              <w:rPr>
                <w:lang w:val="de-CH"/>
              </w:rPr>
              <w:t xml:space="preserve">Die Sorgfaltspflichtverfahren (Due Diligence) für die </w:t>
            </w:r>
            <w:r w:rsidRPr="00E12738">
              <w:rPr>
                <w:lang w:val="de-CH"/>
              </w:rPr>
              <w:t>Vermögenswerten</w:t>
            </w:r>
            <w:r>
              <w:rPr>
                <w:lang w:val="de-CH"/>
              </w:rPr>
              <w:t xml:space="preserve"> des Finanzprodukts, als auch der internen und externen Kontrollen, sind zielführend, entsprechend den zur Verfügung stehenden Daten geeignet und werden konsistent angewandt [</w:t>
            </w:r>
            <w:r w:rsidRPr="00086672">
              <w:rPr>
                <w:i/>
                <w:lang w:val="de-CH"/>
              </w:rPr>
              <w:t>Art. 34, Art. 47 SFDR</w:t>
            </w:r>
            <w:r w:rsidR="00086672" w:rsidRPr="00086672">
              <w:rPr>
                <w:i/>
                <w:lang w:val="de-CH"/>
              </w:rPr>
              <w:t>-RTS</w:t>
            </w:r>
            <w:r>
              <w:rPr>
                <w:lang w:val="de-CH"/>
              </w:rPr>
              <w:t>].</w:t>
            </w:r>
          </w:p>
          <w:p w14:paraId="4032303A" w14:textId="06CCC807" w:rsidR="00637E72" w:rsidRDefault="00637E72" w:rsidP="00637E72">
            <w:pPr>
              <w:pStyle w:val="FormatvorlageLinks0cm"/>
              <w:numPr>
                <w:ilvl w:val="0"/>
                <w:numId w:val="21"/>
              </w:numPr>
              <w:rPr>
                <w:lang w:val="de-CH"/>
              </w:rPr>
            </w:pPr>
            <w:r>
              <w:rPr>
                <w:lang w:val="de-CH"/>
              </w:rPr>
              <w:t xml:space="preserve">Sofern die Mitwirkungspolitik Bestandteil der nachhaltigkeitsbezogenen Anlagestrategie ist, ist diese hinreichend detailliert definiert, um die nachhaltigkeitsbezogenen Anlageziele des jeweiligen Finanzprodukte erreichen zu können. Für Stimmrechtsausübungen sind entsprechende Ziele festgelegt worden und das Abstimmungsverhalten wird dokumentiert. Darüber hinaus bestehen Verfahren um </w:t>
            </w:r>
            <w:r w:rsidRPr="00710620">
              <w:rPr>
                <w:lang w:val="de-CH"/>
              </w:rPr>
              <w:t>nachhaltigkeitsbezogene Kontroversen</w:t>
            </w:r>
            <w:r>
              <w:rPr>
                <w:lang w:val="de-CH"/>
              </w:rPr>
              <w:t xml:space="preserve"> in den investierten Unternehmen zu identifizieren, zu bewerten und in der Mitwirkungspolitik gegenüber den Unternehmen zu berücksichtigen [</w:t>
            </w:r>
            <w:r w:rsidRPr="00086672">
              <w:rPr>
                <w:i/>
                <w:lang w:val="de-CH"/>
              </w:rPr>
              <w:t>Art. 35, Art. 48 SFDR</w:t>
            </w:r>
            <w:r w:rsidR="00086672" w:rsidRPr="00086672">
              <w:rPr>
                <w:i/>
                <w:lang w:val="de-CH"/>
              </w:rPr>
              <w:t>-RTS</w:t>
            </w:r>
            <w:r>
              <w:rPr>
                <w:lang w:val="de-CH"/>
              </w:rPr>
              <w:t>].</w:t>
            </w:r>
          </w:p>
          <w:p w14:paraId="6070FFC7" w14:textId="06AB4BF0" w:rsidR="00637E72" w:rsidRDefault="00637E72" w:rsidP="00637E72">
            <w:pPr>
              <w:pStyle w:val="FormatvorlageLinks0cm"/>
              <w:numPr>
                <w:ilvl w:val="0"/>
                <w:numId w:val="21"/>
              </w:numPr>
              <w:rPr>
                <w:lang w:val="de-CH"/>
              </w:rPr>
            </w:pPr>
            <w:r>
              <w:rPr>
                <w:lang w:val="de-CH"/>
              </w:rPr>
              <w:t xml:space="preserve">Es sind Verfahren implementiert, um einen Index als Referenzwert für </w:t>
            </w:r>
            <w:r w:rsidR="00086672">
              <w:rPr>
                <w:lang w:val="de-CH"/>
              </w:rPr>
              <w:t xml:space="preserve">ein </w:t>
            </w:r>
            <w:r>
              <w:rPr>
                <w:lang w:val="de-CH"/>
              </w:rPr>
              <w:t>Finanzprodukt zu bestimmen und zu gewährleisten, dass der Index im Einklang mit den nachhaltigkeitsbezogenen Anlagezielen steht [</w:t>
            </w:r>
            <w:r w:rsidRPr="00086672">
              <w:rPr>
                <w:i/>
                <w:lang w:val="de-CH"/>
              </w:rPr>
              <w:t>Art. 8 Abs. 1 Bst. b, Art. 9 Abs. 2 und Abs. 3 SFDR; Art. 36, Art. 49 SFDR</w:t>
            </w:r>
            <w:r w:rsidR="00086672" w:rsidRPr="00086672">
              <w:rPr>
                <w:i/>
                <w:lang w:val="de-CH"/>
              </w:rPr>
              <w:t>-RTS</w:t>
            </w:r>
            <w:r>
              <w:rPr>
                <w:lang w:val="de-CH"/>
              </w:rPr>
              <w:t>].</w:t>
            </w:r>
          </w:p>
          <w:p w14:paraId="6A1165E8" w14:textId="77777777" w:rsidR="00637E72" w:rsidRDefault="00637E72" w:rsidP="00637E72">
            <w:pPr>
              <w:pStyle w:val="FormatvorlageLinks0cm"/>
              <w:rPr>
                <w:lang w:val="de-CH"/>
              </w:rPr>
            </w:pPr>
          </w:p>
          <w:p w14:paraId="387F75B6" w14:textId="656C1A62" w:rsidR="00637E72" w:rsidRDefault="00637E72" w:rsidP="00637E72">
            <w:pPr>
              <w:pStyle w:val="FormatvorlageLinks0cm"/>
              <w:spacing w:after="120"/>
              <w:rPr>
                <w:lang w:val="de-CH"/>
              </w:rPr>
            </w:pPr>
            <w:r w:rsidRPr="00D12445">
              <w:rPr>
                <w:lang w:val="de-CH"/>
              </w:rPr>
              <w:t xml:space="preserve">Abschliessend prüft die Revisionsstelle die </w:t>
            </w:r>
            <w:r>
              <w:rPr>
                <w:lang w:val="de-CH"/>
              </w:rPr>
              <w:t xml:space="preserve">Angemessenheit der </w:t>
            </w:r>
            <w:r w:rsidRPr="00D12445">
              <w:rPr>
                <w:lang w:val="de-CH"/>
              </w:rPr>
              <w:t xml:space="preserve">Offenlegung </w:t>
            </w:r>
            <w:r>
              <w:rPr>
                <w:lang w:val="de-CH"/>
              </w:rPr>
              <w:t>von Produktinformationen auf der Internetseite</w:t>
            </w:r>
            <w:r w:rsidR="00A12EFC">
              <w:rPr>
                <w:lang w:val="de-CH"/>
              </w:rPr>
              <w:t xml:space="preserve"> des Finanzmarktteilnehmers</w:t>
            </w:r>
            <w:r>
              <w:rPr>
                <w:lang w:val="de-CH"/>
              </w:rPr>
              <w:t xml:space="preserve"> [</w:t>
            </w:r>
            <w:r w:rsidRPr="00086672">
              <w:rPr>
                <w:i/>
                <w:lang w:val="de-CH"/>
              </w:rPr>
              <w:t>Art. 23 SFDR</w:t>
            </w:r>
            <w:r w:rsidR="00086672" w:rsidRPr="00086672">
              <w:rPr>
                <w:i/>
                <w:lang w:val="de-CH"/>
              </w:rPr>
              <w:t>-RTS</w:t>
            </w:r>
            <w:r>
              <w:rPr>
                <w:lang w:val="de-CH"/>
              </w:rPr>
              <w:t xml:space="preserve">]. </w:t>
            </w:r>
            <w:r w:rsidRPr="00D12445">
              <w:rPr>
                <w:lang w:val="de-CH"/>
              </w:rPr>
              <w:t>Sie nimmt Stellung, ob die Offenlegungen auffindbar, vollständig und inhaltlich plausibel sind. Die Offenlegungen sind auf dem aktuellen Stand und klare Erläuterungen betreffend allfällige Änderungen wurden veröffentlicht [</w:t>
            </w:r>
            <w:r w:rsidRPr="00086672">
              <w:rPr>
                <w:i/>
                <w:lang w:val="de-CH"/>
              </w:rPr>
              <w:t>Art. 12 SFDR</w:t>
            </w:r>
            <w:r w:rsidRPr="00D12445">
              <w:rPr>
                <w:lang w:val="de-CH"/>
              </w:rPr>
              <w:t>]</w:t>
            </w:r>
            <w:r>
              <w:rPr>
                <w:lang w:val="de-CH"/>
              </w:rPr>
              <w:t>.</w:t>
            </w:r>
          </w:p>
          <w:p w14:paraId="5B7127D4" w14:textId="0CD38756" w:rsidR="00637E72" w:rsidRPr="00832EFD" w:rsidRDefault="00637E72" w:rsidP="00637E72">
            <w:pPr>
              <w:pStyle w:val="FormatvorlageLinks0cm"/>
              <w:rPr>
                <w:lang w:val="de-CH"/>
              </w:rPr>
            </w:pPr>
            <w:r>
              <w:rPr>
                <w:lang w:val="de-CH"/>
              </w:rPr>
              <w:t>Hierbei kann die</w:t>
            </w:r>
            <w:r w:rsidRPr="00D12445">
              <w:rPr>
                <w:lang w:val="de-CH"/>
              </w:rPr>
              <w:t xml:space="preserve"> Revisionsstelle jeweils Stichprobenprüfungen der Art. 8 und Art. 9 Finanzprodukte durchführen. </w:t>
            </w:r>
            <w:r>
              <w:rPr>
                <w:lang w:val="de-CH"/>
              </w:rPr>
              <w:t>D</w:t>
            </w:r>
            <w:r w:rsidRPr="00D12445">
              <w:rPr>
                <w:lang w:val="de-CH"/>
              </w:rPr>
              <w:t>ie Stichproben</w:t>
            </w:r>
            <w:r>
              <w:rPr>
                <w:lang w:val="de-CH"/>
              </w:rPr>
              <w:t xml:space="preserve"> können</w:t>
            </w:r>
            <w:r w:rsidRPr="00D12445">
              <w:rPr>
                <w:lang w:val="de-CH"/>
              </w:rPr>
              <w:t xml:space="preserve"> ebenfalls unter Berücksichtigung von Gemeinsamkeiten und Unterschiede der Art. 8 und Art. 9 Finanzprodukte strukturiert werden. Das Auswahlverfahren und die Stichprobengrösse sind </w:t>
            </w:r>
            <w:r>
              <w:rPr>
                <w:lang w:val="de-CH"/>
              </w:rPr>
              <w:t>im</w:t>
            </w:r>
            <w:r w:rsidRPr="00D12445">
              <w:rPr>
                <w:lang w:val="de-CH"/>
              </w:rPr>
              <w:t xml:space="preserve"> Prüffeld anzugeben. Ebenfalls benennt die Revisionsstelle die Finanzprodukte in der Stichprobe.</w:t>
            </w:r>
          </w:p>
        </w:tc>
      </w:tr>
    </w:tbl>
    <w:p w14:paraId="11DF24D4" w14:textId="38948D9E" w:rsidR="00271484" w:rsidRDefault="00271484" w:rsidP="00271484">
      <w:pPr>
        <w:pStyle w:val="berschrift1"/>
        <w:numPr>
          <w:ilvl w:val="0"/>
          <w:numId w:val="0"/>
        </w:numPr>
        <w:spacing w:line="240" w:lineRule="auto"/>
        <w:ind w:left="709"/>
      </w:pPr>
    </w:p>
    <w:p w14:paraId="3609AD82" w14:textId="2C52162A" w:rsidR="00271484" w:rsidRDefault="00271484" w:rsidP="00271484"/>
    <w:p w14:paraId="64291D1A" w14:textId="184E521A" w:rsidR="00271484" w:rsidRDefault="00271484" w:rsidP="00271484"/>
    <w:p w14:paraId="0FB07941" w14:textId="002862DF" w:rsidR="00271484" w:rsidRDefault="00271484" w:rsidP="00271484"/>
    <w:p w14:paraId="2865B797" w14:textId="77777777" w:rsidR="00271484" w:rsidRPr="00916E73" w:rsidRDefault="00271484" w:rsidP="00077AB2"/>
    <w:p w14:paraId="2DD34DA4" w14:textId="65CA02ED" w:rsidR="003C3175" w:rsidRDefault="00CA5150" w:rsidP="00BB6F84">
      <w:pPr>
        <w:pStyle w:val="berschrift1"/>
        <w:spacing w:line="240" w:lineRule="auto"/>
      </w:pPr>
      <w:bookmarkStart w:id="124" w:name="_Toc185241529"/>
      <w:r w:rsidRPr="00D12445">
        <w:lastRenderedPageBreak/>
        <w:t>Offenlegung</w:t>
      </w:r>
      <w:r w:rsidR="008842D8" w:rsidRPr="00D12445">
        <w:t xml:space="preserve"> in regelmässigen Berichten</w:t>
      </w:r>
      <w:bookmarkEnd w:id="124"/>
    </w:p>
    <w:tbl>
      <w:tblPr>
        <w:tblW w:w="0" w:type="auto"/>
        <w:tblInd w:w="817" w:type="dxa"/>
        <w:tblLook w:val="01E0" w:firstRow="1" w:lastRow="1" w:firstColumn="1" w:lastColumn="1" w:noHBand="0" w:noVBand="0"/>
      </w:tblPr>
      <w:tblGrid>
        <w:gridCol w:w="2301"/>
        <w:gridCol w:w="5380"/>
        <w:gridCol w:w="4531"/>
      </w:tblGrid>
      <w:tr w:rsidR="00637E72" w:rsidRPr="00D12445" w14:paraId="10054A26" w14:textId="77777777" w:rsidTr="00086672">
        <w:tc>
          <w:tcPr>
            <w:tcW w:w="2302" w:type="dxa"/>
            <w:tcBorders>
              <w:top w:val="single" w:sz="4" w:space="0" w:color="auto"/>
              <w:left w:val="single" w:sz="4" w:space="0" w:color="auto"/>
            </w:tcBorders>
            <w:shd w:val="clear" w:color="auto" w:fill="auto"/>
          </w:tcPr>
          <w:p w14:paraId="7E3FDF0A" w14:textId="77777777" w:rsidR="00637E72" w:rsidRPr="00ED6629" w:rsidRDefault="00637E72" w:rsidP="00086672">
            <w:pPr>
              <w:pStyle w:val="FormatvorlageLinks0cm"/>
              <w:spacing w:before="120" w:after="120"/>
              <w:rPr>
                <w:b/>
                <w:lang w:val="de-CH"/>
              </w:rPr>
            </w:pPr>
            <w:r w:rsidRPr="00ED6629">
              <w:rPr>
                <w:b/>
                <w:lang w:val="de-CH"/>
              </w:rPr>
              <w:t>Anwendungsbereich</w:t>
            </w:r>
          </w:p>
        </w:tc>
        <w:tc>
          <w:tcPr>
            <w:tcW w:w="5386" w:type="dxa"/>
            <w:tcBorders>
              <w:top w:val="single" w:sz="4" w:space="0" w:color="auto"/>
            </w:tcBorders>
            <w:shd w:val="clear" w:color="auto" w:fill="auto"/>
          </w:tcPr>
          <w:p w14:paraId="735C6EC0" w14:textId="77777777" w:rsidR="00637E72" w:rsidRPr="00ED6629" w:rsidRDefault="00637E72" w:rsidP="00086672">
            <w:pPr>
              <w:pStyle w:val="FormatvorlageLinks0cm"/>
              <w:spacing w:before="120" w:after="120"/>
              <w:jc w:val="center"/>
              <w:rPr>
                <w:b/>
                <w:lang w:val="de-CH"/>
              </w:rPr>
            </w:pPr>
            <w:r w:rsidRPr="00ED6629">
              <w:rPr>
                <w:lang w:val="de-CH"/>
              </w:rPr>
              <w:t>Finanzmarktteilnehmer</w:t>
            </w:r>
          </w:p>
        </w:tc>
        <w:tc>
          <w:tcPr>
            <w:tcW w:w="4536" w:type="dxa"/>
            <w:tcBorders>
              <w:top w:val="single" w:sz="4" w:space="0" w:color="auto"/>
              <w:right w:val="single" w:sz="4" w:space="0" w:color="auto"/>
            </w:tcBorders>
            <w:shd w:val="clear" w:color="auto" w:fill="auto"/>
          </w:tcPr>
          <w:p w14:paraId="3C11C026" w14:textId="77777777" w:rsidR="00637E72" w:rsidRPr="00ED6629" w:rsidRDefault="00637E72" w:rsidP="00086672">
            <w:pPr>
              <w:pStyle w:val="FormatvorlageLinks0cm"/>
              <w:spacing w:before="120" w:after="120"/>
              <w:jc w:val="center"/>
              <w:rPr>
                <w:b/>
                <w:lang w:val="de-CH"/>
              </w:rPr>
            </w:pPr>
            <w:r>
              <w:rPr>
                <w:lang w:val="de-CH"/>
              </w:rPr>
              <w:t>Finanzberater</w:t>
            </w:r>
          </w:p>
        </w:tc>
      </w:tr>
      <w:tr w:rsidR="00637E72" w:rsidRPr="00D12445" w14:paraId="10A5A007" w14:textId="77777777" w:rsidTr="00086672">
        <w:tc>
          <w:tcPr>
            <w:tcW w:w="2302" w:type="dxa"/>
            <w:tcBorders>
              <w:left w:val="single" w:sz="4" w:space="0" w:color="auto"/>
              <w:bottom w:val="single" w:sz="4" w:space="0" w:color="auto"/>
            </w:tcBorders>
            <w:shd w:val="clear" w:color="auto" w:fill="auto"/>
            <w:vAlign w:val="center"/>
          </w:tcPr>
          <w:p w14:paraId="35FA4D33" w14:textId="77777777" w:rsidR="00637E72" w:rsidRPr="00ED6629" w:rsidRDefault="00637E72" w:rsidP="00086672">
            <w:pPr>
              <w:pStyle w:val="FormatvorlageLinks0cm"/>
              <w:spacing w:after="120"/>
              <w:rPr>
                <w:b/>
                <w:lang w:val="de-CH"/>
              </w:rPr>
            </w:pPr>
          </w:p>
        </w:tc>
        <w:tc>
          <w:tcPr>
            <w:tcW w:w="5386" w:type="dxa"/>
            <w:tcBorders>
              <w:bottom w:val="single" w:sz="4" w:space="0" w:color="auto"/>
            </w:tcBorders>
            <w:shd w:val="clear" w:color="auto" w:fill="auto"/>
            <w:vAlign w:val="center"/>
          </w:tcPr>
          <w:p w14:paraId="5E707C9C" w14:textId="77777777"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1954941865"/>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c>
          <w:tcPr>
            <w:tcW w:w="4536" w:type="dxa"/>
            <w:tcBorders>
              <w:bottom w:val="single" w:sz="4" w:space="0" w:color="auto"/>
              <w:right w:val="single" w:sz="4" w:space="0" w:color="auto"/>
            </w:tcBorders>
            <w:shd w:val="clear" w:color="auto" w:fill="auto"/>
          </w:tcPr>
          <w:p w14:paraId="1C6959C5" w14:textId="4F13EA38"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399189490"/>
                <w14:checkbox>
                  <w14:checked w14:val="0"/>
                  <w14:checkedState w14:val="00FE" w14:font="Wingdings"/>
                  <w14:uncheckedState w14:val="2610" w14:font="MS Gothic"/>
                </w14:checkbox>
              </w:sdtPr>
              <w:sdtEndPr/>
              <w:sdtContent>
                <w:r w:rsidR="00637E72">
                  <w:rPr>
                    <w:rFonts w:ascii="MS Gothic" w:eastAsia="MS Gothic" w:hAnsi="MS Gothic" w:hint="eastAsia"/>
                    <w:sz w:val="24"/>
                  </w:rPr>
                  <w:t>☐</w:t>
                </w:r>
              </w:sdtContent>
            </w:sdt>
          </w:p>
        </w:tc>
      </w:tr>
      <w:tr w:rsidR="00637E72" w:rsidRPr="00D12445" w14:paraId="34E77845" w14:textId="77777777" w:rsidTr="00086672">
        <w:tc>
          <w:tcPr>
            <w:tcW w:w="12224" w:type="dxa"/>
            <w:gridSpan w:val="3"/>
            <w:tcBorders>
              <w:top w:val="single" w:sz="4" w:space="0" w:color="auto"/>
            </w:tcBorders>
            <w:shd w:val="clear" w:color="auto" w:fill="auto"/>
          </w:tcPr>
          <w:p w14:paraId="3CF8EEA1" w14:textId="77777777" w:rsidR="00637E72" w:rsidRDefault="00637E72" w:rsidP="00086672">
            <w:pPr>
              <w:pStyle w:val="FormatvorlageLinks0cm"/>
              <w:jc w:val="center"/>
              <w:rPr>
                <w:lang w:val="de-CH"/>
              </w:rPr>
            </w:pPr>
          </w:p>
        </w:tc>
      </w:tr>
      <w:tr w:rsidR="00637E72" w:rsidRPr="00D12445" w14:paraId="4291FC64" w14:textId="77777777" w:rsidTr="00086672">
        <w:tc>
          <w:tcPr>
            <w:tcW w:w="12224" w:type="dxa"/>
            <w:gridSpan w:val="3"/>
            <w:shd w:val="clear" w:color="auto" w:fill="auto"/>
          </w:tcPr>
          <w:p w14:paraId="1D2B553A" w14:textId="77777777" w:rsidR="00637E72" w:rsidRPr="00D12445" w:rsidRDefault="00637E72" w:rsidP="00637E72">
            <w:pPr>
              <w:pStyle w:val="FormatvorlageLinks0cm"/>
              <w:spacing w:after="120"/>
              <w:rPr>
                <w:lang w:val="de-CH"/>
              </w:rPr>
            </w:pPr>
            <w:r w:rsidRPr="00D12445">
              <w:rPr>
                <w:lang w:val="de-CH"/>
              </w:rPr>
              <w:t xml:space="preserve">Die Revisionsstelle beurteilt die Einhaltung der nachhaltigkeitsbezogenen Offenlegungen in den regelmässigen Berichten der Finanzprodukte. </w:t>
            </w:r>
          </w:p>
          <w:p w14:paraId="22715A01" w14:textId="5434FE03" w:rsidR="00637E72" w:rsidRPr="00D12445" w:rsidRDefault="00637E72" w:rsidP="00637E72">
            <w:pPr>
              <w:pStyle w:val="Listenabsatz"/>
              <w:spacing w:line="240" w:lineRule="auto"/>
              <w:ind w:left="0"/>
              <w:contextualSpacing w:val="0"/>
              <w:rPr>
                <w:rFonts w:cs="Arial"/>
              </w:rPr>
            </w:pPr>
            <w:r w:rsidRPr="00D12445">
              <w:rPr>
                <w:rFonts w:cs="Arial"/>
              </w:rPr>
              <w:t xml:space="preserve">Die Revisionsstelle nimmt Stellung, ob die nachhaltigkeitsbezogenen Offenlegungen in den regelmässigen Berichten der Finanzprodukte den Anforderungen von Art. 50 bis 57 </w:t>
            </w:r>
            <w:proofErr w:type="spellStart"/>
            <w:r w:rsidRPr="00D12445">
              <w:rPr>
                <w:rFonts w:cs="Arial"/>
              </w:rPr>
              <w:t>i.V.m</w:t>
            </w:r>
            <w:proofErr w:type="spellEnd"/>
            <w:r w:rsidRPr="00D12445">
              <w:rPr>
                <w:rFonts w:cs="Arial"/>
              </w:rPr>
              <w:t xml:space="preserve">. Anhang IV sowie Art. 58 bis 63 </w:t>
            </w:r>
            <w:proofErr w:type="spellStart"/>
            <w:r w:rsidRPr="00D12445">
              <w:rPr>
                <w:rFonts w:cs="Arial"/>
              </w:rPr>
              <w:t>i.V.m</w:t>
            </w:r>
            <w:proofErr w:type="spellEnd"/>
            <w:r w:rsidRPr="00D12445">
              <w:rPr>
                <w:rFonts w:cs="Arial"/>
              </w:rPr>
              <w:t xml:space="preserve">. Anhang V </w:t>
            </w:r>
            <w:r w:rsidR="00086672">
              <w:rPr>
                <w:rFonts w:cs="Arial"/>
              </w:rPr>
              <w:t>SFDR-RTS</w:t>
            </w:r>
            <w:r w:rsidRPr="00D12445">
              <w:rPr>
                <w:rFonts w:cs="Arial"/>
              </w:rPr>
              <w:t xml:space="preserve"> genügen.</w:t>
            </w:r>
          </w:p>
          <w:p w14:paraId="71969A39" w14:textId="77777777" w:rsidR="00637E72" w:rsidRPr="00D12445" w:rsidRDefault="00637E72" w:rsidP="00637E72">
            <w:pPr>
              <w:pStyle w:val="Listenabsatz"/>
              <w:spacing w:after="0" w:line="240" w:lineRule="auto"/>
              <w:ind w:left="0"/>
              <w:rPr>
                <w:rFonts w:cs="Arial"/>
              </w:rPr>
            </w:pPr>
            <w:r w:rsidRPr="00D12445">
              <w:rPr>
                <w:rFonts w:cs="Arial"/>
              </w:rPr>
              <w:t>Hierzu bildet sich die Revisionsstelle mindestens zu den nachfolgenden Anforderungen ein Urteil:</w:t>
            </w:r>
          </w:p>
          <w:p w14:paraId="39A76FF3" w14:textId="77777777" w:rsidR="00637E72" w:rsidRPr="00D12445" w:rsidRDefault="00637E72" w:rsidP="00637E72">
            <w:pPr>
              <w:pStyle w:val="Listenabsatz"/>
              <w:numPr>
                <w:ilvl w:val="0"/>
                <w:numId w:val="13"/>
              </w:numPr>
              <w:spacing w:after="0" w:line="240" w:lineRule="auto"/>
              <w:rPr>
                <w:rFonts w:cs="Arial"/>
              </w:rPr>
            </w:pPr>
            <w:r w:rsidRPr="00D12445">
              <w:rPr>
                <w:rFonts w:cs="Arial"/>
              </w:rPr>
              <w:t>Die Anlagestrategie und -ziele gemäss den vorvertraglichen Informationen wurde umgesetzt.</w:t>
            </w:r>
          </w:p>
          <w:p w14:paraId="677E7ED6" w14:textId="1E217160" w:rsidR="00637E72" w:rsidRPr="00D12445" w:rsidRDefault="00637E72" w:rsidP="00637E72">
            <w:pPr>
              <w:pStyle w:val="Listenabsatz"/>
              <w:numPr>
                <w:ilvl w:val="0"/>
                <w:numId w:val="13"/>
              </w:numPr>
              <w:spacing w:after="0" w:line="240" w:lineRule="auto"/>
              <w:rPr>
                <w:rFonts w:cs="Arial"/>
              </w:rPr>
            </w:pPr>
            <w:r w:rsidRPr="00D12445">
              <w:rPr>
                <w:rFonts w:cs="Arial"/>
              </w:rPr>
              <w:t xml:space="preserve">Die verwendeten internen und externen Daten sind angemessen und ausreichend um die Leistung der </w:t>
            </w:r>
            <w:r w:rsidRPr="00D12445">
              <w:t>Nachhaltigkeitsindikatoren und allfällige</w:t>
            </w:r>
            <w:r w:rsidR="00086672">
              <w:t>r</w:t>
            </w:r>
            <w:r w:rsidRPr="00D12445">
              <w:t xml:space="preserve"> Derivate verlässlich zu messen [</w:t>
            </w:r>
            <w:r w:rsidRPr="00086672">
              <w:rPr>
                <w:i/>
              </w:rPr>
              <w:t>Art. 51 Bst. a</w:t>
            </w:r>
            <w:r w:rsidR="00086672" w:rsidRPr="00086672">
              <w:rPr>
                <w:i/>
              </w:rPr>
              <w:t xml:space="preserve">, </w:t>
            </w:r>
            <w:r w:rsidRPr="00086672">
              <w:rPr>
                <w:i/>
              </w:rPr>
              <w:t>Art. 59 Bst. a SFDR</w:t>
            </w:r>
            <w:r w:rsidR="00086672" w:rsidRPr="00086672">
              <w:rPr>
                <w:i/>
              </w:rPr>
              <w:t>-RTS</w:t>
            </w:r>
            <w:r w:rsidRPr="00D12445">
              <w:t>]</w:t>
            </w:r>
            <w:r>
              <w:t>.</w:t>
            </w:r>
          </w:p>
          <w:p w14:paraId="7AD4D578" w14:textId="58A3858E" w:rsidR="00637E72" w:rsidRPr="00D12445" w:rsidRDefault="00637E72" w:rsidP="00637E72">
            <w:pPr>
              <w:pStyle w:val="Listenabsatz"/>
              <w:numPr>
                <w:ilvl w:val="0"/>
                <w:numId w:val="13"/>
              </w:numPr>
              <w:spacing w:after="0" w:line="240" w:lineRule="auto"/>
              <w:rPr>
                <w:rFonts w:cs="Arial"/>
              </w:rPr>
            </w:pPr>
            <w:r w:rsidRPr="00D12445">
              <w:rPr>
                <w:rFonts w:cs="Arial"/>
              </w:rPr>
              <w:t>In Bezug auf Finanzprodukte, die eine Verpflichtung zu nachhaltigen Investitionen beinhalteten, wurden die technischen Bewertungskriterien für einzelne Umweltziele angemessen angewandt und das DNSH-Kriterien erfüllt</w:t>
            </w:r>
            <w:r>
              <w:rPr>
                <w:rFonts w:cs="Arial"/>
              </w:rPr>
              <w:t xml:space="preserve"> </w:t>
            </w:r>
            <w:r w:rsidRPr="00D12445">
              <w:t>[</w:t>
            </w:r>
            <w:r w:rsidRPr="00675CB2">
              <w:rPr>
                <w:i/>
              </w:rPr>
              <w:t>Art. 51 Bst. d</w:t>
            </w:r>
            <w:r w:rsidR="00675CB2" w:rsidRPr="00675CB2">
              <w:rPr>
                <w:i/>
              </w:rPr>
              <w:t xml:space="preserve">, </w:t>
            </w:r>
            <w:r w:rsidRPr="00675CB2">
              <w:rPr>
                <w:i/>
              </w:rPr>
              <w:t>Art. 59 Bst. e</w:t>
            </w:r>
            <w:r w:rsidR="00675CB2" w:rsidRPr="00675CB2">
              <w:rPr>
                <w:i/>
              </w:rPr>
              <w:t xml:space="preserve"> </w:t>
            </w:r>
            <w:r w:rsidRPr="00675CB2">
              <w:rPr>
                <w:i/>
              </w:rPr>
              <w:t>SFDR</w:t>
            </w:r>
            <w:r w:rsidR="00675CB2" w:rsidRPr="00675CB2">
              <w:rPr>
                <w:i/>
              </w:rPr>
              <w:t>-RTS</w:t>
            </w:r>
            <w:r w:rsidRPr="00D12445">
              <w:t>]</w:t>
            </w:r>
            <w:r>
              <w:t>.</w:t>
            </w:r>
          </w:p>
          <w:p w14:paraId="520E54DA" w14:textId="235889D3" w:rsidR="00637E72" w:rsidRPr="00D12445" w:rsidRDefault="00637E72" w:rsidP="00637E72">
            <w:pPr>
              <w:pStyle w:val="Listenabsatz"/>
              <w:numPr>
                <w:ilvl w:val="0"/>
                <w:numId w:val="13"/>
              </w:numPr>
              <w:spacing w:after="0" w:line="240" w:lineRule="auto"/>
              <w:rPr>
                <w:rFonts w:cs="Arial"/>
              </w:rPr>
            </w:pPr>
            <w:r w:rsidRPr="00D12445">
              <w:rPr>
                <w:rFonts w:cs="Arial"/>
              </w:rPr>
              <w:t xml:space="preserve">Die Darstellung der Informationen entspricht den allgemeinen Grundsätzen </w:t>
            </w:r>
            <w:r w:rsidR="00675CB2">
              <w:rPr>
                <w:rFonts w:cs="Arial"/>
              </w:rPr>
              <w:t>[</w:t>
            </w:r>
            <w:r w:rsidRPr="00675CB2">
              <w:rPr>
                <w:rFonts w:cs="Arial"/>
                <w:i/>
              </w:rPr>
              <w:t xml:space="preserve">Art. 2 </w:t>
            </w:r>
            <w:r w:rsidR="00675CB2" w:rsidRPr="00675CB2">
              <w:rPr>
                <w:rFonts w:cs="Arial"/>
                <w:i/>
              </w:rPr>
              <w:t>SFDR-RTS</w:t>
            </w:r>
            <w:r w:rsidR="00675CB2">
              <w:rPr>
                <w:rFonts w:cs="Arial"/>
              </w:rPr>
              <w:t>]</w:t>
            </w:r>
            <w:r w:rsidRPr="00D12445">
              <w:rPr>
                <w:rFonts w:cs="Arial"/>
              </w:rPr>
              <w:t xml:space="preserve">. Sie ist </w:t>
            </w:r>
            <w:r w:rsidRPr="00D12445">
              <w:t>einfach, knapp, verständlich, redlich, klar und nicht irreführend</w:t>
            </w:r>
            <w:r>
              <w:t>, so dass sie von einem durchschnittlichen Anleger verstanden werden kann.</w:t>
            </w:r>
          </w:p>
          <w:p w14:paraId="0ADA1D91" w14:textId="77777777" w:rsidR="00637E72" w:rsidRPr="00D12445" w:rsidRDefault="00637E72" w:rsidP="00637E72">
            <w:pPr>
              <w:pStyle w:val="Listenabsatz"/>
              <w:numPr>
                <w:ilvl w:val="0"/>
                <w:numId w:val="13"/>
              </w:numPr>
              <w:spacing w:after="0" w:line="240" w:lineRule="auto"/>
              <w:rPr>
                <w:rFonts w:cs="Arial"/>
              </w:rPr>
            </w:pPr>
            <w:r w:rsidRPr="00D12445">
              <w:rPr>
                <w:rFonts w:cs="Arial"/>
              </w:rPr>
              <w:t>Die enthaltenen Informationen stehen im Einklang mit den Offenlegungen in den vorvertraglichen Informationen und den Produktinformationen auf der Internetseite.</w:t>
            </w:r>
          </w:p>
          <w:p w14:paraId="6CAD0C81" w14:textId="56DB13BE" w:rsidR="00637E72" w:rsidRPr="00D12445" w:rsidRDefault="00637E72" w:rsidP="00637E72">
            <w:pPr>
              <w:pStyle w:val="Listenabsatz"/>
              <w:numPr>
                <w:ilvl w:val="0"/>
                <w:numId w:val="13"/>
              </w:numPr>
              <w:spacing w:after="0" w:line="240" w:lineRule="auto"/>
              <w:rPr>
                <w:rFonts w:cs="Arial"/>
              </w:rPr>
            </w:pPr>
            <w:r w:rsidRPr="00D12445">
              <w:rPr>
                <w:rFonts w:cs="Arial"/>
              </w:rPr>
              <w:t>Der Hauptteil des regelmässigen Berichts enthält einen deutlichen sichtbaren Verweis auf die Informationen gemäss</w:t>
            </w:r>
            <w:r>
              <w:rPr>
                <w:rFonts w:cs="Arial"/>
              </w:rPr>
              <w:t xml:space="preserve"> Mustervorlage des</w:t>
            </w:r>
            <w:r w:rsidRPr="00D12445">
              <w:rPr>
                <w:rFonts w:cs="Arial"/>
              </w:rPr>
              <w:t xml:space="preserve"> Anhang IV</w:t>
            </w:r>
            <w:r>
              <w:rPr>
                <w:rFonts w:cs="Arial"/>
              </w:rPr>
              <w:t xml:space="preserve"> bzw. Anhang V</w:t>
            </w:r>
            <w:r w:rsidRPr="00D12445">
              <w:t xml:space="preserve"> [</w:t>
            </w:r>
            <w:r w:rsidRPr="00675CB2">
              <w:rPr>
                <w:i/>
              </w:rPr>
              <w:t>Art. 50 Abs. 2</w:t>
            </w:r>
            <w:r w:rsidR="00675CB2" w:rsidRPr="00675CB2">
              <w:rPr>
                <w:i/>
              </w:rPr>
              <w:t xml:space="preserve">, </w:t>
            </w:r>
            <w:r w:rsidRPr="00675CB2">
              <w:rPr>
                <w:i/>
              </w:rPr>
              <w:t>Art. 58 Abs. 2 SFDR</w:t>
            </w:r>
            <w:r w:rsidR="00675CB2" w:rsidRPr="00675CB2">
              <w:rPr>
                <w:i/>
              </w:rPr>
              <w:t>-RTS</w:t>
            </w:r>
            <w:r w:rsidRPr="00D12445">
              <w:t>]</w:t>
            </w:r>
            <w:r>
              <w:t>.</w:t>
            </w:r>
          </w:p>
          <w:p w14:paraId="45C59FFB" w14:textId="293DC7C8" w:rsidR="00637E72" w:rsidRPr="00D12445" w:rsidRDefault="00637E72" w:rsidP="00637E72">
            <w:pPr>
              <w:pStyle w:val="Listenabsatz"/>
              <w:numPr>
                <w:ilvl w:val="0"/>
                <w:numId w:val="13"/>
              </w:numPr>
              <w:spacing w:after="0" w:line="240" w:lineRule="auto"/>
              <w:rPr>
                <w:rFonts w:cs="Arial"/>
              </w:rPr>
            </w:pPr>
            <w:r w:rsidRPr="00D12445">
              <w:rPr>
                <w:rFonts w:cs="Arial"/>
              </w:rPr>
              <w:t xml:space="preserve">Die Angaben hinsichtlich die Hauptinvestitionen, die Vermögensallokation und Wirtschaftssektoren sind anhand Daten nachvollziehbar und konsistent mit den übrigen Angaben im regelmässigen Bericht </w:t>
            </w:r>
            <w:r w:rsidRPr="00D12445">
              <w:t>[</w:t>
            </w:r>
            <w:r w:rsidRPr="00675CB2">
              <w:rPr>
                <w:i/>
              </w:rPr>
              <w:t>Art. 52-54</w:t>
            </w:r>
            <w:r w:rsidR="00675CB2" w:rsidRPr="00675CB2">
              <w:rPr>
                <w:i/>
              </w:rPr>
              <w:t xml:space="preserve">, </w:t>
            </w:r>
            <w:r w:rsidRPr="00675CB2">
              <w:rPr>
                <w:i/>
              </w:rPr>
              <w:t>Art. 60-61 SFDR</w:t>
            </w:r>
            <w:r w:rsidR="00675CB2" w:rsidRPr="00675CB2">
              <w:rPr>
                <w:i/>
              </w:rPr>
              <w:t>-RTS</w:t>
            </w:r>
            <w:r w:rsidRPr="00D12445">
              <w:t>]</w:t>
            </w:r>
            <w:r>
              <w:t>.</w:t>
            </w:r>
          </w:p>
          <w:p w14:paraId="49974869" w14:textId="2C05159B" w:rsidR="00637E72" w:rsidRPr="00D12445" w:rsidRDefault="00637E72" w:rsidP="00637E72">
            <w:pPr>
              <w:pStyle w:val="Listenabsatz"/>
              <w:numPr>
                <w:ilvl w:val="0"/>
                <w:numId w:val="13"/>
              </w:numPr>
              <w:spacing w:after="0" w:line="240" w:lineRule="auto"/>
              <w:rPr>
                <w:rFonts w:cs="Arial"/>
              </w:rPr>
            </w:pPr>
            <w:r w:rsidRPr="00D12445">
              <w:t xml:space="preserve">Die Ermittlung des Anteils der nachhaltigkeitsbezogenen Investitionen erfolgt anhand der Vorgaben von Art. 17 </w:t>
            </w:r>
            <w:r w:rsidR="00675CB2">
              <w:t>SFDR-RTS</w:t>
            </w:r>
            <w:r w:rsidRPr="00D12445">
              <w:t xml:space="preserve"> [</w:t>
            </w:r>
            <w:r w:rsidRPr="00675CB2">
              <w:rPr>
                <w:i/>
              </w:rPr>
              <w:t>Art.</w:t>
            </w:r>
            <w:r w:rsidR="00675CB2" w:rsidRPr="00675CB2">
              <w:rPr>
                <w:i/>
              </w:rPr>
              <w:t> </w:t>
            </w:r>
            <w:r w:rsidRPr="00675CB2">
              <w:rPr>
                <w:i/>
              </w:rPr>
              <w:t>55</w:t>
            </w:r>
            <w:r w:rsidR="00675CB2" w:rsidRPr="00675CB2">
              <w:rPr>
                <w:i/>
              </w:rPr>
              <w:t xml:space="preserve">, </w:t>
            </w:r>
            <w:r w:rsidRPr="00675CB2">
              <w:rPr>
                <w:i/>
              </w:rPr>
              <w:t>Art. 62</w:t>
            </w:r>
            <w:r w:rsidR="00675CB2" w:rsidRPr="00675CB2">
              <w:rPr>
                <w:i/>
              </w:rPr>
              <w:t xml:space="preserve"> </w:t>
            </w:r>
            <w:r w:rsidRPr="00675CB2">
              <w:rPr>
                <w:i/>
              </w:rPr>
              <w:t>SFDR</w:t>
            </w:r>
            <w:r w:rsidR="00675CB2" w:rsidRPr="00675CB2">
              <w:rPr>
                <w:i/>
              </w:rPr>
              <w:t>-RTS</w:t>
            </w:r>
            <w:r w:rsidRPr="00D12445">
              <w:t>]</w:t>
            </w:r>
            <w:r>
              <w:t>.</w:t>
            </w:r>
          </w:p>
          <w:p w14:paraId="4BC1B105" w14:textId="77777777" w:rsidR="00637E72" w:rsidRPr="00D12445" w:rsidRDefault="00637E72" w:rsidP="00637E72">
            <w:pPr>
              <w:pStyle w:val="FormatvorlageLinks0cm"/>
              <w:rPr>
                <w:lang w:val="de-CH"/>
              </w:rPr>
            </w:pPr>
          </w:p>
          <w:p w14:paraId="28BD164F" w14:textId="0586B9EB" w:rsidR="00DB3E71" w:rsidRDefault="00637E72" w:rsidP="00637E72">
            <w:pPr>
              <w:pStyle w:val="FormatvorlageLinks0cm"/>
              <w:rPr>
                <w:lang w:val="de-CH"/>
              </w:rPr>
            </w:pPr>
            <w:r w:rsidRPr="00D12445">
              <w:rPr>
                <w:lang w:val="de-CH"/>
              </w:rPr>
              <w:t>Zur Erlangung eine</w:t>
            </w:r>
            <w:r>
              <w:rPr>
                <w:lang w:val="de-CH"/>
              </w:rPr>
              <w:t xml:space="preserve">r Prüfungsaussage im Prüffeld </w:t>
            </w:r>
            <w:r w:rsidRPr="00D12445">
              <w:rPr>
                <w:lang w:val="de-CH"/>
              </w:rPr>
              <w:t>kann die Revisionsstelle jeweils Stichprobenprüfungen der Art. 8</w:t>
            </w:r>
            <w:r w:rsidR="005F4BE4">
              <w:rPr>
                <w:lang w:val="de-CH"/>
              </w:rPr>
              <w:t xml:space="preserve"> («hellgrünen»)</w:t>
            </w:r>
            <w:r w:rsidRPr="00D12445">
              <w:rPr>
                <w:lang w:val="de-CH"/>
              </w:rPr>
              <w:t xml:space="preserve"> und Art. 9</w:t>
            </w:r>
            <w:r w:rsidR="005F4BE4">
              <w:rPr>
                <w:lang w:val="de-CH"/>
              </w:rPr>
              <w:t xml:space="preserve"> («dunkelgrünen»)</w:t>
            </w:r>
            <w:r w:rsidRPr="00D12445">
              <w:rPr>
                <w:lang w:val="de-CH"/>
              </w:rPr>
              <w:t xml:space="preserve"> Finanzprodukte durchführen. Hierbei können die Stichproben ebenfalls unter Berücksichtigung von Gemeinsamkeiten und Unterschiede der Art. 8 und Art. 9 Finanzprodukte strukturiert werden. Das Auswahlverfahren und die Stichprobengrösse sind </w:t>
            </w:r>
            <w:r>
              <w:rPr>
                <w:lang w:val="de-CH"/>
              </w:rPr>
              <w:t>im</w:t>
            </w:r>
            <w:r w:rsidRPr="00D12445">
              <w:rPr>
                <w:lang w:val="de-CH"/>
              </w:rPr>
              <w:t xml:space="preserve"> Prüffeld anzugeben. Ebenfalls benennt die Revisionsstelle die Finanzprodukte in der Stichprobe.</w:t>
            </w:r>
          </w:p>
          <w:p w14:paraId="114942BD" w14:textId="58EC3B65" w:rsidR="00DB3E71" w:rsidRPr="00832EFD" w:rsidRDefault="00DB3E71" w:rsidP="000A2384">
            <w:pPr>
              <w:pStyle w:val="FormatvorlageLinks0cm"/>
              <w:spacing w:before="120"/>
              <w:rPr>
                <w:lang w:val="de-CH"/>
              </w:rPr>
            </w:pPr>
            <w:r w:rsidRPr="000A2384">
              <w:rPr>
                <w:lang w:val="de-CH"/>
              </w:rPr>
              <w:lastRenderedPageBreak/>
              <w:t>Die Prüfung der Offenlegung in den regelmässigen Berichten entfällt, sofern der Finanzmarktteilnehmer die Offenlegung bereits einer freiwilligen Prüfung durch eine Revisionsstelle vor Veröffentlichung unterstellt hat. Dieser Umstand ist im Bericht über die Aufsichtsprüfung anzugeben.</w:t>
            </w:r>
            <w:r>
              <w:rPr>
                <w:lang w:val="de-CH"/>
              </w:rPr>
              <w:t xml:space="preserve"> </w:t>
            </w:r>
          </w:p>
        </w:tc>
      </w:tr>
    </w:tbl>
    <w:p w14:paraId="6C2F84F9" w14:textId="760D4255" w:rsidR="00366015" w:rsidRDefault="00366015" w:rsidP="00366015"/>
    <w:p w14:paraId="5505B9F7" w14:textId="7FA434A5" w:rsidR="007F5A48" w:rsidRDefault="00CA5150" w:rsidP="00CA5150">
      <w:pPr>
        <w:pStyle w:val="berschrift1"/>
        <w:spacing w:before="120" w:line="240" w:lineRule="auto"/>
      </w:pPr>
      <w:bookmarkStart w:id="125" w:name="_Toc185241530"/>
      <w:r w:rsidRPr="00D12445">
        <w:t>Marketingmitteilungen</w:t>
      </w:r>
      <w:bookmarkEnd w:id="125"/>
    </w:p>
    <w:tbl>
      <w:tblPr>
        <w:tblW w:w="0" w:type="auto"/>
        <w:tblInd w:w="817" w:type="dxa"/>
        <w:tblLook w:val="01E0" w:firstRow="1" w:lastRow="1" w:firstColumn="1" w:lastColumn="1" w:noHBand="0" w:noVBand="0"/>
      </w:tblPr>
      <w:tblGrid>
        <w:gridCol w:w="2301"/>
        <w:gridCol w:w="5380"/>
        <w:gridCol w:w="4531"/>
      </w:tblGrid>
      <w:tr w:rsidR="00637E72" w:rsidRPr="00D12445" w14:paraId="605A10A6" w14:textId="77777777" w:rsidTr="00086672">
        <w:tc>
          <w:tcPr>
            <w:tcW w:w="2302" w:type="dxa"/>
            <w:tcBorders>
              <w:top w:val="single" w:sz="4" w:space="0" w:color="auto"/>
              <w:left w:val="single" w:sz="4" w:space="0" w:color="auto"/>
            </w:tcBorders>
            <w:shd w:val="clear" w:color="auto" w:fill="auto"/>
          </w:tcPr>
          <w:p w14:paraId="742A13FC" w14:textId="77777777" w:rsidR="00637E72" w:rsidRPr="00ED6629" w:rsidRDefault="00637E72" w:rsidP="00086672">
            <w:pPr>
              <w:pStyle w:val="FormatvorlageLinks0cm"/>
              <w:spacing w:before="120" w:after="120"/>
              <w:rPr>
                <w:b/>
                <w:lang w:val="de-CH"/>
              </w:rPr>
            </w:pPr>
            <w:r w:rsidRPr="00ED6629">
              <w:rPr>
                <w:b/>
                <w:lang w:val="de-CH"/>
              </w:rPr>
              <w:t>Anwendungsbereich</w:t>
            </w:r>
          </w:p>
        </w:tc>
        <w:tc>
          <w:tcPr>
            <w:tcW w:w="5386" w:type="dxa"/>
            <w:tcBorders>
              <w:top w:val="single" w:sz="4" w:space="0" w:color="auto"/>
            </w:tcBorders>
            <w:shd w:val="clear" w:color="auto" w:fill="auto"/>
          </w:tcPr>
          <w:p w14:paraId="0D4D9134" w14:textId="77777777" w:rsidR="00637E72" w:rsidRPr="00ED6629" w:rsidRDefault="00637E72" w:rsidP="00086672">
            <w:pPr>
              <w:pStyle w:val="FormatvorlageLinks0cm"/>
              <w:spacing w:before="120" w:after="120"/>
              <w:jc w:val="center"/>
              <w:rPr>
                <w:b/>
                <w:lang w:val="de-CH"/>
              </w:rPr>
            </w:pPr>
            <w:r w:rsidRPr="00ED6629">
              <w:rPr>
                <w:lang w:val="de-CH"/>
              </w:rPr>
              <w:t>Finanzmarktteilnehmer</w:t>
            </w:r>
          </w:p>
        </w:tc>
        <w:tc>
          <w:tcPr>
            <w:tcW w:w="4536" w:type="dxa"/>
            <w:tcBorders>
              <w:top w:val="single" w:sz="4" w:space="0" w:color="auto"/>
              <w:right w:val="single" w:sz="4" w:space="0" w:color="auto"/>
            </w:tcBorders>
            <w:shd w:val="clear" w:color="auto" w:fill="auto"/>
          </w:tcPr>
          <w:p w14:paraId="73C825AB" w14:textId="77777777" w:rsidR="00637E72" w:rsidRPr="00ED6629" w:rsidRDefault="00637E72" w:rsidP="00086672">
            <w:pPr>
              <w:pStyle w:val="FormatvorlageLinks0cm"/>
              <w:spacing w:before="120" w:after="120"/>
              <w:jc w:val="center"/>
              <w:rPr>
                <w:b/>
                <w:lang w:val="de-CH"/>
              </w:rPr>
            </w:pPr>
            <w:r>
              <w:rPr>
                <w:lang w:val="de-CH"/>
              </w:rPr>
              <w:t>Finanzberater</w:t>
            </w:r>
          </w:p>
        </w:tc>
      </w:tr>
      <w:tr w:rsidR="00637E72" w:rsidRPr="00D12445" w14:paraId="6DABA648" w14:textId="77777777" w:rsidTr="00086672">
        <w:tc>
          <w:tcPr>
            <w:tcW w:w="2302" w:type="dxa"/>
            <w:tcBorders>
              <w:left w:val="single" w:sz="4" w:space="0" w:color="auto"/>
              <w:bottom w:val="single" w:sz="4" w:space="0" w:color="auto"/>
            </w:tcBorders>
            <w:shd w:val="clear" w:color="auto" w:fill="auto"/>
            <w:vAlign w:val="center"/>
          </w:tcPr>
          <w:p w14:paraId="7A3D9022" w14:textId="77777777" w:rsidR="00637E72" w:rsidRPr="00ED6629" w:rsidRDefault="00637E72" w:rsidP="00086672">
            <w:pPr>
              <w:pStyle w:val="FormatvorlageLinks0cm"/>
              <w:spacing w:after="120"/>
              <w:rPr>
                <w:b/>
                <w:lang w:val="de-CH"/>
              </w:rPr>
            </w:pPr>
          </w:p>
        </w:tc>
        <w:tc>
          <w:tcPr>
            <w:tcW w:w="5386" w:type="dxa"/>
            <w:tcBorders>
              <w:bottom w:val="single" w:sz="4" w:space="0" w:color="auto"/>
            </w:tcBorders>
            <w:shd w:val="clear" w:color="auto" w:fill="auto"/>
            <w:vAlign w:val="center"/>
          </w:tcPr>
          <w:p w14:paraId="26CF74C5" w14:textId="77777777"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1355548256"/>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c>
          <w:tcPr>
            <w:tcW w:w="4536" w:type="dxa"/>
            <w:tcBorders>
              <w:bottom w:val="single" w:sz="4" w:space="0" w:color="auto"/>
              <w:right w:val="single" w:sz="4" w:space="0" w:color="auto"/>
            </w:tcBorders>
            <w:shd w:val="clear" w:color="auto" w:fill="auto"/>
          </w:tcPr>
          <w:p w14:paraId="7FBF6C53" w14:textId="77777777" w:rsidR="00637E72" w:rsidRPr="00637E72" w:rsidRDefault="001722BF" w:rsidP="00086672">
            <w:pPr>
              <w:pStyle w:val="FormatvorlageLinks0cm"/>
              <w:spacing w:after="120"/>
              <w:jc w:val="center"/>
              <w:rPr>
                <w:sz w:val="24"/>
                <w:lang w:val="de-CH"/>
              </w:rPr>
            </w:pPr>
            <w:sdt>
              <w:sdtPr>
                <w:rPr>
                  <w:rFonts w:ascii="MS Gothic" w:eastAsia="MS Gothic" w:hAnsi="MS Gothic"/>
                  <w:sz w:val="24"/>
                </w:rPr>
                <w:id w:val="-666556642"/>
                <w14:checkbox>
                  <w14:checked w14:val="1"/>
                  <w14:checkedState w14:val="00FE" w14:font="Wingdings"/>
                  <w14:uncheckedState w14:val="2610" w14:font="MS Gothic"/>
                </w14:checkbox>
              </w:sdtPr>
              <w:sdtEndPr/>
              <w:sdtContent>
                <w:r w:rsidR="00637E72" w:rsidRPr="00637E72">
                  <w:rPr>
                    <w:rFonts w:ascii="Wingdings" w:eastAsia="Wingdings" w:hAnsi="Wingdings" w:cs="Wingdings"/>
                    <w:sz w:val="24"/>
                  </w:rPr>
                  <w:t></w:t>
                </w:r>
              </w:sdtContent>
            </w:sdt>
          </w:p>
        </w:tc>
      </w:tr>
      <w:tr w:rsidR="00637E72" w:rsidRPr="00D12445" w14:paraId="2A814DFF" w14:textId="77777777" w:rsidTr="00086672">
        <w:tc>
          <w:tcPr>
            <w:tcW w:w="12224" w:type="dxa"/>
            <w:gridSpan w:val="3"/>
            <w:tcBorders>
              <w:top w:val="single" w:sz="4" w:space="0" w:color="auto"/>
            </w:tcBorders>
            <w:shd w:val="clear" w:color="auto" w:fill="auto"/>
          </w:tcPr>
          <w:p w14:paraId="6D171B5A" w14:textId="77777777" w:rsidR="00637E72" w:rsidRDefault="00637E72" w:rsidP="00086672">
            <w:pPr>
              <w:pStyle w:val="FormatvorlageLinks0cm"/>
              <w:jc w:val="center"/>
              <w:rPr>
                <w:lang w:val="de-CH"/>
              </w:rPr>
            </w:pPr>
          </w:p>
        </w:tc>
      </w:tr>
      <w:tr w:rsidR="00637E72" w:rsidRPr="00D12445" w14:paraId="1610AE02" w14:textId="77777777" w:rsidTr="00086672">
        <w:tc>
          <w:tcPr>
            <w:tcW w:w="12224" w:type="dxa"/>
            <w:gridSpan w:val="3"/>
            <w:shd w:val="clear" w:color="auto" w:fill="auto"/>
          </w:tcPr>
          <w:p w14:paraId="2C5B4A40" w14:textId="6527E267" w:rsidR="00637E72" w:rsidRPr="00141394" w:rsidRDefault="00637E72" w:rsidP="00637E72">
            <w:pPr>
              <w:pStyle w:val="FormatvorlageLinks0cm"/>
              <w:spacing w:after="120"/>
              <w:rPr>
                <w:lang w:val="de-CH"/>
              </w:rPr>
            </w:pPr>
            <w:r>
              <w:rPr>
                <w:lang w:val="de-CH"/>
              </w:rPr>
              <w:t>Die Revisionsstelle</w:t>
            </w:r>
            <w:r w:rsidRPr="00141394">
              <w:rPr>
                <w:lang w:val="de-CH"/>
              </w:rPr>
              <w:t xml:space="preserve"> </w:t>
            </w:r>
            <w:r>
              <w:rPr>
                <w:lang w:val="de-CH"/>
              </w:rPr>
              <w:t>prüft</w:t>
            </w:r>
            <w:r w:rsidRPr="00141394">
              <w:rPr>
                <w:lang w:val="de-CH"/>
              </w:rPr>
              <w:t xml:space="preserve">, dass </w:t>
            </w:r>
            <w:r w:rsidR="00675CB2">
              <w:rPr>
                <w:lang w:val="de-CH"/>
              </w:rPr>
              <w:t>angemessene</w:t>
            </w:r>
            <w:r w:rsidRPr="00141394">
              <w:rPr>
                <w:lang w:val="de-CH"/>
              </w:rPr>
              <w:t xml:space="preserve"> Verfahren auf den verschiedenen Ebenen der Organisation umgesetzt wurden, um Greenwashing-Risiken zu identifizieren und zu </w:t>
            </w:r>
            <w:proofErr w:type="spellStart"/>
            <w:r w:rsidRPr="00141394">
              <w:rPr>
                <w:lang w:val="de-CH"/>
              </w:rPr>
              <w:t>mitigieren</w:t>
            </w:r>
            <w:proofErr w:type="spellEnd"/>
            <w:r w:rsidRPr="00141394">
              <w:rPr>
                <w:lang w:val="de-CH"/>
              </w:rPr>
              <w:t xml:space="preserve">. </w:t>
            </w:r>
          </w:p>
          <w:p w14:paraId="453C44A1" w14:textId="64BF12CC" w:rsidR="00637E72" w:rsidRPr="00141394" w:rsidRDefault="00637E72" w:rsidP="00637E72">
            <w:pPr>
              <w:pStyle w:val="FormatvorlageLinks0cm"/>
              <w:spacing w:after="120"/>
              <w:rPr>
                <w:lang w:val="de-CH"/>
              </w:rPr>
            </w:pPr>
            <w:r>
              <w:rPr>
                <w:lang w:val="de-CH"/>
              </w:rPr>
              <w:t xml:space="preserve">Sie </w:t>
            </w:r>
            <w:r w:rsidRPr="00141394">
              <w:t>beurteilt und beschreibt die organisatorischen Vorkehrungen zur Verhinderung von Greenwashing</w:t>
            </w:r>
            <w:r w:rsidR="00675CB2">
              <w:t>, insbesondere</w:t>
            </w:r>
            <w:r w:rsidRPr="00141394">
              <w:t xml:space="preserve"> durch irreführende</w:t>
            </w:r>
            <w:r w:rsidR="00675CB2">
              <w:t xml:space="preserve"> </w:t>
            </w:r>
            <w:r w:rsidRPr="00141394">
              <w:t>Marketinginformationen</w:t>
            </w:r>
            <w:r>
              <w:t xml:space="preserve"> [</w:t>
            </w:r>
            <w:r w:rsidRPr="00675CB2">
              <w:rPr>
                <w:i/>
                <w:lang w:val="de-CH"/>
              </w:rPr>
              <w:t>Art. 13 SFDR</w:t>
            </w:r>
            <w:r w:rsidR="00675CB2">
              <w:rPr>
                <w:i/>
                <w:lang w:val="de-CH"/>
              </w:rPr>
              <w:t xml:space="preserve">; </w:t>
            </w:r>
            <w:r w:rsidR="00675CB2" w:rsidRPr="00675CB2">
              <w:rPr>
                <w:i/>
                <w:lang w:val="de-CH"/>
              </w:rPr>
              <w:t>ESMA34-45-1272</w:t>
            </w:r>
            <w:r>
              <w:t>].</w:t>
            </w:r>
          </w:p>
          <w:p w14:paraId="3421A3FD" w14:textId="7A3EAF52" w:rsidR="00637E72" w:rsidRDefault="00637E72" w:rsidP="00637E72">
            <w:pPr>
              <w:pStyle w:val="Listenabsatz"/>
              <w:spacing w:line="240" w:lineRule="auto"/>
              <w:ind w:left="0"/>
              <w:contextualSpacing w:val="0"/>
            </w:pPr>
            <w:r w:rsidRPr="00D12445">
              <w:rPr>
                <w:rFonts w:cs="Arial"/>
              </w:rPr>
              <w:t xml:space="preserve">Die Revisionsstelle prüft die Darstellung der nachhaltigkeitsbezogenen Anlagestrategien der Finanzprodukte, insbesondere hinsichtlich deren nicht verbindlichen Elemente, in den Marketingmitteilungen. Des Weiteren beurteilt die Revisionsstelle, ob allfällige nachhaltigkeitsbezogene Qualifikationen der Finanzprodukte, wie ESG-Labels, -Auszeichnungen, -Ratings oder -Zertifikate </w:t>
            </w:r>
            <w:r w:rsidRPr="00D12445">
              <w:t xml:space="preserve">im Einklang mit den </w:t>
            </w:r>
            <w:r w:rsidR="002115EF">
              <w:t xml:space="preserve">Inhalten der </w:t>
            </w:r>
            <w:r w:rsidRPr="00D12445">
              <w:t>regulatorischen nachhaltigkeitsbezogenen Offenlegungen stehen.</w:t>
            </w:r>
          </w:p>
          <w:p w14:paraId="099CF00A" w14:textId="5A3127B1" w:rsidR="00637E72" w:rsidRDefault="00637E72" w:rsidP="00637E72">
            <w:pPr>
              <w:pStyle w:val="Listenabsatz"/>
              <w:spacing w:after="0" w:line="240" w:lineRule="auto"/>
              <w:ind w:left="0"/>
            </w:pPr>
            <w:r>
              <w:t>Des Weiteren prüft die Revisionsstelle, dass der Internetauftritt des Finanzmarktteilnehmers/Finanzberaters (Selbstpräsentation) nicht im Widerspruch mit den</w:t>
            </w:r>
            <w:r w:rsidR="002115EF">
              <w:t xml:space="preserve"> Inhalten der</w:t>
            </w:r>
            <w:r>
              <w:t xml:space="preserve"> regulatorischen geforderten nachhaltigkeitsbezogenen Offenlegungen und den verwalteten Finanzprodukten</w:t>
            </w:r>
            <w:r w:rsidR="00A12EFC">
              <w:t xml:space="preserve"> bzw. angebotenen </w:t>
            </w:r>
            <w:r w:rsidR="00A12EFC" w:rsidRPr="008E1AFB">
              <w:rPr>
                <w:rFonts w:eastAsia="Times New Roman" w:cs="Arial"/>
                <w:lang w:eastAsia="fr-FR"/>
              </w:rPr>
              <w:t>Beratungsdienstleitungen</w:t>
            </w:r>
            <w:r>
              <w:t xml:space="preserve"> steht.</w:t>
            </w:r>
          </w:p>
          <w:p w14:paraId="64B15BEA" w14:textId="77777777" w:rsidR="00637E72" w:rsidRDefault="00637E72" w:rsidP="00637E72">
            <w:pPr>
              <w:pStyle w:val="Listenabsatz"/>
              <w:spacing w:after="0" w:line="240" w:lineRule="auto"/>
              <w:ind w:left="0"/>
            </w:pPr>
          </w:p>
          <w:p w14:paraId="4F3096A9" w14:textId="563FDFA4" w:rsidR="00637E72" w:rsidRPr="00832EFD" w:rsidRDefault="00637E72" w:rsidP="00675CB2">
            <w:pPr>
              <w:pStyle w:val="Listenabsatz"/>
              <w:spacing w:after="0" w:line="240" w:lineRule="auto"/>
              <w:ind w:left="0"/>
            </w:pPr>
            <w:r w:rsidRPr="00141394">
              <w:t>Ebenso</w:t>
            </w:r>
            <w:r>
              <w:t xml:space="preserve"> prüft sie, dass</w:t>
            </w:r>
            <w:r w:rsidRPr="00141394">
              <w:t xml:space="preserve"> angemessene interne Regelungen der Finanzmarktteilnehmer</w:t>
            </w:r>
            <w:r>
              <w:t xml:space="preserve"> </w:t>
            </w:r>
            <w:r w:rsidRPr="00141394">
              <w:t>gewährleisten, dass die Namensgebung von Finanzprodukte nicht irreführend und im Einklang mit den nachhaltigkeitsbezogenen Anlagestrategien und Anlageziele ist [</w:t>
            </w:r>
            <w:r w:rsidR="00B95D24" w:rsidRPr="00B95D24">
              <w:rPr>
                <w:i/>
              </w:rPr>
              <w:t>ESMA34-1592494965-657</w:t>
            </w:r>
            <w:r w:rsidRPr="00141394">
              <w:t>].</w:t>
            </w:r>
          </w:p>
        </w:tc>
      </w:tr>
    </w:tbl>
    <w:p w14:paraId="73FF8A53" w14:textId="19B2B55D" w:rsidR="00271484" w:rsidRDefault="00271484" w:rsidP="00271484">
      <w:pPr>
        <w:pStyle w:val="berschrift1"/>
        <w:numPr>
          <w:ilvl w:val="0"/>
          <w:numId w:val="0"/>
        </w:numPr>
        <w:spacing w:line="240" w:lineRule="auto"/>
        <w:ind w:left="709"/>
      </w:pPr>
    </w:p>
    <w:p w14:paraId="77E46F0C" w14:textId="11851D64" w:rsidR="00271484" w:rsidRDefault="00271484" w:rsidP="00271484"/>
    <w:p w14:paraId="3AC54CE3" w14:textId="77777777" w:rsidR="00271484" w:rsidRPr="00916E73" w:rsidRDefault="00271484" w:rsidP="00077AB2"/>
    <w:p w14:paraId="3C0AE67C" w14:textId="5DE6A2C7" w:rsidR="00987E14" w:rsidRPr="00D12445" w:rsidRDefault="00987E14" w:rsidP="00077AB2">
      <w:pPr>
        <w:pStyle w:val="berschrift1"/>
        <w:spacing w:before="120" w:line="240" w:lineRule="auto"/>
      </w:pPr>
      <w:bookmarkStart w:id="126" w:name="_Toc185241531"/>
      <w:r w:rsidRPr="00D12445">
        <w:lastRenderedPageBreak/>
        <w:t xml:space="preserve">Anhang zum </w:t>
      </w:r>
      <w:r w:rsidR="00830146" w:rsidRPr="00D12445">
        <w:t>Bericht über die Aufsichtsprüfung</w:t>
      </w:r>
      <w:bookmarkEnd w:id="126"/>
    </w:p>
    <w:tbl>
      <w:tblPr>
        <w:tblW w:w="12191" w:type="dxa"/>
        <w:tblInd w:w="817" w:type="dxa"/>
        <w:tblBorders>
          <w:insideH w:val="single" w:sz="4" w:space="0" w:color="auto"/>
        </w:tblBorders>
        <w:tblLook w:val="01E0" w:firstRow="1" w:lastRow="1" w:firstColumn="1" w:lastColumn="1" w:noHBand="0" w:noVBand="0"/>
      </w:tblPr>
      <w:tblGrid>
        <w:gridCol w:w="12191"/>
      </w:tblGrid>
      <w:tr w:rsidR="00E943E0" w:rsidRPr="00D12445" w14:paraId="573CF088" w14:textId="77777777" w:rsidTr="00F32947">
        <w:tc>
          <w:tcPr>
            <w:tcW w:w="12191" w:type="dxa"/>
            <w:shd w:val="clear" w:color="auto" w:fill="auto"/>
          </w:tcPr>
          <w:p w14:paraId="0938E9DC" w14:textId="77777777" w:rsidR="00E943E0" w:rsidRPr="00D12445" w:rsidRDefault="00E943E0" w:rsidP="00F32947">
            <w:pPr>
              <w:pStyle w:val="FormatvorlageLinks0cm"/>
              <w:rPr>
                <w:lang w:val="de-CH"/>
              </w:rPr>
            </w:pPr>
            <w:r w:rsidRPr="00D12445">
              <w:rPr>
                <w:lang w:val="de-CH"/>
              </w:rPr>
              <w:t xml:space="preserve">Der Anhang zum </w:t>
            </w:r>
            <w:r w:rsidR="00830146" w:rsidRPr="00D12445">
              <w:rPr>
                <w:lang w:val="de-CH"/>
              </w:rPr>
              <w:t>Bericht über die Aufsichtsprüfung</w:t>
            </w:r>
            <w:r w:rsidR="000C2009" w:rsidRPr="00D12445">
              <w:rPr>
                <w:lang w:val="de-CH"/>
              </w:rPr>
              <w:t xml:space="preserve"> </w:t>
            </w:r>
            <w:r w:rsidRPr="00D12445">
              <w:rPr>
                <w:lang w:val="de-CH"/>
              </w:rPr>
              <w:t>besteht aus:</w:t>
            </w:r>
          </w:p>
          <w:p w14:paraId="3C241512" w14:textId="31482A6E" w:rsidR="000806E4" w:rsidRDefault="002456B3" w:rsidP="00A06351">
            <w:pPr>
              <w:numPr>
                <w:ilvl w:val="0"/>
                <w:numId w:val="11"/>
              </w:numPr>
              <w:tabs>
                <w:tab w:val="num" w:pos="317"/>
              </w:tabs>
              <w:spacing w:after="0" w:line="240" w:lineRule="auto"/>
              <w:ind w:left="317" w:hanging="283"/>
            </w:pPr>
            <w:r w:rsidRPr="00D12445">
              <w:rPr>
                <w:rFonts w:cs="Arial"/>
              </w:rPr>
              <w:t>A</w:t>
            </w:r>
            <w:r w:rsidRPr="00D12445">
              <w:t xml:space="preserve">nhang </w:t>
            </w:r>
            <w:r w:rsidR="00077AB2">
              <w:t>1</w:t>
            </w:r>
            <w:r w:rsidRPr="00D12445">
              <w:t xml:space="preserve">: </w:t>
            </w:r>
            <w:r w:rsidR="00E943E0" w:rsidRPr="00D12445">
              <w:rPr>
                <w:rFonts w:cs="Arial"/>
              </w:rPr>
              <w:t>Risikoanalyse</w:t>
            </w:r>
            <w:r w:rsidR="00E943E0" w:rsidRPr="00D12445">
              <w:t xml:space="preserve">/Prüfstrategie </w:t>
            </w:r>
          </w:p>
          <w:p w14:paraId="58C6A1E0" w14:textId="1D72CCC7" w:rsidR="005F4BE4" w:rsidRPr="00D12445" w:rsidRDefault="005F4BE4" w:rsidP="00A06351">
            <w:pPr>
              <w:numPr>
                <w:ilvl w:val="0"/>
                <w:numId w:val="11"/>
              </w:numPr>
              <w:tabs>
                <w:tab w:val="num" w:pos="317"/>
              </w:tabs>
              <w:spacing w:after="0" w:line="240" w:lineRule="auto"/>
              <w:ind w:left="317" w:hanging="283"/>
            </w:pPr>
            <w:r>
              <w:t xml:space="preserve">Anhang </w:t>
            </w:r>
            <w:r w:rsidR="00077AB2">
              <w:t>2</w:t>
            </w:r>
            <w:r>
              <w:t xml:space="preserve">: </w:t>
            </w:r>
            <w:r w:rsidR="006F3C54">
              <w:t xml:space="preserve">veröffentlichte </w:t>
            </w:r>
            <w:r w:rsidRPr="005F4BE4">
              <w:t>Erklärung zu den wichtigsten nachteiligen Auswirkungen von Investitionsentscheidungen auf Nachhaltigkeitsfaktoren</w:t>
            </w:r>
            <w:r w:rsidR="006F3C54">
              <w:t xml:space="preserve"> bzw. bei der Versicherungsberatung bzw. bei der Anlageberatung </w:t>
            </w:r>
            <w:r w:rsidR="00B95D24">
              <w:t xml:space="preserve">des geprüften </w:t>
            </w:r>
            <w:r w:rsidR="006F3C54">
              <w:t>Geschäftsjahr</w:t>
            </w:r>
            <w:r w:rsidR="00B95D24">
              <w:t>s</w:t>
            </w:r>
          </w:p>
        </w:tc>
      </w:tr>
    </w:tbl>
    <w:p w14:paraId="57E4694C" w14:textId="77777777" w:rsidR="00987E14" w:rsidRPr="00D12445" w:rsidRDefault="00987E14" w:rsidP="00987E14"/>
    <w:p w14:paraId="049966A3" w14:textId="77777777" w:rsidR="00BA219F" w:rsidRPr="00D12445" w:rsidRDefault="00BA219F" w:rsidP="00F32947">
      <w:pPr>
        <w:spacing w:after="0" w:line="240" w:lineRule="auto"/>
      </w:pPr>
    </w:p>
    <w:p w14:paraId="4160B771" w14:textId="77777777" w:rsidR="00BA08F9" w:rsidRPr="00D12445" w:rsidRDefault="00BA08F9">
      <w:r w:rsidRPr="00D12445">
        <w:t>Die Ausführungen zu den einzelnen Prüffeldern sind nicht abschliessend. Vielmehr sind diese als Mindestinhalt des Bericht</w:t>
      </w:r>
      <w:r w:rsidR="00D5176F" w:rsidRPr="00D12445">
        <w:t>s</w:t>
      </w:r>
      <w:r w:rsidRPr="00D12445">
        <w:t xml:space="preserve"> über die Aufsichtsprüfung zu verstehen.</w:t>
      </w:r>
    </w:p>
    <w:p w14:paraId="366A3402" w14:textId="698FDD4A" w:rsidR="00830146" w:rsidRPr="00D12445" w:rsidRDefault="00830146">
      <w:r w:rsidRPr="00D12445">
        <w:t xml:space="preserve">Definiert </w:t>
      </w:r>
      <w:r w:rsidRPr="00D12445">
        <w:rPr>
          <w:rFonts w:cs="Arial"/>
        </w:rPr>
        <w:t>die Revisionsstelle</w:t>
      </w:r>
      <w:r w:rsidRPr="00D12445">
        <w:t xml:space="preserve"> weitere Prüffelder</w:t>
      </w:r>
      <w:r w:rsidR="00D5176F" w:rsidRPr="00D12445">
        <w:t>,</w:t>
      </w:r>
      <w:r w:rsidRPr="00D12445">
        <w:t xml:space="preserve"> sind diese in der Risik</w:t>
      </w:r>
      <w:r w:rsidR="006872B1" w:rsidRPr="00D12445">
        <w:t>oanalyse/</w:t>
      </w:r>
      <w:r w:rsidR="006872B1" w:rsidRPr="00DD7613">
        <w:t xml:space="preserve">Prüfstrategie (Anhang </w:t>
      </w:r>
      <w:r w:rsidR="00675CB2" w:rsidRPr="00DD7613">
        <w:t>M</w:t>
      </w:r>
      <w:r w:rsidRPr="00DD7613">
        <w:t>1) zu</w:t>
      </w:r>
      <w:r w:rsidRPr="00D12445">
        <w:t xml:space="preserve"> ergänzen und die Ergebnisse der Prüfung im Bericht über die Aufsichtsprüfung zu beschreiben. Ferner beschreibt </w:t>
      </w:r>
      <w:r w:rsidRPr="00D12445">
        <w:rPr>
          <w:rFonts w:cs="Arial"/>
        </w:rPr>
        <w:t>die Revisionsstelle</w:t>
      </w:r>
      <w:r w:rsidRPr="00D12445">
        <w:t xml:space="preserve"> die Gründe, welche zur Aufnahme von zusätzlichen Prüffeldern führten.</w:t>
      </w:r>
    </w:p>
    <w:p w14:paraId="2359EEEB" w14:textId="647E6772" w:rsidR="0071324A" w:rsidRPr="00D12445" w:rsidRDefault="00830146">
      <w:r w:rsidRPr="005B403F">
        <w:t xml:space="preserve">Die FMA weist darauf hin, dass für die jeweiligen Prüffelder die Rechtsvorschriften </w:t>
      </w:r>
      <w:r w:rsidR="005B403F" w:rsidRPr="005B403F">
        <w:t>nach der Verordnung (EU) 2019/2088</w:t>
      </w:r>
      <w:r w:rsidR="005B403F">
        <w:t xml:space="preserve"> und der </w:t>
      </w:r>
      <w:r w:rsidR="005B403F" w:rsidRPr="005B403F">
        <w:t>Verordnung</w:t>
      </w:r>
      <w:r w:rsidR="005B403F">
        <w:t> </w:t>
      </w:r>
      <w:r w:rsidR="005B403F" w:rsidRPr="005B403F">
        <w:t>(EU)</w:t>
      </w:r>
      <w:r w:rsidR="005B403F">
        <w:t> </w:t>
      </w:r>
      <w:r w:rsidR="005B403F" w:rsidRPr="005B403F">
        <w:t>2020/852 auf Grundlage des EWR-Finanzdienstleistungs-Nachhaltigkeits-Durchführungsgesetz</w:t>
      </w:r>
      <w:r w:rsidR="005B403F">
        <w:t xml:space="preserve"> (</w:t>
      </w:r>
      <w:r w:rsidR="005B403F" w:rsidRPr="005B403F">
        <w:t xml:space="preserve">EWR-FNDG) </w:t>
      </w:r>
      <w:r w:rsidR="005B403F">
        <w:t xml:space="preserve">sowie der direkt anwendbaren </w:t>
      </w:r>
      <w:r w:rsidR="005B403F" w:rsidRPr="005B403F">
        <w:t>Delegierte Verordnung (EU) 2022/1288</w:t>
      </w:r>
      <w:r w:rsidR="005B403F">
        <w:t xml:space="preserve"> </w:t>
      </w:r>
      <w:r w:rsidRPr="005B403F">
        <w:t xml:space="preserve">zitiert wurden. </w:t>
      </w:r>
      <w:r w:rsidR="001350F6" w:rsidRPr="005B403F">
        <w:t>Die referenzierten Artikel stellen keine abschliessende Auflistung der anwendbaren Rechtsvorschriften im jeweiligen Prüffeld dar. Darüberhinausgehende sind</w:t>
      </w:r>
      <w:r w:rsidR="005B403F">
        <w:t xml:space="preserve"> allfällige</w:t>
      </w:r>
      <w:r w:rsidR="001350F6" w:rsidRPr="005B403F">
        <w:t xml:space="preserve"> FMA-Richtlinien und FMA-Mitteilungen sowie alle relevanten europäischen Rechtsakte </w:t>
      </w:r>
      <w:r w:rsidR="001F474D" w:rsidRPr="005B403F">
        <w:t xml:space="preserve">unter Berücksichtigung </w:t>
      </w:r>
      <w:bookmarkStart w:id="127" w:name="_Hlk148701884"/>
      <w:r w:rsidR="001F474D" w:rsidRPr="005B403F">
        <w:t xml:space="preserve">von Leitlinien und Empfehlungen, welche die FMA für </w:t>
      </w:r>
      <w:proofErr w:type="spellStart"/>
      <w:r w:rsidR="001F474D" w:rsidRPr="005B403F">
        <w:t>comply</w:t>
      </w:r>
      <w:proofErr w:type="spellEnd"/>
      <w:r w:rsidR="001F474D" w:rsidRPr="005B403F">
        <w:t xml:space="preserve"> erklärt hat, als auch Fragen &amp; Antworten </w:t>
      </w:r>
      <w:r w:rsidR="002A625B">
        <w:t xml:space="preserve">oder </w:t>
      </w:r>
      <w:proofErr w:type="spellStart"/>
      <w:r w:rsidR="002A625B">
        <w:t>Supervisory</w:t>
      </w:r>
      <w:proofErr w:type="spellEnd"/>
      <w:r w:rsidR="002A625B">
        <w:t xml:space="preserve"> Briefings </w:t>
      </w:r>
      <w:r w:rsidR="001F474D" w:rsidRPr="005B403F">
        <w:t xml:space="preserve">der </w:t>
      </w:r>
      <w:r w:rsidR="000A2384">
        <w:t>ESAs</w:t>
      </w:r>
      <w:r w:rsidR="001F474D" w:rsidRPr="005B403F">
        <w:t xml:space="preserve">, </w:t>
      </w:r>
      <w:bookmarkEnd w:id="127"/>
      <w:r w:rsidR="00524CDF" w:rsidRPr="005B403F">
        <w:t>anzuwenden.</w:t>
      </w:r>
    </w:p>
    <w:sectPr w:rsidR="0071324A" w:rsidRPr="00D12445" w:rsidSect="00077AB2">
      <w:pgSz w:w="16838" w:h="11906" w:orient="landscape"/>
      <w:pgMar w:top="2693" w:right="2381" w:bottom="119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19EF" w14:textId="77777777" w:rsidR="005239B1" w:rsidRDefault="005239B1" w:rsidP="00546F18">
      <w:pPr>
        <w:spacing w:after="0" w:line="240" w:lineRule="auto"/>
      </w:pPr>
      <w:r>
        <w:separator/>
      </w:r>
    </w:p>
  </w:endnote>
  <w:endnote w:type="continuationSeparator" w:id="0">
    <w:p w14:paraId="28A11610" w14:textId="77777777" w:rsidR="005239B1" w:rsidRDefault="005239B1" w:rsidP="0054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BDC2" w14:textId="77777777" w:rsidR="00086672" w:rsidRPr="000864B2" w:rsidRDefault="00086672" w:rsidP="0079364F">
    <w:pPr>
      <w:pStyle w:val="Fuzeile"/>
    </w:pPr>
    <w:bookmarkStart w:id="1" w:name="bmFMAFussSeite2"/>
  </w:p>
  <w:p w14:paraId="041B855C" w14:textId="4DB5CD77" w:rsidR="00086672" w:rsidRDefault="00086672" w:rsidP="0079364F">
    <w:pPr>
      <w:pStyle w:val="Fuzeile"/>
    </w:pPr>
    <w:r>
      <w:ptab w:relativeTo="margin" w:alignment="right" w:leader="none"/>
    </w:r>
    <w:r w:rsidRPr="00EE53A8">
      <w:rPr>
        <w:sz w:val="14"/>
      </w:rPr>
      <w:fldChar w:fldCharType="begin"/>
    </w:r>
    <w:r w:rsidRPr="00EE53A8">
      <w:rPr>
        <w:sz w:val="14"/>
      </w:rPr>
      <w:instrText xml:space="preserve"> PAGE </w:instrText>
    </w:r>
    <w:r w:rsidRPr="00EE53A8">
      <w:rPr>
        <w:sz w:val="14"/>
      </w:rPr>
      <w:fldChar w:fldCharType="separate"/>
    </w:r>
    <w:r w:rsidRPr="00EE53A8">
      <w:rPr>
        <w:noProof/>
        <w:sz w:val="14"/>
      </w:rPr>
      <w:t>8</w:t>
    </w:r>
    <w:r w:rsidRPr="00EE53A8">
      <w:rPr>
        <w:sz w:val="14"/>
      </w:rPr>
      <w:fldChar w:fldCharType="end"/>
    </w:r>
    <w:r w:rsidRPr="00EE53A8">
      <w:rPr>
        <w:sz w:val="14"/>
      </w:rPr>
      <w:t xml:space="preserve"> / </w:t>
    </w:r>
    <w:r w:rsidR="00EE53A8" w:rsidRPr="00EE53A8">
      <w:rPr>
        <w:sz w:val="14"/>
      </w:rPr>
      <w:fldChar w:fldCharType="begin"/>
    </w:r>
    <w:r w:rsidR="00EE53A8" w:rsidRPr="00EE53A8">
      <w:rPr>
        <w:sz w:val="14"/>
      </w:rPr>
      <w:instrText xml:space="preserve"> NUMPAGES </w:instrText>
    </w:r>
    <w:r w:rsidR="00EE53A8" w:rsidRPr="00EE53A8">
      <w:rPr>
        <w:sz w:val="14"/>
      </w:rPr>
      <w:fldChar w:fldCharType="separate"/>
    </w:r>
    <w:r w:rsidRPr="00EE53A8">
      <w:rPr>
        <w:noProof/>
        <w:sz w:val="14"/>
      </w:rPr>
      <w:t>9</w:t>
    </w:r>
    <w:r w:rsidR="00EE53A8" w:rsidRPr="00EE53A8">
      <w:rPr>
        <w:noProof/>
        <w:sz w:val="14"/>
      </w:rP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9B3A" w14:textId="77777777" w:rsidR="00086672" w:rsidRPr="008B5D41" w:rsidRDefault="00086672" w:rsidP="0079364F">
    <w:pPr>
      <w:pStyle w:val="Fuzeile"/>
      <w:jc w:val="center"/>
    </w:pPr>
    <w:bookmarkStart w:id="2" w:name="bmFMAFussSeite1"/>
    <w:r w:rsidRPr="008B5D41">
      <w:t>Landstrasse 109 • Postfach 279 • 9490 Vaduz • Liechtenstein</w:t>
    </w:r>
  </w:p>
  <w:p w14:paraId="3D8501EC" w14:textId="77777777" w:rsidR="00086672" w:rsidRPr="008B5D41" w:rsidRDefault="00086672" w:rsidP="0079364F">
    <w:pPr>
      <w:pStyle w:val="Fuzeile"/>
      <w:jc w:val="center"/>
    </w:pPr>
    <w:r w:rsidRPr="008B5D41">
      <w:t>Telefon +423 236 73 73 • Telefax +423 236 73 74 • www.fma-li.li • info@fma-li.li</w:t>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B376" w14:textId="77777777" w:rsidR="005239B1" w:rsidRDefault="005239B1" w:rsidP="00546F18">
      <w:pPr>
        <w:spacing w:after="0" w:line="240" w:lineRule="auto"/>
      </w:pPr>
      <w:r>
        <w:separator/>
      </w:r>
    </w:p>
  </w:footnote>
  <w:footnote w:type="continuationSeparator" w:id="0">
    <w:p w14:paraId="448C8C6D" w14:textId="77777777" w:rsidR="005239B1" w:rsidRDefault="005239B1" w:rsidP="00546F18">
      <w:pPr>
        <w:spacing w:after="0" w:line="240" w:lineRule="auto"/>
      </w:pPr>
      <w:r>
        <w:continuationSeparator/>
      </w:r>
    </w:p>
  </w:footnote>
  <w:footnote w:id="1">
    <w:p w14:paraId="56AF8218" w14:textId="7A844209" w:rsidR="00086672" w:rsidRDefault="00086672" w:rsidP="00BB253F">
      <w:pPr>
        <w:pStyle w:val="Funotentext"/>
      </w:pPr>
      <w:r>
        <w:rPr>
          <w:rStyle w:val="Funotenzeichen"/>
        </w:rPr>
        <w:footnoteRef/>
      </w:r>
      <w:r>
        <w:t xml:space="preserve"> Aus Gründen der besseren Lesbarkeit wird für die V</w:t>
      </w:r>
      <w:r w:rsidRPr="00D12445">
        <w:t>erordnung (EU) 2019/2088</w:t>
      </w:r>
      <w:r>
        <w:t xml:space="preserve"> nachfolgend die Abkürzung «SFDR» (</w:t>
      </w:r>
      <w:r w:rsidRPr="00C4545F">
        <w:t>Sustainable Finance Disclosure Regulation</w:t>
      </w:r>
      <w:r>
        <w:t>) verwendet.</w:t>
      </w:r>
    </w:p>
  </w:footnote>
  <w:footnote w:id="2">
    <w:p w14:paraId="1DB03CFE" w14:textId="3EE63BDF" w:rsidR="00086672" w:rsidRDefault="00086672">
      <w:pPr>
        <w:pStyle w:val="Funotentext"/>
      </w:pPr>
      <w:r>
        <w:rPr>
          <w:rStyle w:val="Funotenzeichen"/>
        </w:rPr>
        <w:footnoteRef/>
      </w:r>
      <w:r>
        <w:t xml:space="preserve"> </w:t>
      </w:r>
      <w:r w:rsidRPr="00BB253F">
        <w:t>Aus Gründen der besseren Lesbarkeit wird</w:t>
      </w:r>
      <w:r>
        <w:t xml:space="preserve"> für die </w:t>
      </w:r>
      <w:r w:rsidRPr="00BB253F">
        <w:t xml:space="preserve">Delegierte Verordnung (EU) 2022/1288 nachfolgend </w:t>
      </w:r>
      <w:r>
        <w:t>die</w:t>
      </w:r>
      <w:r w:rsidRPr="00BB253F">
        <w:t xml:space="preserve"> Abkürzung «SFDR</w:t>
      </w:r>
      <w:r>
        <w:t>-RTS</w:t>
      </w:r>
      <w:r w:rsidRPr="00BB253F">
        <w:t>» (Sustainable Finance Disclosure Regulation</w:t>
      </w:r>
      <w:r>
        <w:t xml:space="preserve"> – Regulatory Technical Standards</w:t>
      </w:r>
      <w:r w:rsidRPr="00BB253F">
        <w:t xml:space="preserve">) </w:t>
      </w:r>
      <w:r>
        <w:t>verwendet</w:t>
      </w:r>
      <w:r w:rsidRPr="00BB253F">
        <w:t>.</w:t>
      </w:r>
    </w:p>
  </w:footnote>
  <w:footnote w:id="3">
    <w:p w14:paraId="1932B0AF" w14:textId="53C65658" w:rsidR="00086672" w:rsidRDefault="00086672">
      <w:pPr>
        <w:pStyle w:val="Funotentext"/>
      </w:pPr>
      <w:r>
        <w:rPr>
          <w:rStyle w:val="Funotenzeichen"/>
        </w:rPr>
        <w:footnoteRef/>
      </w:r>
      <w:r>
        <w:t xml:space="preserve"> </w:t>
      </w:r>
      <w:r w:rsidRPr="00BB253F">
        <w:t xml:space="preserve">Aus Gründen der besseren Lesbarkeit wird </w:t>
      </w:r>
      <w:r>
        <w:t xml:space="preserve">für die </w:t>
      </w:r>
      <w:r w:rsidRPr="00E77E1F">
        <w:t>Verordnung (EU) 2020/852</w:t>
      </w:r>
      <w:r w:rsidRPr="00BB253F">
        <w:t xml:space="preserve"> </w:t>
      </w:r>
      <w:r w:rsidR="005F0B68">
        <w:t xml:space="preserve">nachfolgend </w:t>
      </w:r>
      <w:r>
        <w:t>die</w:t>
      </w:r>
      <w:r w:rsidRPr="00BB253F">
        <w:t xml:space="preserve"> Abkürzung «</w:t>
      </w:r>
      <w:r>
        <w:t>TR</w:t>
      </w:r>
      <w:r w:rsidRPr="00BB253F">
        <w:t>» (</w:t>
      </w:r>
      <w:r>
        <w:t>Taxonomy Regulation</w:t>
      </w:r>
      <w:r w:rsidRPr="00BB253F">
        <w:t xml:space="preserve">) </w:t>
      </w:r>
      <w:r>
        <w:t>verwendet</w:t>
      </w:r>
      <w:r w:rsidRPr="00BB25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6608" w14:textId="5826AE48" w:rsidR="00086672" w:rsidRDefault="00AD00DF">
    <w:pPr>
      <w:pStyle w:val="Kopfzeile"/>
    </w:pPr>
    <w:r>
      <w:rPr>
        <w:rFonts w:asciiTheme="minorHAnsi" w:hAnsiTheme="minorHAnsi"/>
        <w:noProof/>
      </w:rPr>
      <w:drawing>
        <wp:anchor distT="0" distB="0" distL="114300" distR="114300" simplePos="0" relativeHeight="251665408" behindDoc="0" locked="1" layoutInCell="1" allowOverlap="1" wp14:anchorId="31F5FB19" wp14:editId="46F8C651">
          <wp:simplePos x="0" y="0"/>
          <wp:positionH relativeFrom="margin">
            <wp:align>center</wp:align>
          </wp:positionH>
          <wp:positionV relativeFrom="page">
            <wp:posOffset>442595</wp:posOffset>
          </wp:positionV>
          <wp:extent cx="1259840" cy="125984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7BC3" w14:textId="09012228" w:rsidR="00086672" w:rsidRDefault="009B5C02">
    <w:pPr>
      <w:pStyle w:val="Kopfzeile"/>
    </w:pPr>
    <w:r>
      <w:rPr>
        <w:rFonts w:asciiTheme="minorHAnsi" w:hAnsiTheme="minorHAnsi"/>
        <w:noProof/>
      </w:rPr>
      <w:drawing>
        <wp:anchor distT="0" distB="0" distL="114300" distR="114300" simplePos="0" relativeHeight="251663360" behindDoc="0" locked="1" layoutInCell="1" allowOverlap="1" wp14:anchorId="593225C6" wp14:editId="38196469">
          <wp:simplePos x="0" y="0"/>
          <wp:positionH relativeFrom="page">
            <wp:align>center</wp:align>
          </wp:positionH>
          <wp:positionV relativeFrom="page">
            <wp:posOffset>229870</wp:posOffset>
          </wp:positionV>
          <wp:extent cx="1259840" cy="125984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087C2CA7"/>
    <w:multiLevelType w:val="hybridMultilevel"/>
    <w:tmpl w:val="60AE5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300A36"/>
    <w:multiLevelType w:val="hybridMultilevel"/>
    <w:tmpl w:val="F1E8DF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8724B8"/>
    <w:multiLevelType w:val="hybridMultilevel"/>
    <w:tmpl w:val="CDAA8A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5" w15:restartNumberingAfterBreak="0">
    <w:nsid w:val="3BA60609"/>
    <w:multiLevelType w:val="hybridMultilevel"/>
    <w:tmpl w:val="64CEB4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3F3064A7"/>
    <w:multiLevelType w:val="hybridMultilevel"/>
    <w:tmpl w:val="45DEAA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E1845E5"/>
    <w:multiLevelType w:val="hybridMultilevel"/>
    <w:tmpl w:val="310E38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499348D"/>
    <w:multiLevelType w:val="hybridMultilevel"/>
    <w:tmpl w:val="AC3632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FAE5A1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1484777"/>
    <w:multiLevelType w:val="hybridMultilevel"/>
    <w:tmpl w:val="BE401CC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1F2D4B"/>
    <w:multiLevelType w:val="multilevel"/>
    <w:tmpl w:val="9252EF04"/>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993"/>
        </w:tabs>
        <w:ind w:left="993"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13"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13"/>
  </w:num>
  <w:num w:numId="2">
    <w:abstractNumId w:val="0"/>
  </w:num>
  <w:num w:numId="3">
    <w:abstractNumId w:val="4"/>
  </w:num>
  <w:num w:numId="4">
    <w:abstractNumId w:val="12"/>
  </w:num>
  <w:num w:numId="5">
    <w:abstractNumId w:val="13"/>
  </w:num>
  <w:num w:numId="6">
    <w:abstractNumId w:val="0"/>
  </w:num>
  <w:num w:numId="7">
    <w:abstractNumId w:val="4"/>
  </w:num>
  <w:num w:numId="8">
    <w:abstractNumId w:val="12"/>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9">
    <w:abstractNumId w:val="10"/>
  </w:num>
  <w:num w:numId="10">
    <w:abstractNumId w:val="6"/>
  </w:num>
  <w:num w:numId="11">
    <w:abstractNumId w:val="1"/>
  </w:num>
  <w:num w:numId="12">
    <w:abstractNumId w:val="11"/>
  </w:num>
  <w:num w:numId="13">
    <w:abstractNumId w:val="9"/>
  </w:num>
  <w:num w:numId="14">
    <w:abstractNumId w:val="2"/>
  </w:num>
  <w:num w:numId="15">
    <w:abstractNumId w:val="12"/>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6">
    <w:abstractNumId w:val="12"/>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7">
    <w:abstractNumId w:val="12"/>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8">
    <w:abstractNumId w:val="8"/>
  </w:num>
  <w:num w:numId="19">
    <w:abstractNumId w:val="7"/>
  </w:num>
  <w:num w:numId="20">
    <w:abstractNumId w:val="12"/>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21">
    <w:abstractNumId w:val="3"/>
  </w:num>
  <w:num w:numId="22">
    <w:abstractNumId w:val="12"/>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23">
    <w:abstractNumId w:val="5"/>
  </w:num>
  <w:num w:numId="24">
    <w:abstractNumId w:val="12"/>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18"/>
    <w:rsid w:val="000009A3"/>
    <w:rsid w:val="00000BC0"/>
    <w:rsid w:val="00000FAB"/>
    <w:rsid w:val="00002FC5"/>
    <w:rsid w:val="00010AB2"/>
    <w:rsid w:val="00012393"/>
    <w:rsid w:val="00015D7D"/>
    <w:rsid w:val="0001676D"/>
    <w:rsid w:val="000204A4"/>
    <w:rsid w:val="00026968"/>
    <w:rsid w:val="00037894"/>
    <w:rsid w:val="00040310"/>
    <w:rsid w:val="00047B37"/>
    <w:rsid w:val="00055DF0"/>
    <w:rsid w:val="000668A8"/>
    <w:rsid w:val="00071EF4"/>
    <w:rsid w:val="000734BD"/>
    <w:rsid w:val="00077AB2"/>
    <w:rsid w:val="00077E9F"/>
    <w:rsid w:val="000806E4"/>
    <w:rsid w:val="000812EC"/>
    <w:rsid w:val="00083898"/>
    <w:rsid w:val="00086672"/>
    <w:rsid w:val="00096148"/>
    <w:rsid w:val="00097DA0"/>
    <w:rsid w:val="000A2384"/>
    <w:rsid w:val="000A2E5C"/>
    <w:rsid w:val="000A715C"/>
    <w:rsid w:val="000B1990"/>
    <w:rsid w:val="000C2009"/>
    <w:rsid w:val="000C6A13"/>
    <w:rsid w:val="000C737C"/>
    <w:rsid w:val="000D08F1"/>
    <w:rsid w:val="000D178A"/>
    <w:rsid w:val="000D3532"/>
    <w:rsid w:val="000E0074"/>
    <w:rsid w:val="000E21C8"/>
    <w:rsid w:val="000E77ED"/>
    <w:rsid w:val="00110E18"/>
    <w:rsid w:val="00111B16"/>
    <w:rsid w:val="00122A8C"/>
    <w:rsid w:val="00127A18"/>
    <w:rsid w:val="00132404"/>
    <w:rsid w:val="00134606"/>
    <w:rsid w:val="001350F6"/>
    <w:rsid w:val="001371CD"/>
    <w:rsid w:val="00141394"/>
    <w:rsid w:val="00142C49"/>
    <w:rsid w:val="001457E5"/>
    <w:rsid w:val="00151343"/>
    <w:rsid w:val="00155409"/>
    <w:rsid w:val="001579C9"/>
    <w:rsid w:val="00161371"/>
    <w:rsid w:val="001645A9"/>
    <w:rsid w:val="00165BA8"/>
    <w:rsid w:val="0016620F"/>
    <w:rsid w:val="001722BF"/>
    <w:rsid w:val="00173343"/>
    <w:rsid w:val="00176CF5"/>
    <w:rsid w:val="00181130"/>
    <w:rsid w:val="001831BF"/>
    <w:rsid w:val="00186079"/>
    <w:rsid w:val="00191503"/>
    <w:rsid w:val="001920F7"/>
    <w:rsid w:val="001A0704"/>
    <w:rsid w:val="001A1F48"/>
    <w:rsid w:val="001A246A"/>
    <w:rsid w:val="001A3116"/>
    <w:rsid w:val="001A5517"/>
    <w:rsid w:val="001A5A3C"/>
    <w:rsid w:val="001A61A7"/>
    <w:rsid w:val="001B044A"/>
    <w:rsid w:val="001B10EF"/>
    <w:rsid w:val="001B5D96"/>
    <w:rsid w:val="001B70CD"/>
    <w:rsid w:val="001B77AB"/>
    <w:rsid w:val="001C37C5"/>
    <w:rsid w:val="001C61E5"/>
    <w:rsid w:val="001C6F12"/>
    <w:rsid w:val="001D2B3C"/>
    <w:rsid w:val="001D7C5C"/>
    <w:rsid w:val="001E24DC"/>
    <w:rsid w:val="001E259E"/>
    <w:rsid w:val="001E51E5"/>
    <w:rsid w:val="001F474D"/>
    <w:rsid w:val="001F50B5"/>
    <w:rsid w:val="001F7F51"/>
    <w:rsid w:val="001F7F9F"/>
    <w:rsid w:val="00201F11"/>
    <w:rsid w:val="002115EF"/>
    <w:rsid w:val="00215E0A"/>
    <w:rsid w:val="002241BA"/>
    <w:rsid w:val="00225641"/>
    <w:rsid w:val="00231B76"/>
    <w:rsid w:val="002409F2"/>
    <w:rsid w:val="00244DB4"/>
    <w:rsid w:val="002456B3"/>
    <w:rsid w:val="00247B5B"/>
    <w:rsid w:val="00262966"/>
    <w:rsid w:val="00271484"/>
    <w:rsid w:val="0027352C"/>
    <w:rsid w:val="00275785"/>
    <w:rsid w:val="00275C2F"/>
    <w:rsid w:val="0027788E"/>
    <w:rsid w:val="0028095D"/>
    <w:rsid w:val="00281638"/>
    <w:rsid w:val="002842AF"/>
    <w:rsid w:val="00290C79"/>
    <w:rsid w:val="00295500"/>
    <w:rsid w:val="002A625B"/>
    <w:rsid w:val="002B2BE7"/>
    <w:rsid w:val="002B2D2C"/>
    <w:rsid w:val="002B3E88"/>
    <w:rsid w:val="002C37B3"/>
    <w:rsid w:val="002D095D"/>
    <w:rsid w:val="002D1ECC"/>
    <w:rsid w:val="002D368B"/>
    <w:rsid w:val="002D7046"/>
    <w:rsid w:val="002D7E63"/>
    <w:rsid w:val="002E1949"/>
    <w:rsid w:val="002E232B"/>
    <w:rsid w:val="002E2390"/>
    <w:rsid w:val="002E556F"/>
    <w:rsid w:val="002F7FDF"/>
    <w:rsid w:val="00301E2E"/>
    <w:rsid w:val="00302C1F"/>
    <w:rsid w:val="0031351A"/>
    <w:rsid w:val="00323AA2"/>
    <w:rsid w:val="00332915"/>
    <w:rsid w:val="00337839"/>
    <w:rsid w:val="00342A3F"/>
    <w:rsid w:val="00343DA2"/>
    <w:rsid w:val="00355D59"/>
    <w:rsid w:val="003561FB"/>
    <w:rsid w:val="00365F3A"/>
    <w:rsid w:val="00366015"/>
    <w:rsid w:val="003663E4"/>
    <w:rsid w:val="00370677"/>
    <w:rsid w:val="00371EEA"/>
    <w:rsid w:val="003728B8"/>
    <w:rsid w:val="00372939"/>
    <w:rsid w:val="00376C31"/>
    <w:rsid w:val="00377272"/>
    <w:rsid w:val="00377429"/>
    <w:rsid w:val="00380FC4"/>
    <w:rsid w:val="00383CAB"/>
    <w:rsid w:val="003950A5"/>
    <w:rsid w:val="003A3DFE"/>
    <w:rsid w:val="003A57B6"/>
    <w:rsid w:val="003B2FE5"/>
    <w:rsid w:val="003C0F5B"/>
    <w:rsid w:val="003C2550"/>
    <w:rsid w:val="003C3175"/>
    <w:rsid w:val="003C452C"/>
    <w:rsid w:val="003C504D"/>
    <w:rsid w:val="003D3FC0"/>
    <w:rsid w:val="003D70AE"/>
    <w:rsid w:val="003F0226"/>
    <w:rsid w:val="003F57C2"/>
    <w:rsid w:val="003F6053"/>
    <w:rsid w:val="004044F7"/>
    <w:rsid w:val="0040548E"/>
    <w:rsid w:val="00413D8C"/>
    <w:rsid w:val="004175B9"/>
    <w:rsid w:val="00422ED6"/>
    <w:rsid w:val="00437810"/>
    <w:rsid w:val="0044093F"/>
    <w:rsid w:val="004455E7"/>
    <w:rsid w:val="00454B1C"/>
    <w:rsid w:val="00454C75"/>
    <w:rsid w:val="004612F4"/>
    <w:rsid w:val="004643C7"/>
    <w:rsid w:val="00471338"/>
    <w:rsid w:val="00473306"/>
    <w:rsid w:val="00476F9D"/>
    <w:rsid w:val="0048221E"/>
    <w:rsid w:val="00484BC9"/>
    <w:rsid w:val="00486E4E"/>
    <w:rsid w:val="00496E18"/>
    <w:rsid w:val="004A1B8E"/>
    <w:rsid w:val="004A2311"/>
    <w:rsid w:val="004A2AD8"/>
    <w:rsid w:val="004B12F7"/>
    <w:rsid w:val="004B20D8"/>
    <w:rsid w:val="004C187E"/>
    <w:rsid w:val="004C2AA3"/>
    <w:rsid w:val="004D0230"/>
    <w:rsid w:val="004D37CF"/>
    <w:rsid w:val="004D3EDF"/>
    <w:rsid w:val="004E1429"/>
    <w:rsid w:val="004E31B5"/>
    <w:rsid w:val="004E327F"/>
    <w:rsid w:val="004E6831"/>
    <w:rsid w:val="004F2928"/>
    <w:rsid w:val="004F2B8C"/>
    <w:rsid w:val="004F47A3"/>
    <w:rsid w:val="005039A7"/>
    <w:rsid w:val="00507770"/>
    <w:rsid w:val="00507827"/>
    <w:rsid w:val="00516A35"/>
    <w:rsid w:val="00516F0B"/>
    <w:rsid w:val="005239B1"/>
    <w:rsid w:val="00523E16"/>
    <w:rsid w:val="00524CDF"/>
    <w:rsid w:val="005310F0"/>
    <w:rsid w:val="0054158E"/>
    <w:rsid w:val="00543C2B"/>
    <w:rsid w:val="00546F18"/>
    <w:rsid w:val="00550278"/>
    <w:rsid w:val="005553C7"/>
    <w:rsid w:val="00556FD5"/>
    <w:rsid w:val="00562533"/>
    <w:rsid w:val="00564E66"/>
    <w:rsid w:val="00576456"/>
    <w:rsid w:val="00582229"/>
    <w:rsid w:val="0059256F"/>
    <w:rsid w:val="00593BC5"/>
    <w:rsid w:val="00595E32"/>
    <w:rsid w:val="005A1292"/>
    <w:rsid w:val="005A1D6E"/>
    <w:rsid w:val="005A3627"/>
    <w:rsid w:val="005A3AF6"/>
    <w:rsid w:val="005B2040"/>
    <w:rsid w:val="005B403F"/>
    <w:rsid w:val="005C0630"/>
    <w:rsid w:val="005C54E7"/>
    <w:rsid w:val="005D28A4"/>
    <w:rsid w:val="005D5404"/>
    <w:rsid w:val="005F0B68"/>
    <w:rsid w:val="005F133B"/>
    <w:rsid w:val="005F4BE4"/>
    <w:rsid w:val="005F5D32"/>
    <w:rsid w:val="005F654A"/>
    <w:rsid w:val="00614E68"/>
    <w:rsid w:val="006173D0"/>
    <w:rsid w:val="006215DD"/>
    <w:rsid w:val="00621E20"/>
    <w:rsid w:val="00627791"/>
    <w:rsid w:val="0063681C"/>
    <w:rsid w:val="006371EC"/>
    <w:rsid w:val="00637E72"/>
    <w:rsid w:val="00645FBF"/>
    <w:rsid w:val="00647830"/>
    <w:rsid w:val="006542E0"/>
    <w:rsid w:val="00675CB2"/>
    <w:rsid w:val="006816C4"/>
    <w:rsid w:val="006834D2"/>
    <w:rsid w:val="006872B1"/>
    <w:rsid w:val="006910A0"/>
    <w:rsid w:val="00693F7D"/>
    <w:rsid w:val="006A3D14"/>
    <w:rsid w:val="006A7719"/>
    <w:rsid w:val="006B0608"/>
    <w:rsid w:val="006B092C"/>
    <w:rsid w:val="006B45B5"/>
    <w:rsid w:val="006B5B5B"/>
    <w:rsid w:val="006C02B4"/>
    <w:rsid w:val="006C0CE3"/>
    <w:rsid w:val="006C18ED"/>
    <w:rsid w:val="006C4C99"/>
    <w:rsid w:val="006C53A6"/>
    <w:rsid w:val="006D12E2"/>
    <w:rsid w:val="006E37F1"/>
    <w:rsid w:val="006E6C3E"/>
    <w:rsid w:val="006F3C54"/>
    <w:rsid w:val="006F6C90"/>
    <w:rsid w:val="00710620"/>
    <w:rsid w:val="0071324A"/>
    <w:rsid w:val="00714CF1"/>
    <w:rsid w:val="00716458"/>
    <w:rsid w:val="00723428"/>
    <w:rsid w:val="0072419F"/>
    <w:rsid w:val="007252E0"/>
    <w:rsid w:val="007302AF"/>
    <w:rsid w:val="00736AD9"/>
    <w:rsid w:val="0074215E"/>
    <w:rsid w:val="0074363F"/>
    <w:rsid w:val="0075194A"/>
    <w:rsid w:val="0075264C"/>
    <w:rsid w:val="007625A8"/>
    <w:rsid w:val="007640DA"/>
    <w:rsid w:val="0077037A"/>
    <w:rsid w:val="00780771"/>
    <w:rsid w:val="007831F5"/>
    <w:rsid w:val="00784E42"/>
    <w:rsid w:val="00785A01"/>
    <w:rsid w:val="0078754B"/>
    <w:rsid w:val="0078773E"/>
    <w:rsid w:val="007910A8"/>
    <w:rsid w:val="0079364F"/>
    <w:rsid w:val="00793720"/>
    <w:rsid w:val="00793B7E"/>
    <w:rsid w:val="00797EDB"/>
    <w:rsid w:val="007A0DA8"/>
    <w:rsid w:val="007A25B8"/>
    <w:rsid w:val="007A3212"/>
    <w:rsid w:val="007A4018"/>
    <w:rsid w:val="007A427A"/>
    <w:rsid w:val="007B0A21"/>
    <w:rsid w:val="007B3C28"/>
    <w:rsid w:val="007B4E65"/>
    <w:rsid w:val="007B5437"/>
    <w:rsid w:val="007C3A06"/>
    <w:rsid w:val="007C5AA9"/>
    <w:rsid w:val="007C5E1C"/>
    <w:rsid w:val="007C72BA"/>
    <w:rsid w:val="007D1A56"/>
    <w:rsid w:val="007D4A44"/>
    <w:rsid w:val="007D4D3A"/>
    <w:rsid w:val="007E411D"/>
    <w:rsid w:val="007E50C4"/>
    <w:rsid w:val="007F3D19"/>
    <w:rsid w:val="007F4421"/>
    <w:rsid w:val="007F5A48"/>
    <w:rsid w:val="007F6BBA"/>
    <w:rsid w:val="007F6D34"/>
    <w:rsid w:val="007F763C"/>
    <w:rsid w:val="00803B02"/>
    <w:rsid w:val="00805709"/>
    <w:rsid w:val="00814D82"/>
    <w:rsid w:val="00817E77"/>
    <w:rsid w:val="0082152B"/>
    <w:rsid w:val="0082512E"/>
    <w:rsid w:val="0082551E"/>
    <w:rsid w:val="00825902"/>
    <w:rsid w:val="00830146"/>
    <w:rsid w:val="00832EFD"/>
    <w:rsid w:val="00833D67"/>
    <w:rsid w:val="0083757B"/>
    <w:rsid w:val="00837C1B"/>
    <w:rsid w:val="00840CE4"/>
    <w:rsid w:val="0084242B"/>
    <w:rsid w:val="008448E7"/>
    <w:rsid w:val="00845F06"/>
    <w:rsid w:val="00846B02"/>
    <w:rsid w:val="0084798C"/>
    <w:rsid w:val="008510C9"/>
    <w:rsid w:val="008553FA"/>
    <w:rsid w:val="00855A3A"/>
    <w:rsid w:val="0086073A"/>
    <w:rsid w:val="00863CCC"/>
    <w:rsid w:val="00865077"/>
    <w:rsid w:val="008728FF"/>
    <w:rsid w:val="008732DE"/>
    <w:rsid w:val="0087542E"/>
    <w:rsid w:val="00881F32"/>
    <w:rsid w:val="00883D4B"/>
    <w:rsid w:val="008842D8"/>
    <w:rsid w:val="008914AD"/>
    <w:rsid w:val="008B010C"/>
    <w:rsid w:val="008B3785"/>
    <w:rsid w:val="008B5D91"/>
    <w:rsid w:val="008B653B"/>
    <w:rsid w:val="008C5289"/>
    <w:rsid w:val="008C65EE"/>
    <w:rsid w:val="008D0D4C"/>
    <w:rsid w:val="008D1FBF"/>
    <w:rsid w:val="008D2269"/>
    <w:rsid w:val="008E1AFB"/>
    <w:rsid w:val="008E1DDA"/>
    <w:rsid w:val="008E3B8E"/>
    <w:rsid w:val="008F1333"/>
    <w:rsid w:val="008F2059"/>
    <w:rsid w:val="008F61F9"/>
    <w:rsid w:val="009009C9"/>
    <w:rsid w:val="00901B6C"/>
    <w:rsid w:val="0090496F"/>
    <w:rsid w:val="009064F2"/>
    <w:rsid w:val="00913C3F"/>
    <w:rsid w:val="00914267"/>
    <w:rsid w:val="009148C2"/>
    <w:rsid w:val="00916E73"/>
    <w:rsid w:val="009179D0"/>
    <w:rsid w:val="00930921"/>
    <w:rsid w:val="009311D8"/>
    <w:rsid w:val="00932104"/>
    <w:rsid w:val="009332C5"/>
    <w:rsid w:val="009348A3"/>
    <w:rsid w:val="00934FFA"/>
    <w:rsid w:val="0094050E"/>
    <w:rsid w:val="0094351A"/>
    <w:rsid w:val="009451A9"/>
    <w:rsid w:val="009462BF"/>
    <w:rsid w:val="00950108"/>
    <w:rsid w:val="009514BB"/>
    <w:rsid w:val="00952CFD"/>
    <w:rsid w:val="009533E0"/>
    <w:rsid w:val="009542F4"/>
    <w:rsid w:val="00963309"/>
    <w:rsid w:val="009770AA"/>
    <w:rsid w:val="00977387"/>
    <w:rsid w:val="00984AD7"/>
    <w:rsid w:val="009870E2"/>
    <w:rsid w:val="00987E14"/>
    <w:rsid w:val="00997BB1"/>
    <w:rsid w:val="009A6603"/>
    <w:rsid w:val="009B5C02"/>
    <w:rsid w:val="009C5230"/>
    <w:rsid w:val="009C5A03"/>
    <w:rsid w:val="009D1FC6"/>
    <w:rsid w:val="009E045A"/>
    <w:rsid w:val="009E320C"/>
    <w:rsid w:val="009E3B75"/>
    <w:rsid w:val="009E3FC1"/>
    <w:rsid w:val="009E7C7D"/>
    <w:rsid w:val="009F0371"/>
    <w:rsid w:val="009F4D7A"/>
    <w:rsid w:val="009F704D"/>
    <w:rsid w:val="00A01CEC"/>
    <w:rsid w:val="00A02448"/>
    <w:rsid w:val="00A0333E"/>
    <w:rsid w:val="00A06351"/>
    <w:rsid w:val="00A103AE"/>
    <w:rsid w:val="00A10E73"/>
    <w:rsid w:val="00A1140A"/>
    <w:rsid w:val="00A1271E"/>
    <w:rsid w:val="00A12EFC"/>
    <w:rsid w:val="00A22F07"/>
    <w:rsid w:val="00A24AFC"/>
    <w:rsid w:val="00A27AC0"/>
    <w:rsid w:val="00A27DE2"/>
    <w:rsid w:val="00A323E2"/>
    <w:rsid w:val="00A34C8F"/>
    <w:rsid w:val="00A36FFE"/>
    <w:rsid w:val="00A45D2E"/>
    <w:rsid w:val="00A51AEB"/>
    <w:rsid w:val="00A57024"/>
    <w:rsid w:val="00A57049"/>
    <w:rsid w:val="00A57C2D"/>
    <w:rsid w:val="00A648B8"/>
    <w:rsid w:val="00A735F0"/>
    <w:rsid w:val="00A81E20"/>
    <w:rsid w:val="00A85008"/>
    <w:rsid w:val="00A86EBA"/>
    <w:rsid w:val="00A95E2E"/>
    <w:rsid w:val="00AA230E"/>
    <w:rsid w:val="00AA2343"/>
    <w:rsid w:val="00AA2722"/>
    <w:rsid w:val="00AA3736"/>
    <w:rsid w:val="00AA5AD4"/>
    <w:rsid w:val="00AB30E7"/>
    <w:rsid w:val="00AB4679"/>
    <w:rsid w:val="00AC1504"/>
    <w:rsid w:val="00AC2E5B"/>
    <w:rsid w:val="00AD00DF"/>
    <w:rsid w:val="00AD0D49"/>
    <w:rsid w:val="00AD61DE"/>
    <w:rsid w:val="00AE078B"/>
    <w:rsid w:val="00AE3DCA"/>
    <w:rsid w:val="00AE58AD"/>
    <w:rsid w:val="00AE605D"/>
    <w:rsid w:val="00AE73A5"/>
    <w:rsid w:val="00AE7403"/>
    <w:rsid w:val="00AF1E67"/>
    <w:rsid w:val="00AF57FE"/>
    <w:rsid w:val="00B013DA"/>
    <w:rsid w:val="00B03500"/>
    <w:rsid w:val="00B0549D"/>
    <w:rsid w:val="00B0789F"/>
    <w:rsid w:val="00B11BCA"/>
    <w:rsid w:val="00B1238C"/>
    <w:rsid w:val="00B24614"/>
    <w:rsid w:val="00B310EF"/>
    <w:rsid w:val="00B37EC4"/>
    <w:rsid w:val="00B45E42"/>
    <w:rsid w:val="00B52519"/>
    <w:rsid w:val="00B55645"/>
    <w:rsid w:val="00B57DA5"/>
    <w:rsid w:val="00B60E7F"/>
    <w:rsid w:val="00B61DCD"/>
    <w:rsid w:val="00B6261E"/>
    <w:rsid w:val="00B714E6"/>
    <w:rsid w:val="00B71F15"/>
    <w:rsid w:val="00B739A4"/>
    <w:rsid w:val="00B76708"/>
    <w:rsid w:val="00B80298"/>
    <w:rsid w:val="00B80B29"/>
    <w:rsid w:val="00B917F8"/>
    <w:rsid w:val="00B95D24"/>
    <w:rsid w:val="00B978D6"/>
    <w:rsid w:val="00BA08F9"/>
    <w:rsid w:val="00BA219F"/>
    <w:rsid w:val="00BA418B"/>
    <w:rsid w:val="00BA43B7"/>
    <w:rsid w:val="00BB253F"/>
    <w:rsid w:val="00BB3346"/>
    <w:rsid w:val="00BB631F"/>
    <w:rsid w:val="00BB6F84"/>
    <w:rsid w:val="00BC37CD"/>
    <w:rsid w:val="00BC638B"/>
    <w:rsid w:val="00BD294C"/>
    <w:rsid w:val="00BD2E47"/>
    <w:rsid w:val="00BD6F4E"/>
    <w:rsid w:val="00BD72FE"/>
    <w:rsid w:val="00BE175C"/>
    <w:rsid w:val="00BE3A48"/>
    <w:rsid w:val="00BF14FF"/>
    <w:rsid w:val="00BF352D"/>
    <w:rsid w:val="00BF3617"/>
    <w:rsid w:val="00BF3A3F"/>
    <w:rsid w:val="00BF5F8C"/>
    <w:rsid w:val="00C04D57"/>
    <w:rsid w:val="00C174E3"/>
    <w:rsid w:val="00C215B4"/>
    <w:rsid w:val="00C31D74"/>
    <w:rsid w:val="00C4303A"/>
    <w:rsid w:val="00C4545F"/>
    <w:rsid w:val="00C507F4"/>
    <w:rsid w:val="00C537B7"/>
    <w:rsid w:val="00C547EF"/>
    <w:rsid w:val="00C57D15"/>
    <w:rsid w:val="00C60807"/>
    <w:rsid w:val="00C64E09"/>
    <w:rsid w:val="00C72999"/>
    <w:rsid w:val="00C729BA"/>
    <w:rsid w:val="00C74685"/>
    <w:rsid w:val="00C80EE5"/>
    <w:rsid w:val="00C85F5B"/>
    <w:rsid w:val="00C86707"/>
    <w:rsid w:val="00C87CA2"/>
    <w:rsid w:val="00C95484"/>
    <w:rsid w:val="00CA2D21"/>
    <w:rsid w:val="00CA5150"/>
    <w:rsid w:val="00CA57FC"/>
    <w:rsid w:val="00CB0D0E"/>
    <w:rsid w:val="00CB6C77"/>
    <w:rsid w:val="00CC19AB"/>
    <w:rsid w:val="00CC1AC7"/>
    <w:rsid w:val="00CC7F71"/>
    <w:rsid w:val="00CE2178"/>
    <w:rsid w:val="00CE4BFD"/>
    <w:rsid w:val="00CF0F7B"/>
    <w:rsid w:val="00D10A9F"/>
    <w:rsid w:val="00D12445"/>
    <w:rsid w:val="00D205B0"/>
    <w:rsid w:val="00D26C53"/>
    <w:rsid w:val="00D2751B"/>
    <w:rsid w:val="00D32B71"/>
    <w:rsid w:val="00D36F5A"/>
    <w:rsid w:val="00D44BD7"/>
    <w:rsid w:val="00D5176F"/>
    <w:rsid w:val="00D5446F"/>
    <w:rsid w:val="00D55F59"/>
    <w:rsid w:val="00D6202C"/>
    <w:rsid w:val="00D64CDB"/>
    <w:rsid w:val="00D65EBB"/>
    <w:rsid w:val="00D73130"/>
    <w:rsid w:val="00D740BD"/>
    <w:rsid w:val="00D80DD3"/>
    <w:rsid w:val="00D82413"/>
    <w:rsid w:val="00D85F0D"/>
    <w:rsid w:val="00D87A54"/>
    <w:rsid w:val="00D902A7"/>
    <w:rsid w:val="00DA32BA"/>
    <w:rsid w:val="00DA4FE6"/>
    <w:rsid w:val="00DB3E71"/>
    <w:rsid w:val="00DB5E1F"/>
    <w:rsid w:val="00DC19C8"/>
    <w:rsid w:val="00DC3274"/>
    <w:rsid w:val="00DC42E5"/>
    <w:rsid w:val="00DD01E2"/>
    <w:rsid w:val="00DD3D87"/>
    <w:rsid w:val="00DD534B"/>
    <w:rsid w:val="00DD7613"/>
    <w:rsid w:val="00DE035E"/>
    <w:rsid w:val="00DE0F00"/>
    <w:rsid w:val="00DE1145"/>
    <w:rsid w:val="00DF1674"/>
    <w:rsid w:val="00DF3467"/>
    <w:rsid w:val="00E004B5"/>
    <w:rsid w:val="00E00BB5"/>
    <w:rsid w:val="00E04259"/>
    <w:rsid w:val="00E05E3B"/>
    <w:rsid w:val="00E102AD"/>
    <w:rsid w:val="00E12738"/>
    <w:rsid w:val="00E258F3"/>
    <w:rsid w:val="00E43DB0"/>
    <w:rsid w:val="00E44F7C"/>
    <w:rsid w:val="00E46767"/>
    <w:rsid w:val="00E473B8"/>
    <w:rsid w:val="00E56E7E"/>
    <w:rsid w:val="00E619A2"/>
    <w:rsid w:val="00E636E2"/>
    <w:rsid w:val="00E70602"/>
    <w:rsid w:val="00E72FE5"/>
    <w:rsid w:val="00E763B7"/>
    <w:rsid w:val="00E77E1F"/>
    <w:rsid w:val="00E84E7E"/>
    <w:rsid w:val="00E87BE8"/>
    <w:rsid w:val="00E943E0"/>
    <w:rsid w:val="00EA0FE0"/>
    <w:rsid w:val="00EA224E"/>
    <w:rsid w:val="00EA7BC9"/>
    <w:rsid w:val="00EB3979"/>
    <w:rsid w:val="00EB4B82"/>
    <w:rsid w:val="00EB5E7D"/>
    <w:rsid w:val="00EB6BE4"/>
    <w:rsid w:val="00EC0FFE"/>
    <w:rsid w:val="00ED4999"/>
    <w:rsid w:val="00ED6629"/>
    <w:rsid w:val="00EE53A8"/>
    <w:rsid w:val="00EE6CD8"/>
    <w:rsid w:val="00EF27B7"/>
    <w:rsid w:val="00EF7E36"/>
    <w:rsid w:val="00F0086B"/>
    <w:rsid w:val="00F01479"/>
    <w:rsid w:val="00F01D9B"/>
    <w:rsid w:val="00F03010"/>
    <w:rsid w:val="00F03B32"/>
    <w:rsid w:val="00F04648"/>
    <w:rsid w:val="00F05936"/>
    <w:rsid w:val="00F1320F"/>
    <w:rsid w:val="00F1502F"/>
    <w:rsid w:val="00F171FC"/>
    <w:rsid w:val="00F173A4"/>
    <w:rsid w:val="00F25174"/>
    <w:rsid w:val="00F31588"/>
    <w:rsid w:val="00F31ABF"/>
    <w:rsid w:val="00F32947"/>
    <w:rsid w:val="00F347EA"/>
    <w:rsid w:val="00F35B04"/>
    <w:rsid w:val="00F378C5"/>
    <w:rsid w:val="00F441C1"/>
    <w:rsid w:val="00F44A0F"/>
    <w:rsid w:val="00F473DE"/>
    <w:rsid w:val="00F5154B"/>
    <w:rsid w:val="00F51C5F"/>
    <w:rsid w:val="00F520FA"/>
    <w:rsid w:val="00F61A58"/>
    <w:rsid w:val="00F627F8"/>
    <w:rsid w:val="00F63B01"/>
    <w:rsid w:val="00F6630D"/>
    <w:rsid w:val="00F67AC8"/>
    <w:rsid w:val="00F72A24"/>
    <w:rsid w:val="00F809B9"/>
    <w:rsid w:val="00F82E7E"/>
    <w:rsid w:val="00F83F3D"/>
    <w:rsid w:val="00F86E59"/>
    <w:rsid w:val="00F870EF"/>
    <w:rsid w:val="00F945E5"/>
    <w:rsid w:val="00F94E93"/>
    <w:rsid w:val="00F96027"/>
    <w:rsid w:val="00F97F83"/>
    <w:rsid w:val="00FA0C69"/>
    <w:rsid w:val="00FA1DC2"/>
    <w:rsid w:val="00FB49D1"/>
    <w:rsid w:val="00FB599F"/>
    <w:rsid w:val="00FC6490"/>
    <w:rsid w:val="00FD2840"/>
    <w:rsid w:val="00FD4FA7"/>
    <w:rsid w:val="00FF6F38"/>
    <w:rsid w:val="0F173D0D"/>
    <w:rsid w:val="1053B826"/>
    <w:rsid w:val="13EB1BF9"/>
    <w:rsid w:val="1A08169C"/>
    <w:rsid w:val="23771A44"/>
    <w:rsid w:val="2D2A1F40"/>
    <w:rsid w:val="2E4A72DC"/>
    <w:rsid w:val="32AE1113"/>
    <w:rsid w:val="34E00154"/>
    <w:rsid w:val="3727C379"/>
    <w:rsid w:val="45784B26"/>
    <w:rsid w:val="6027E539"/>
    <w:rsid w:val="664C09AB"/>
    <w:rsid w:val="68F05019"/>
    <w:rsid w:val="6A51B692"/>
    <w:rsid w:val="737D974B"/>
    <w:rsid w:val="7D0147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C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0" w:qFormat="1"/>
    <w:lsdException w:name="heading 7" w:semiHidden="1" w:uiPriority="0" w:qFormat="1"/>
    <w:lsdException w:name="heading 8" w:semiHidden="1" w:uiPriority="0"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1D2B3C"/>
    <w:pPr>
      <w:spacing w:after="120"/>
      <w:jc w:val="both"/>
    </w:pPr>
    <w:rPr>
      <w:rFonts w:ascii="Arial" w:hAnsi="Arial"/>
      <w:sz w:val="20"/>
      <w:szCs w:val="20"/>
    </w:rPr>
  </w:style>
  <w:style w:type="paragraph" w:styleId="berschrift1">
    <w:name w:val="heading 1"/>
    <w:aliases w:val="FMA_Überschrift1 (Alt + 1),LLV_Überschrift1 (Alt + 1)"/>
    <w:basedOn w:val="Standard"/>
    <w:next w:val="Standard"/>
    <w:link w:val="berschrift1Zchn"/>
    <w:uiPriority w:val="9"/>
    <w:qFormat/>
    <w:rsid w:val="001D2B3C"/>
    <w:pPr>
      <w:keepNext/>
      <w:keepLines/>
      <w:numPr>
        <w:numId w:val="8"/>
      </w:numPr>
      <w:spacing w:before="240"/>
      <w:outlineLvl w:val="0"/>
    </w:pPr>
    <w:rPr>
      <w:rFonts w:eastAsiaTheme="majorEastAsia" w:cstheme="majorBidi"/>
      <w:b/>
      <w:bCs/>
      <w:szCs w:val="28"/>
    </w:rPr>
  </w:style>
  <w:style w:type="paragraph" w:styleId="berschrift2">
    <w:name w:val="heading 2"/>
    <w:aliases w:val="FMA_Überschrift2 (Alt + 2),LLV_Überschrift2 (Alt + 2)"/>
    <w:basedOn w:val="Standard"/>
    <w:next w:val="Standard"/>
    <w:link w:val="berschrift2Zchn"/>
    <w:unhideWhenUsed/>
    <w:qFormat/>
    <w:rsid w:val="001D2B3C"/>
    <w:pPr>
      <w:keepNext/>
      <w:keepLines/>
      <w:numPr>
        <w:ilvl w:val="1"/>
        <w:numId w:val="8"/>
      </w:numPr>
      <w:spacing w:before="240"/>
      <w:outlineLvl w:val="1"/>
    </w:pPr>
    <w:rPr>
      <w:rFonts w:eastAsiaTheme="majorEastAsia" w:cstheme="majorBidi"/>
      <w:b/>
      <w:bCs/>
      <w:szCs w:val="26"/>
    </w:rPr>
  </w:style>
  <w:style w:type="paragraph" w:styleId="berschrift3">
    <w:name w:val="heading 3"/>
    <w:aliases w:val="FMA_Überschrift3 (Alt + 3),LLV_Überschrift3 (Alt + 3)"/>
    <w:basedOn w:val="Standard"/>
    <w:next w:val="Standard"/>
    <w:link w:val="berschrift3Zchn"/>
    <w:uiPriority w:val="9"/>
    <w:unhideWhenUsed/>
    <w:qFormat/>
    <w:rsid w:val="001D2B3C"/>
    <w:pPr>
      <w:keepNext/>
      <w:keepLines/>
      <w:numPr>
        <w:ilvl w:val="2"/>
        <w:numId w:val="8"/>
      </w:numPr>
      <w:spacing w:before="240"/>
      <w:outlineLvl w:val="2"/>
    </w:pPr>
    <w:rPr>
      <w:rFonts w:eastAsiaTheme="majorEastAsia" w:cstheme="majorBidi"/>
      <w:b/>
      <w:bCs/>
    </w:rPr>
  </w:style>
  <w:style w:type="paragraph" w:styleId="berschrift4">
    <w:name w:val="heading 4"/>
    <w:aliases w:val="FMA_Überschrift4 (Alt + 4),LLV_Überschrift4"/>
    <w:basedOn w:val="Standard"/>
    <w:next w:val="Standard"/>
    <w:link w:val="berschrift4Zchn"/>
    <w:unhideWhenUsed/>
    <w:qFormat/>
    <w:rsid w:val="001D2B3C"/>
    <w:pPr>
      <w:keepNext/>
      <w:keepLines/>
      <w:numPr>
        <w:ilvl w:val="3"/>
        <w:numId w:val="8"/>
      </w:numPr>
      <w:spacing w:before="240"/>
      <w:outlineLvl w:val="3"/>
    </w:pPr>
    <w:rPr>
      <w:rFonts w:eastAsiaTheme="majorEastAsia" w:cstheme="majorBidi"/>
      <w:b/>
      <w:bCs/>
      <w:iCs/>
    </w:rPr>
  </w:style>
  <w:style w:type="paragraph" w:styleId="berschrift5">
    <w:name w:val="heading 5"/>
    <w:aliases w:val="FMA_Überschrift5 (Alt + 5),LLV_Überschrift5"/>
    <w:basedOn w:val="Standard"/>
    <w:next w:val="Standard"/>
    <w:link w:val="berschrift5Zchn"/>
    <w:uiPriority w:val="9"/>
    <w:qFormat/>
    <w:rsid w:val="001D2B3C"/>
    <w:pPr>
      <w:keepNext/>
      <w:keepLines/>
      <w:numPr>
        <w:ilvl w:val="4"/>
        <w:numId w:val="8"/>
      </w:numPr>
      <w:spacing w:before="240"/>
      <w:outlineLvl w:val="4"/>
    </w:pPr>
    <w:rPr>
      <w:rFonts w:eastAsiaTheme="majorEastAsia" w:cstheme="majorBidi"/>
      <w:b/>
    </w:rPr>
  </w:style>
  <w:style w:type="paragraph" w:styleId="berschrift6">
    <w:name w:val="heading 6"/>
    <w:aliases w:val="FMA_Überschrift6 (Alt + 6),LLV_Überschrift6"/>
    <w:basedOn w:val="Standard"/>
    <w:next w:val="Standard"/>
    <w:link w:val="berschrift6Zchn"/>
    <w:qFormat/>
    <w:rsid w:val="001D2B3C"/>
    <w:pPr>
      <w:keepNext/>
      <w:keepLines/>
      <w:numPr>
        <w:ilvl w:val="5"/>
        <w:numId w:val="8"/>
      </w:numPr>
      <w:spacing w:before="240"/>
      <w:outlineLvl w:val="5"/>
    </w:pPr>
    <w:rPr>
      <w:rFonts w:eastAsiaTheme="majorEastAsia" w:cstheme="majorBidi"/>
      <w:b/>
      <w:iCs/>
    </w:rPr>
  </w:style>
  <w:style w:type="paragraph" w:styleId="berschrift7">
    <w:name w:val="heading 7"/>
    <w:aliases w:val="FMA_Überschrift7 (Alt + 7),LLV_Überschrift7"/>
    <w:basedOn w:val="Standard"/>
    <w:next w:val="Standard"/>
    <w:link w:val="berschrift7Zchn"/>
    <w:qFormat/>
    <w:rsid w:val="001D2B3C"/>
    <w:pPr>
      <w:keepNext/>
      <w:keepLines/>
      <w:numPr>
        <w:ilvl w:val="6"/>
        <w:numId w:val="8"/>
      </w:numPr>
      <w:spacing w:before="240"/>
      <w:outlineLvl w:val="6"/>
    </w:pPr>
    <w:rPr>
      <w:rFonts w:eastAsiaTheme="majorEastAsia" w:cstheme="majorBidi"/>
      <w:b/>
      <w:iCs/>
    </w:rPr>
  </w:style>
  <w:style w:type="paragraph" w:styleId="berschrift8">
    <w:name w:val="heading 8"/>
    <w:aliases w:val="FMA_Überschrift8 (Alt + 8),LLV_Überschrift8"/>
    <w:basedOn w:val="Standard"/>
    <w:next w:val="Standard"/>
    <w:link w:val="berschrift8Zchn"/>
    <w:qFormat/>
    <w:rsid w:val="001D2B3C"/>
    <w:pPr>
      <w:keepNext/>
      <w:keepLines/>
      <w:numPr>
        <w:ilvl w:val="7"/>
        <w:numId w:val="8"/>
      </w:numPr>
      <w:spacing w:before="240"/>
      <w:outlineLvl w:val="7"/>
    </w:pPr>
    <w:rPr>
      <w:rFonts w:eastAsiaTheme="majorEastAsia" w:cstheme="majorBidi"/>
      <w:b/>
    </w:rPr>
  </w:style>
  <w:style w:type="paragraph" w:styleId="berschrift9">
    <w:name w:val="heading 9"/>
    <w:aliases w:val="FMA_Überschrift9 (Alt + 9),LLV_Überschrift9"/>
    <w:basedOn w:val="Standard"/>
    <w:next w:val="Standard"/>
    <w:link w:val="berschrift9Zchn"/>
    <w:uiPriority w:val="9"/>
    <w:qFormat/>
    <w:rsid w:val="001D2B3C"/>
    <w:pPr>
      <w:keepNext/>
      <w:keepLines/>
      <w:numPr>
        <w:ilvl w:val="8"/>
        <w:numId w:val="8"/>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1D2B3C"/>
    <w:pPr>
      <w:spacing w:after="0" w:line="240" w:lineRule="auto"/>
    </w:pPr>
  </w:style>
  <w:style w:type="character" w:customStyle="1" w:styleId="berschrift9Zchn">
    <w:name w:val="Überschrift 9 Zchn"/>
    <w:aliases w:val="FMA_Überschrift9 (Alt + 9) Zchn,LLV_Überschrift9 Zchn"/>
    <w:basedOn w:val="Absatz-Standardschriftart"/>
    <w:link w:val="berschrift9"/>
    <w:uiPriority w:val="9"/>
    <w:rsid w:val="001D2B3C"/>
    <w:rPr>
      <w:rFonts w:ascii="Arial" w:eastAsiaTheme="majorEastAsia" w:hAnsi="Arial" w:cstheme="majorBidi"/>
      <w:b/>
      <w:iCs/>
      <w:sz w:val="20"/>
      <w:szCs w:val="20"/>
    </w:rPr>
  </w:style>
  <w:style w:type="character" w:customStyle="1" w:styleId="berschrift8Zchn">
    <w:name w:val="Überschrift 8 Zchn"/>
    <w:aliases w:val="FMA_Überschrift8 (Alt + 8) Zchn,LLV_Überschrift8 Zchn"/>
    <w:basedOn w:val="Absatz-Standardschriftart"/>
    <w:link w:val="berschrift8"/>
    <w:rsid w:val="001D2B3C"/>
    <w:rPr>
      <w:rFonts w:ascii="Arial" w:eastAsiaTheme="majorEastAsia" w:hAnsi="Arial" w:cstheme="majorBidi"/>
      <w:b/>
      <w:sz w:val="20"/>
      <w:szCs w:val="20"/>
    </w:rPr>
  </w:style>
  <w:style w:type="character" w:customStyle="1" w:styleId="berschrift7Zchn">
    <w:name w:val="Überschrift 7 Zchn"/>
    <w:aliases w:val="FMA_Überschrift7 (Alt + 7) Zchn,LLV_Überschrift7 Zchn"/>
    <w:basedOn w:val="Absatz-Standardschriftart"/>
    <w:link w:val="berschrift7"/>
    <w:rsid w:val="001D2B3C"/>
    <w:rPr>
      <w:rFonts w:ascii="Arial" w:eastAsiaTheme="majorEastAsia" w:hAnsi="Arial" w:cstheme="majorBidi"/>
      <w:b/>
      <w:iCs/>
      <w:sz w:val="20"/>
      <w:szCs w:val="20"/>
    </w:rPr>
  </w:style>
  <w:style w:type="character" w:customStyle="1" w:styleId="berschrift6Zchn">
    <w:name w:val="Überschrift 6 Zchn"/>
    <w:aliases w:val="FMA_Überschrift6 (Alt + 6) Zchn,LLV_Überschrift6 Zchn"/>
    <w:basedOn w:val="Absatz-Standardschriftart"/>
    <w:link w:val="berschrift6"/>
    <w:rsid w:val="001D2B3C"/>
    <w:rPr>
      <w:rFonts w:ascii="Arial" w:eastAsiaTheme="majorEastAsia" w:hAnsi="Arial" w:cstheme="majorBidi"/>
      <w:b/>
      <w:iCs/>
      <w:sz w:val="20"/>
      <w:szCs w:val="20"/>
    </w:rPr>
  </w:style>
  <w:style w:type="character" w:customStyle="1" w:styleId="berschrift5Zchn">
    <w:name w:val="Überschrift 5 Zchn"/>
    <w:aliases w:val="FMA_Überschrift5 (Alt + 5) Zchn,LLV_Überschrift5 Zchn"/>
    <w:basedOn w:val="Absatz-Standardschriftart"/>
    <w:link w:val="berschrift5"/>
    <w:uiPriority w:val="9"/>
    <w:rsid w:val="001D2B3C"/>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1D2B3C"/>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1D2B3C"/>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1D2B3C"/>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1D2B3C"/>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1D2B3C"/>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semiHidden/>
    <w:qFormat/>
    <w:rsid w:val="001D2B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D2B3C"/>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1D2B3C"/>
    <w:rPr>
      <w:i/>
      <w:iCs/>
      <w:color w:val="808080" w:themeColor="text1" w:themeTint="7F"/>
    </w:rPr>
  </w:style>
  <w:style w:type="character" w:styleId="Hervorhebung">
    <w:name w:val="Emphasis"/>
    <w:basedOn w:val="Absatz-Standardschriftart"/>
    <w:uiPriority w:val="20"/>
    <w:semiHidden/>
    <w:qFormat/>
    <w:rsid w:val="001D2B3C"/>
    <w:rPr>
      <w:i/>
      <w:iCs/>
    </w:rPr>
  </w:style>
  <w:style w:type="character" w:styleId="IntensiveHervorhebung">
    <w:name w:val="Intense Emphasis"/>
    <w:basedOn w:val="Absatz-Standardschriftart"/>
    <w:uiPriority w:val="21"/>
    <w:semiHidden/>
    <w:qFormat/>
    <w:rsid w:val="001D2B3C"/>
    <w:rPr>
      <w:b/>
      <w:bCs/>
      <w:i/>
      <w:iCs/>
      <w:color w:val="4F81BD" w:themeColor="accent1"/>
    </w:rPr>
  </w:style>
  <w:style w:type="paragraph" w:styleId="Zitat">
    <w:name w:val="Quote"/>
    <w:basedOn w:val="Standard"/>
    <w:next w:val="Standard"/>
    <w:link w:val="ZitatZchn"/>
    <w:uiPriority w:val="29"/>
    <w:semiHidden/>
    <w:qFormat/>
    <w:rsid w:val="001D2B3C"/>
    <w:rPr>
      <w:i/>
      <w:iCs/>
      <w:color w:val="000000" w:themeColor="text1"/>
    </w:rPr>
  </w:style>
  <w:style w:type="character" w:customStyle="1" w:styleId="ZitatZchn">
    <w:name w:val="Zitat Zchn"/>
    <w:basedOn w:val="Absatz-Standardschriftart"/>
    <w:link w:val="Zitat"/>
    <w:uiPriority w:val="29"/>
    <w:rsid w:val="001D2B3C"/>
    <w:rPr>
      <w:i/>
      <w:iCs/>
      <w:color w:val="000000" w:themeColor="text1"/>
    </w:rPr>
  </w:style>
  <w:style w:type="paragraph" w:styleId="IntensivesZitat">
    <w:name w:val="Intense Quote"/>
    <w:basedOn w:val="Standard"/>
    <w:next w:val="Standard"/>
    <w:link w:val="IntensivesZitatZchn"/>
    <w:uiPriority w:val="30"/>
    <w:semiHidden/>
    <w:qFormat/>
    <w:rsid w:val="001D2B3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D2B3C"/>
    <w:rPr>
      <w:b/>
      <w:bCs/>
      <w:i/>
      <w:iCs/>
      <w:color w:val="4F81BD" w:themeColor="accent1"/>
    </w:rPr>
  </w:style>
  <w:style w:type="character" w:styleId="SchwacherVerweis">
    <w:name w:val="Subtle Reference"/>
    <w:basedOn w:val="Absatz-Standardschriftart"/>
    <w:uiPriority w:val="31"/>
    <w:semiHidden/>
    <w:qFormat/>
    <w:rsid w:val="001D2B3C"/>
    <w:rPr>
      <w:smallCaps/>
      <w:color w:val="C0504D" w:themeColor="accent2"/>
      <w:u w:val="single"/>
    </w:rPr>
  </w:style>
  <w:style w:type="character" w:styleId="IntensiverVerweis">
    <w:name w:val="Intense Reference"/>
    <w:basedOn w:val="Absatz-Standardschriftart"/>
    <w:uiPriority w:val="32"/>
    <w:semiHidden/>
    <w:qFormat/>
    <w:rsid w:val="001D2B3C"/>
    <w:rPr>
      <w:b/>
      <w:bCs/>
      <w:smallCaps/>
      <w:color w:val="C0504D" w:themeColor="accent2"/>
      <w:spacing w:val="5"/>
      <w:u w:val="single"/>
    </w:rPr>
  </w:style>
  <w:style w:type="character" w:styleId="Buchtitel">
    <w:name w:val="Book Title"/>
    <w:basedOn w:val="Absatz-Standardschriftart"/>
    <w:uiPriority w:val="33"/>
    <w:semiHidden/>
    <w:qFormat/>
    <w:rsid w:val="001D2B3C"/>
    <w:rPr>
      <w:b/>
      <w:bCs/>
      <w:smallCaps/>
      <w:spacing w:val="5"/>
    </w:rPr>
  </w:style>
  <w:style w:type="paragraph" w:styleId="Listenabsatz">
    <w:name w:val="List Paragraph"/>
    <w:basedOn w:val="Standard"/>
    <w:uiPriority w:val="34"/>
    <w:qFormat/>
    <w:rsid w:val="001D2B3C"/>
    <w:pPr>
      <w:ind w:left="720"/>
      <w:contextualSpacing/>
    </w:pPr>
  </w:style>
  <w:style w:type="character" w:styleId="Fett">
    <w:name w:val="Strong"/>
    <w:basedOn w:val="Absatz-Standardschriftart"/>
    <w:uiPriority w:val="22"/>
    <w:semiHidden/>
    <w:qFormat/>
    <w:rsid w:val="001D2B3C"/>
    <w:rPr>
      <w:b/>
      <w:bCs/>
    </w:rPr>
  </w:style>
  <w:style w:type="numbering" w:customStyle="1" w:styleId="FMAListeAufzhlung">
    <w:name w:val="FMA_ListeAufzählung"/>
    <w:basedOn w:val="KeineListe"/>
    <w:uiPriority w:val="99"/>
    <w:rsid w:val="001D2B3C"/>
    <w:pPr>
      <w:numPr>
        <w:numId w:val="1"/>
      </w:numPr>
    </w:pPr>
  </w:style>
  <w:style w:type="numbering" w:customStyle="1" w:styleId="FMAListeEinzge">
    <w:name w:val="FMA_ListeEinzüge"/>
    <w:basedOn w:val="KeineListe"/>
    <w:uiPriority w:val="99"/>
    <w:rsid w:val="001D2B3C"/>
    <w:pPr>
      <w:numPr>
        <w:numId w:val="2"/>
      </w:numPr>
    </w:pPr>
  </w:style>
  <w:style w:type="numbering" w:customStyle="1" w:styleId="FMAListeNummerierung">
    <w:name w:val="FMA_ListeNummerierung"/>
    <w:basedOn w:val="KeineListe"/>
    <w:uiPriority w:val="99"/>
    <w:rsid w:val="001D2B3C"/>
    <w:pPr>
      <w:numPr>
        <w:numId w:val="3"/>
      </w:numPr>
    </w:pPr>
  </w:style>
  <w:style w:type="numbering" w:customStyle="1" w:styleId="FMAListeberschriften">
    <w:name w:val="FMA_ListeÜberschriften"/>
    <w:basedOn w:val="KeineListe"/>
    <w:uiPriority w:val="99"/>
    <w:rsid w:val="001D2B3C"/>
    <w:pPr>
      <w:numPr>
        <w:numId w:val="4"/>
      </w:numPr>
    </w:pPr>
  </w:style>
  <w:style w:type="paragraph" w:customStyle="1" w:styleId="FMAAufzhlung1AltA">
    <w:name w:val="FMA_Aufzählung1 (Alt + A)"/>
    <w:basedOn w:val="Standard"/>
    <w:uiPriority w:val="4"/>
    <w:qFormat/>
    <w:rsid w:val="001D2B3C"/>
    <w:pPr>
      <w:numPr>
        <w:numId w:val="5"/>
      </w:numPr>
    </w:pPr>
  </w:style>
  <w:style w:type="paragraph" w:customStyle="1" w:styleId="FMAAufzhlung2">
    <w:name w:val="FMA_Aufzählung2"/>
    <w:basedOn w:val="Standard"/>
    <w:uiPriority w:val="4"/>
    <w:qFormat/>
    <w:rsid w:val="001D2B3C"/>
    <w:pPr>
      <w:numPr>
        <w:ilvl w:val="1"/>
        <w:numId w:val="5"/>
      </w:numPr>
    </w:pPr>
  </w:style>
  <w:style w:type="paragraph" w:styleId="Funotentext">
    <w:name w:val="footnote text"/>
    <w:aliases w:val="FMA_Fußnotentext"/>
    <w:basedOn w:val="Standard"/>
    <w:link w:val="FunotentextZchn"/>
    <w:uiPriority w:val="99"/>
    <w:rsid w:val="001D2B3C"/>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1D2B3C"/>
    <w:rPr>
      <w:rFonts w:ascii="Arial" w:hAnsi="Arial"/>
      <w:sz w:val="16"/>
      <w:szCs w:val="20"/>
    </w:rPr>
  </w:style>
  <w:style w:type="paragraph" w:styleId="Fuzeile">
    <w:name w:val="footer"/>
    <w:aliases w:val="FMA_Fußzeile"/>
    <w:basedOn w:val="Standard"/>
    <w:link w:val="FuzeileZchn"/>
    <w:unhideWhenUsed/>
    <w:rsid w:val="001D2B3C"/>
    <w:pPr>
      <w:tabs>
        <w:tab w:val="center" w:pos="4536"/>
        <w:tab w:val="right" w:pos="9072"/>
      </w:tabs>
      <w:spacing w:after="0" w:line="160" w:lineRule="exact"/>
    </w:pPr>
    <w:rPr>
      <w:spacing w:val="8"/>
      <w:sz w:val="16"/>
    </w:rPr>
  </w:style>
  <w:style w:type="character" w:customStyle="1" w:styleId="FuzeileZchn">
    <w:name w:val="Fußzeile Zchn"/>
    <w:aliases w:val="FMA_Fußzeile Zchn"/>
    <w:basedOn w:val="Absatz-Standardschriftart"/>
    <w:link w:val="Fuzeile"/>
    <w:rsid w:val="001D2B3C"/>
    <w:rPr>
      <w:rFonts w:ascii="Arial" w:hAnsi="Arial"/>
      <w:spacing w:val="8"/>
      <w:sz w:val="16"/>
      <w:szCs w:val="20"/>
    </w:rPr>
  </w:style>
  <w:style w:type="paragraph" w:customStyle="1" w:styleId="FMAFuzeileAbsender">
    <w:name w:val="FMA_FußzeileAbsender"/>
    <w:basedOn w:val="Standard"/>
    <w:uiPriority w:val="99"/>
    <w:rsid w:val="001D2B3C"/>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1D2B3C"/>
    <w:rPr>
      <w:color w:val="auto"/>
      <w:u w:val="single"/>
      <w:lang w:val="de-CH"/>
    </w:rPr>
  </w:style>
  <w:style w:type="paragraph" w:styleId="Kopfzeile">
    <w:name w:val="header"/>
    <w:aliases w:val="FMA_Kopfzeile"/>
    <w:basedOn w:val="Standard"/>
    <w:link w:val="KopfzeileZchn"/>
    <w:uiPriority w:val="99"/>
    <w:unhideWhenUsed/>
    <w:rsid w:val="001D2B3C"/>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1D2B3C"/>
    <w:rPr>
      <w:rFonts w:ascii="Arial" w:hAnsi="Arial"/>
      <w:sz w:val="20"/>
      <w:szCs w:val="20"/>
    </w:rPr>
  </w:style>
  <w:style w:type="paragraph" w:customStyle="1" w:styleId="FMANumAufz1FortsetzungAltF">
    <w:name w:val="FMA_NumAufz1Fortsetzung (Alt + F)"/>
    <w:basedOn w:val="Standard"/>
    <w:uiPriority w:val="99"/>
    <w:rsid w:val="001D2B3C"/>
    <w:pPr>
      <w:numPr>
        <w:numId w:val="6"/>
      </w:numPr>
    </w:pPr>
  </w:style>
  <w:style w:type="paragraph" w:customStyle="1" w:styleId="FMANumAufz2Fortsetzung">
    <w:name w:val="FMA_NumAufz2Fortsetzung"/>
    <w:basedOn w:val="Standard"/>
    <w:uiPriority w:val="99"/>
    <w:rsid w:val="001D2B3C"/>
    <w:pPr>
      <w:numPr>
        <w:ilvl w:val="1"/>
        <w:numId w:val="6"/>
      </w:numPr>
    </w:pPr>
  </w:style>
  <w:style w:type="paragraph" w:customStyle="1" w:styleId="FMANumAufz3Fortsetzung">
    <w:name w:val="FMA_NumAufz3Fortsetzung"/>
    <w:basedOn w:val="Standard"/>
    <w:uiPriority w:val="99"/>
    <w:rsid w:val="001D2B3C"/>
    <w:pPr>
      <w:numPr>
        <w:ilvl w:val="2"/>
        <w:numId w:val="6"/>
      </w:numPr>
    </w:pPr>
  </w:style>
  <w:style w:type="paragraph" w:customStyle="1" w:styleId="FMANumAufz4Fortsetzung">
    <w:name w:val="FMA_NumAufz4Fortsetzung"/>
    <w:basedOn w:val="Standard"/>
    <w:uiPriority w:val="99"/>
    <w:rsid w:val="001D2B3C"/>
    <w:pPr>
      <w:numPr>
        <w:ilvl w:val="3"/>
        <w:numId w:val="6"/>
      </w:numPr>
    </w:pPr>
  </w:style>
  <w:style w:type="paragraph" w:customStyle="1" w:styleId="FMANummerierung1AltN">
    <w:name w:val="FMA_Nummerierung1 (Alt + N)"/>
    <w:basedOn w:val="Standard"/>
    <w:uiPriority w:val="3"/>
    <w:qFormat/>
    <w:rsid w:val="001D2B3C"/>
    <w:pPr>
      <w:numPr>
        <w:ilvl w:val="1"/>
        <w:numId w:val="7"/>
      </w:numPr>
    </w:pPr>
  </w:style>
  <w:style w:type="paragraph" w:customStyle="1" w:styleId="FMANummerierung2">
    <w:name w:val="FMA_Nummerierung2"/>
    <w:basedOn w:val="Standard"/>
    <w:uiPriority w:val="3"/>
    <w:qFormat/>
    <w:rsid w:val="001D2B3C"/>
    <w:pPr>
      <w:numPr>
        <w:ilvl w:val="2"/>
        <w:numId w:val="7"/>
      </w:numPr>
    </w:pPr>
  </w:style>
  <w:style w:type="paragraph" w:customStyle="1" w:styleId="FMANummerierung3">
    <w:name w:val="FMA_Nummerierung3"/>
    <w:basedOn w:val="Standard"/>
    <w:uiPriority w:val="3"/>
    <w:qFormat/>
    <w:rsid w:val="001D2B3C"/>
    <w:pPr>
      <w:numPr>
        <w:ilvl w:val="3"/>
        <w:numId w:val="7"/>
      </w:numPr>
    </w:pPr>
  </w:style>
  <w:style w:type="paragraph" w:customStyle="1" w:styleId="FMANummerierung4">
    <w:name w:val="FMA_Nummerierung4"/>
    <w:basedOn w:val="Standard"/>
    <w:uiPriority w:val="3"/>
    <w:qFormat/>
    <w:rsid w:val="001D2B3C"/>
    <w:pPr>
      <w:numPr>
        <w:ilvl w:val="4"/>
        <w:numId w:val="7"/>
      </w:numPr>
    </w:pPr>
  </w:style>
  <w:style w:type="paragraph" w:styleId="Titel">
    <w:name w:val="Title"/>
    <w:aliases w:val="FMA_Titel (Alt + T)"/>
    <w:basedOn w:val="Standard"/>
    <w:next w:val="Standard"/>
    <w:link w:val="TitelZchn"/>
    <w:uiPriority w:val="1"/>
    <w:qFormat/>
    <w:rsid w:val="001D2B3C"/>
    <w:rPr>
      <w:b/>
      <w:sz w:val="24"/>
    </w:rPr>
  </w:style>
  <w:style w:type="character" w:customStyle="1" w:styleId="TitelZchn">
    <w:name w:val="Titel Zchn"/>
    <w:aliases w:val="FMA_Titel (Alt + T) Zchn"/>
    <w:basedOn w:val="Absatz-Standardschriftart"/>
    <w:link w:val="Titel"/>
    <w:uiPriority w:val="1"/>
    <w:rsid w:val="001D2B3C"/>
    <w:rPr>
      <w:rFonts w:ascii="Arial" w:hAnsi="Arial"/>
      <w:b/>
      <w:sz w:val="24"/>
      <w:szCs w:val="20"/>
    </w:rPr>
  </w:style>
  <w:style w:type="character" w:customStyle="1" w:styleId="berschrift1Zchn">
    <w:name w:val="Überschrift 1 Zchn"/>
    <w:aliases w:val="FMA_Überschrift1 (Alt + 1) Zchn,LLV_Überschrift1 (Alt + 1) Zchn"/>
    <w:basedOn w:val="Absatz-Standardschriftart"/>
    <w:link w:val="berschrift1"/>
    <w:uiPriority w:val="9"/>
    <w:rsid w:val="001D2B3C"/>
    <w:rPr>
      <w:rFonts w:ascii="Arial" w:eastAsiaTheme="majorEastAsia" w:hAnsi="Arial" w:cstheme="majorBidi"/>
      <w:b/>
      <w:bCs/>
      <w:sz w:val="20"/>
      <w:szCs w:val="28"/>
    </w:rPr>
  </w:style>
  <w:style w:type="character" w:customStyle="1" w:styleId="berschrift2Zchn">
    <w:name w:val="Überschrift 2 Zchn"/>
    <w:aliases w:val="FMA_Überschrift2 (Alt + 2) Zchn,LLV_Überschrift2 (Alt + 2) Zchn"/>
    <w:basedOn w:val="Absatz-Standardschriftart"/>
    <w:link w:val="berschrift2"/>
    <w:rsid w:val="001D2B3C"/>
    <w:rPr>
      <w:rFonts w:ascii="Arial" w:eastAsiaTheme="majorEastAsia" w:hAnsi="Arial" w:cstheme="majorBidi"/>
      <w:b/>
      <w:bCs/>
      <w:sz w:val="20"/>
      <w:szCs w:val="26"/>
    </w:rPr>
  </w:style>
  <w:style w:type="character" w:customStyle="1" w:styleId="berschrift3Zchn">
    <w:name w:val="Überschrift 3 Zchn"/>
    <w:aliases w:val="FMA_Überschrift3 (Alt + 3) Zchn,LLV_Überschrift3 (Alt + 3) Zchn"/>
    <w:basedOn w:val="Absatz-Standardschriftart"/>
    <w:link w:val="berschrift3"/>
    <w:uiPriority w:val="9"/>
    <w:rsid w:val="001D2B3C"/>
    <w:rPr>
      <w:rFonts w:ascii="Arial" w:eastAsiaTheme="majorEastAsia" w:hAnsi="Arial" w:cstheme="majorBidi"/>
      <w:b/>
      <w:bCs/>
      <w:sz w:val="20"/>
      <w:szCs w:val="20"/>
    </w:rPr>
  </w:style>
  <w:style w:type="character" w:customStyle="1" w:styleId="berschrift4Zchn">
    <w:name w:val="Überschrift 4 Zchn"/>
    <w:aliases w:val="FMA_Überschrift4 (Alt + 4) Zchn,LLV_Überschrift4 Zchn"/>
    <w:basedOn w:val="Absatz-Standardschriftart"/>
    <w:link w:val="berschrift4"/>
    <w:rsid w:val="001D2B3C"/>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1D2B3C"/>
    <w:pPr>
      <w:spacing w:before="240"/>
      <w:outlineLvl w:val="0"/>
    </w:pPr>
    <w:rPr>
      <w:b/>
    </w:rPr>
  </w:style>
  <w:style w:type="paragraph" w:styleId="Verzeichnis1">
    <w:name w:val="toc 1"/>
    <w:aliases w:val="FMA_Verzeichnis1"/>
    <w:basedOn w:val="Standard"/>
    <w:next w:val="Standard"/>
    <w:uiPriority w:val="39"/>
    <w:unhideWhenUsed/>
    <w:qFormat/>
    <w:rsid w:val="001D2B3C"/>
    <w:pPr>
      <w:tabs>
        <w:tab w:val="left" w:pos="851"/>
        <w:tab w:val="right" w:leader="dot" w:pos="9062"/>
      </w:tabs>
      <w:spacing w:after="100"/>
      <w:ind w:left="851" w:hanging="851"/>
    </w:pPr>
  </w:style>
  <w:style w:type="paragraph" w:styleId="Verzeichnis2">
    <w:name w:val="toc 2"/>
    <w:aliases w:val="FMA_Verzeichnis2"/>
    <w:basedOn w:val="Standard"/>
    <w:next w:val="Standard"/>
    <w:uiPriority w:val="39"/>
    <w:unhideWhenUsed/>
    <w:qFormat/>
    <w:rsid w:val="001D2B3C"/>
    <w:pPr>
      <w:tabs>
        <w:tab w:val="left" w:pos="851"/>
        <w:tab w:val="right" w:leader="dot" w:pos="9062"/>
      </w:tabs>
      <w:spacing w:after="100"/>
      <w:ind w:left="851" w:hanging="851"/>
    </w:pPr>
  </w:style>
  <w:style w:type="paragraph" w:styleId="Verzeichnis3">
    <w:name w:val="toc 3"/>
    <w:aliases w:val="FMA_Verzeichnis3"/>
    <w:basedOn w:val="Standard"/>
    <w:next w:val="Standard"/>
    <w:uiPriority w:val="39"/>
    <w:unhideWhenUsed/>
    <w:qFormat/>
    <w:rsid w:val="001D2B3C"/>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1D2B3C"/>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1D2B3C"/>
    <w:pPr>
      <w:spacing w:before="240"/>
    </w:pPr>
    <w:rPr>
      <w:b/>
    </w:rPr>
  </w:style>
  <w:style w:type="paragraph" w:customStyle="1" w:styleId="FormatvorlageLinks0cm">
    <w:name w:val="Formatvorlage Links:  0 cm"/>
    <w:basedOn w:val="Standard"/>
    <w:rsid w:val="0016620F"/>
    <w:pPr>
      <w:spacing w:after="0" w:line="240" w:lineRule="auto"/>
    </w:pPr>
    <w:rPr>
      <w:rFonts w:eastAsia="Times New Roman" w:cs="Arial"/>
      <w:color w:val="000000"/>
      <w:lang w:val="de-LI" w:eastAsia="fr-FR"/>
    </w:rPr>
  </w:style>
  <w:style w:type="paragraph" w:customStyle="1" w:styleId="FormatvorlageBeschriftungVor0pt">
    <w:name w:val="Formatvorlage Beschriftung + Vor:  0 pt"/>
    <w:basedOn w:val="Beschriftung"/>
    <w:autoRedefine/>
    <w:rsid w:val="00546F18"/>
    <w:pPr>
      <w:spacing w:beforeAutospacing="1" w:after="120"/>
      <w:jc w:val="left"/>
    </w:pPr>
    <w:rPr>
      <w:rFonts w:eastAsia="Times New Roman" w:cs="Times New Roman"/>
      <w:b w:val="0"/>
      <w:bCs w:val="0"/>
      <w:color w:val="000000"/>
      <w:sz w:val="22"/>
      <w:szCs w:val="22"/>
      <w:lang w:val="de-LI" w:eastAsia="fr-FR"/>
    </w:rPr>
  </w:style>
  <w:style w:type="paragraph" w:styleId="Beschriftung">
    <w:name w:val="caption"/>
    <w:basedOn w:val="Standard"/>
    <w:next w:val="Standard"/>
    <w:uiPriority w:val="35"/>
    <w:semiHidden/>
    <w:unhideWhenUsed/>
    <w:qFormat/>
    <w:rsid w:val="00546F18"/>
    <w:pPr>
      <w:spacing w:after="200" w:line="240" w:lineRule="auto"/>
    </w:pPr>
    <w:rPr>
      <w:b/>
      <w:bCs/>
      <w:color w:val="4F81BD" w:themeColor="accent1"/>
      <w:sz w:val="18"/>
      <w:szCs w:val="18"/>
    </w:rPr>
  </w:style>
  <w:style w:type="paragraph" w:customStyle="1" w:styleId="Default">
    <w:name w:val="Default"/>
    <w:rsid w:val="00FD284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numbering" w:styleId="111111">
    <w:name w:val="Outline List 2"/>
    <w:basedOn w:val="KeineListe"/>
    <w:rsid w:val="00383CAB"/>
    <w:pPr>
      <w:numPr>
        <w:numId w:val="9"/>
      </w:numPr>
    </w:pPr>
  </w:style>
  <w:style w:type="paragraph" w:styleId="Sprechblasentext">
    <w:name w:val="Balloon Text"/>
    <w:basedOn w:val="Standard"/>
    <w:link w:val="SprechblasentextZchn"/>
    <w:uiPriority w:val="99"/>
    <w:semiHidden/>
    <w:unhideWhenUsed/>
    <w:rsid w:val="00B626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61E"/>
    <w:rPr>
      <w:rFonts w:ascii="Tahoma" w:hAnsi="Tahoma" w:cs="Tahoma"/>
      <w:sz w:val="16"/>
      <w:szCs w:val="16"/>
    </w:rPr>
  </w:style>
  <w:style w:type="paragraph" w:styleId="berarbeitung">
    <w:name w:val="Revision"/>
    <w:hidden/>
    <w:uiPriority w:val="99"/>
    <w:semiHidden/>
    <w:rsid w:val="00486E4E"/>
    <w:pPr>
      <w:spacing w:after="0" w:line="240" w:lineRule="auto"/>
    </w:pPr>
    <w:rPr>
      <w:rFonts w:ascii="Arial" w:hAnsi="Arial"/>
      <w:sz w:val="20"/>
      <w:szCs w:val="20"/>
    </w:rPr>
  </w:style>
  <w:style w:type="character" w:styleId="Kommentarzeichen">
    <w:name w:val="annotation reference"/>
    <w:basedOn w:val="Absatz-Standardschriftart"/>
    <w:uiPriority w:val="99"/>
    <w:semiHidden/>
    <w:unhideWhenUsed/>
    <w:rsid w:val="005D28A4"/>
    <w:rPr>
      <w:sz w:val="16"/>
      <w:szCs w:val="16"/>
    </w:rPr>
  </w:style>
  <w:style w:type="paragraph" w:styleId="Kommentartext">
    <w:name w:val="annotation text"/>
    <w:basedOn w:val="Standard"/>
    <w:link w:val="KommentartextZchn"/>
    <w:unhideWhenUsed/>
    <w:rsid w:val="005D28A4"/>
    <w:pPr>
      <w:spacing w:line="240" w:lineRule="auto"/>
    </w:pPr>
  </w:style>
  <w:style w:type="character" w:customStyle="1" w:styleId="KommentartextZchn">
    <w:name w:val="Kommentartext Zchn"/>
    <w:basedOn w:val="Absatz-Standardschriftart"/>
    <w:link w:val="Kommentartext"/>
    <w:rsid w:val="005D28A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D28A4"/>
    <w:rPr>
      <w:b/>
      <w:bCs/>
    </w:rPr>
  </w:style>
  <w:style w:type="character" w:customStyle="1" w:styleId="KommentarthemaZchn">
    <w:name w:val="Kommentarthema Zchn"/>
    <w:basedOn w:val="KommentartextZchn"/>
    <w:link w:val="Kommentarthema"/>
    <w:uiPriority w:val="99"/>
    <w:semiHidden/>
    <w:rsid w:val="005D28A4"/>
    <w:rPr>
      <w:rFonts w:ascii="Arial" w:hAnsi="Arial"/>
      <w:b/>
      <w:bCs/>
      <w:sz w:val="20"/>
      <w:szCs w:val="20"/>
    </w:rPr>
  </w:style>
  <w:style w:type="paragraph" w:styleId="Textkrper">
    <w:name w:val="Body Text"/>
    <w:basedOn w:val="Standard"/>
    <w:link w:val="TextkrperZchn"/>
    <w:uiPriority w:val="99"/>
    <w:unhideWhenUsed/>
    <w:rsid w:val="006C4C99"/>
    <w:pPr>
      <w:spacing w:after="280" w:line="280" w:lineRule="atLeast"/>
    </w:pPr>
    <w:rPr>
      <w:rFonts w:cs="Arial"/>
      <w:sz w:val="24"/>
      <w:szCs w:val="24"/>
      <w:lang w:val="de-DE"/>
    </w:rPr>
  </w:style>
  <w:style w:type="character" w:customStyle="1" w:styleId="TextkrperZchn">
    <w:name w:val="Textkörper Zchn"/>
    <w:basedOn w:val="Absatz-Standardschriftart"/>
    <w:link w:val="Textkrper"/>
    <w:uiPriority w:val="99"/>
    <w:rsid w:val="006C4C99"/>
    <w:rPr>
      <w:rFonts w:ascii="Arial" w:hAnsi="Arial" w:cs="Arial"/>
      <w:sz w:val="24"/>
      <w:szCs w:val="24"/>
      <w:lang w:val="de-DE"/>
    </w:rPr>
  </w:style>
  <w:style w:type="numbering" w:customStyle="1" w:styleId="LLVAufzhlung">
    <w:name w:val="LLV_Aufzählung"/>
    <w:basedOn w:val="KeineListe"/>
    <w:uiPriority w:val="99"/>
    <w:rsid w:val="00D205B0"/>
    <w:pPr>
      <w:numPr>
        <w:numId w:val="10"/>
      </w:numPr>
    </w:pPr>
  </w:style>
  <w:style w:type="paragraph" w:customStyle="1" w:styleId="LLVAufzhlung1AltA">
    <w:name w:val="LLV_Aufzählung1 (Alt + A)"/>
    <w:basedOn w:val="Standard"/>
    <w:next w:val="Standard"/>
    <w:link w:val="LLVAufzhlung1AltAZchn"/>
    <w:qFormat/>
    <w:rsid w:val="00D205B0"/>
    <w:pPr>
      <w:numPr>
        <w:numId w:val="10"/>
      </w:numPr>
      <w:spacing w:after="140" w:line="280" w:lineRule="atLeast"/>
      <w:jc w:val="left"/>
    </w:pPr>
    <w:rPr>
      <w:sz w:val="24"/>
      <w:szCs w:val="24"/>
      <w:lang w:val="de-DE"/>
    </w:rPr>
  </w:style>
  <w:style w:type="character" w:customStyle="1" w:styleId="LLVAufzhlung1AltAZchn">
    <w:name w:val="LLV_Aufzählung1 (Alt + A) Zchn"/>
    <w:basedOn w:val="Absatz-Standardschriftart"/>
    <w:link w:val="LLVAufzhlung1AltA"/>
    <w:rsid w:val="00D205B0"/>
    <w:rPr>
      <w:rFonts w:ascii="Arial" w:hAnsi="Arial"/>
      <w:sz w:val="24"/>
      <w:szCs w:val="24"/>
      <w:lang w:val="de-DE"/>
    </w:rPr>
  </w:style>
  <w:style w:type="paragraph" w:customStyle="1" w:styleId="LLVAufzhlung2">
    <w:name w:val="LLV_Aufzählung2"/>
    <w:basedOn w:val="Standard"/>
    <w:next w:val="Standard"/>
    <w:rsid w:val="00D205B0"/>
    <w:pPr>
      <w:numPr>
        <w:ilvl w:val="1"/>
        <w:numId w:val="10"/>
      </w:numPr>
      <w:spacing w:after="140" w:line="280" w:lineRule="atLeast"/>
      <w:jc w:val="left"/>
    </w:pPr>
    <w:rPr>
      <w:sz w:val="24"/>
      <w:szCs w:val="24"/>
      <w:lang w:val="de-DE"/>
    </w:rPr>
  </w:style>
  <w:style w:type="paragraph" w:customStyle="1" w:styleId="LLVAufzhlung3">
    <w:name w:val="LLV_Aufzählung3"/>
    <w:basedOn w:val="Standard"/>
    <w:next w:val="Standard"/>
    <w:rsid w:val="00D205B0"/>
    <w:pPr>
      <w:numPr>
        <w:ilvl w:val="2"/>
        <w:numId w:val="10"/>
      </w:numPr>
      <w:spacing w:after="140" w:line="280" w:lineRule="atLeast"/>
      <w:jc w:val="left"/>
    </w:pPr>
    <w:rPr>
      <w:sz w:val="24"/>
      <w:szCs w:val="24"/>
      <w:lang w:val="de-DE"/>
    </w:rPr>
  </w:style>
  <w:style w:type="paragraph" w:customStyle="1" w:styleId="LLVAufzhlung4">
    <w:name w:val="LLV_Aufzählung4"/>
    <w:basedOn w:val="Standard"/>
    <w:next w:val="Standard"/>
    <w:rsid w:val="00D205B0"/>
    <w:pPr>
      <w:numPr>
        <w:ilvl w:val="3"/>
        <w:numId w:val="10"/>
      </w:numPr>
      <w:spacing w:after="140" w:line="280" w:lineRule="atLeast"/>
      <w:jc w:val="left"/>
    </w:pPr>
    <w:rPr>
      <w:sz w:val="24"/>
      <w:szCs w:val="24"/>
      <w:lang w:val="de-DE"/>
    </w:rPr>
  </w:style>
  <w:style w:type="paragraph" w:styleId="Textkrper2">
    <w:name w:val="Body Text 2"/>
    <w:basedOn w:val="Standard"/>
    <w:link w:val="Textkrper2Zchn"/>
    <w:uiPriority w:val="99"/>
    <w:unhideWhenUsed/>
    <w:rsid w:val="0086073A"/>
    <w:pPr>
      <w:spacing w:line="480" w:lineRule="auto"/>
    </w:pPr>
  </w:style>
  <w:style w:type="character" w:customStyle="1" w:styleId="Textkrper2Zchn">
    <w:name w:val="Textkörper 2 Zchn"/>
    <w:basedOn w:val="Absatz-Standardschriftart"/>
    <w:link w:val="Textkrper2"/>
    <w:uiPriority w:val="99"/>
    <w:rsid w:val="0086073A"/>
    <w:rPr>
      <w:rFonts w:ascii="Arial" w:hAnsi="Arial"/>
      <w:sz w:val="20"/>
      <w:szCs w:val="20"/>
    </w:rPr>
  </w:style>
  <w:style w:type="paragraph" w:customStyle="1" w:styleId="FormatvorlageFormatvorlageberschrift7KursivTimesNewRomanNichtKu">
    <w:name w:val="Formatvorlage Formatvorlage Überschrift 7 Kursiv + Times New Roman Nicht Ku..."/>
    <w:basedOn w:val="Standard"/>
    <w:link w:val="FormatvorlageFormatvorlageberschrift7KursivTimesNewRomanNichtKuChar"/>
    <w:autoRedefine/>
    <w:rsid w:val="009462BF"/>
    <w:pPr>
      <w:tabs>
        <w:tab w:val="num" w:pos="709"/>
      </w:tabs>
      <w:spacing w:before="240" w:after="60" w:line="240" w:lineRule="auto"/>
      <w:ind w:left="709" w:hanging="709"/>
      <w:jc w:val="left"/>
      <w:outlineLvl w:val="6"/>
    </w:pPr>
    <w:rPr>
      <w:rFonts w:eastAsia="Times New Roman" w:cs="Arial"/>
      <w:i/>
      <w:lang w:val="de-LI" w:eastAsia="fr-FR"/>
    </w:rPr>
  </w:style>
  <w:style w:type="character" w:customStyle="1" w:styleId="FormatvorlageFormatvorlageberschrift7KursivTimesNewRomanNichtKuChar">
    <w:name w:val="Formatvorlage Formatvorlage Überschrift 7 Kursiv + Times New Roman Nicht Ku... Char"/>
    <w:link w:val="FormatvorlageFormatvorlageberschrift7KursivTimesNewRomanNichtKu"/>
    <w:rsid w:val="009462BF"/>
    <w:rPr>
      <w:rFonts w:ascii="Arial" w:eastAsia="Times New Roman" w:hAnsi="Arial" w:cs="Arial"/>
      <w:i/>
      <w:sz w:val="20"/>
      <w:szCs w:val="20"/>
      <w:lang w:val="de-LI" w:eastAsia="fr-FR"/>
    </w:rPr>
  </w:style>
  <w:style w:type="paragraph" w:styleId="Inhaltsverzeichnisberschrift">
    <w:name w:val="TOC Heading"/>
    <w:basedOn w:val="berschrift1"/>
    <w:next w:val="Standard"/>
    <w:uiPriority w:val="39"/>
    <w:unhideWhenUsed/>
    <w:qFormat/>
    <w:rsid w:val="001A0704"/>
    <w:pPr>
      <w:numPr>
        <w:numId w:val="0"/>
      </w:numPr>
      <w:spacing w:after="0" w:line="259" w:lineRule="auto"/>
      <w:jc w:val="left"/>
      <w:outlineLvl w:val="9"/>
    </w:pPr>
    <w:rPr>
      <w:rFonts w:asciiTheme="majorHAnsi" w:hAnsiTheme="majorHAnsi"/>
      <w:b w:val="0"/>
      <w:bCs w:val="0"/>
      <w:color w:val="365F91" w:themeColor="accent1" w:themeShade="BF"/>
      <w:sz w:val="32"/>
      <w:szCs w:val="32"/>
      <w:lang w:val="de-DE" w:eastAsia="de-DE"/>
    </w:rPr>
  </w:style>
  <w:style w:type="character" w:styleId="Funotenzeichen">
    <w:name w:val="footnote reference"/>
    <w:basedOn w:val="Absatz-Standardschriftart"/>
    <w:uiPriority w:val="99"/>
    <w:semiHidden/>
    <w:unhideWhenUsed/>
    <w:rsid w:val="00F72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47A612AC4C048BC5A8E2900C84243" ma:contentTypeVersion="4" ma:contentTypeDescription="Create a new document." ma:contentTypeScope="" ma:versionID="8d5935520933526df46f78d317a7e9fe">
  <xsd:schema xmlns:xsd="http://www.w3.org/2001/XMLSchema" xmlns:xs="http://www.w3.org/2001/XMLSchema" xmlns:p="http://schemas.microsoft.com/office/2006/metadata/properties" xmlns:ns2="aed5e8f4-3c26-46fd-bb27-ba1f0af5ebf9" targetNamespace="http://schemas.microsoft.com/office/2006/metadata/properties" ma:root="true" ma:fieldsID="a73f8a6cb1d0c83a889afb24492d938f" ns2:_="">
    <xsd:import namespace="aed5e8f4-3c26-46fd-bb27-ba1f0af5e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5e8f4-3c26-46fd-bb27-ba1f0af5e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2EE1-2721-4C67-AE1D-6E494B164325}">
  <ds:schemaRefs>
    <ds:schemaRef ds:uri="http://schemas.microsoft.com/sharepoint/v3/contenttype/forms"/>
  </ds:schemaRefs>
</ds:datastoreItem>
</file>

<file path=customXml/itemProps2.xml><?xml version="1.0" encoding="utf-8"?>
<ds:datastoreItem xmlns:ds="http://schemas.openxmlformats.org/officeDocument/2006/customXml" ds:itemID="{48166E9F-33E5-4769-9358-61D88429A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BCCA4-F835-4A06-9C89-7C75ECC3B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5e8f4-3c26-46fd-bb27-ba1f0af5e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3A594-0E2D-4264-A965-BF134893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21972</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dcterms:created xsi:type="dcterms:W3CDTF">2019-07-09T11:52:00Z</dcterms:created>
  <dcterms:modified xsi:type="dcterms:W3CDTF">2024-12-16T13:13:00Z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0x01010011547A612AC4C048BC5A8E2900C84243</vt:lpwstr>
  </property>
</Properties>
</file>