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77777777" w:rsidR="009F7D17" w:rsidRPr="00394320" w:rsidRDefault="00DD5846" w:rsidP="00E3092C">
      <w:pPr>
        <w:pStyle w:val="Default"/>
        <w:rPr>
          <w:rFonts w:ascii="Garamond" w:hAnsi="Garamond" w:cs="Times New Roman"/>
          <w:color w:val="505154"/>
          <w:sz w:val="50"/>
          <w:szCs w:val="36"/>
        </w:rPr>
      </w:pPr>
      <w:r w:rsidRPr="00394320">
        <w:rPr>
          <w:rFonts w:ascii="Garamond" w:hAnsi="Garamond" w:cs="Times New Roman"/>
          <w:color w:val="505154"/>
          <w:sz w:val="50"/>
          <w:szCs w:val="36"/>
        </w:rPr>
        <w:t>Musterbericht</w:t>
      </w:r>
    </w:p>
    <w:p w14:paraId="2219662C" w14:textId="01C9057A" w:rsidR="009F7D17" w:rsidRPr="00394320" w:rsidRDefault="00DD5846" w:rsidP="009F7D17">
      <w:pPr>
        <w:pStyle w:val="Default"/>
        <w:spacing w:before="120" w:line="200" w:lineRule="atLeast"/>
        <w:rPr>
          <w:rFonts w:ascii="Garamond" w:hAnsi="Garamond" w:cs="Times New Roman"/>
          <w:szCs w:val="36"/>
        </w:rPr>
      </w:pPr>
      <w:r w:rsidRPr="00394320">
        <w:rPr>
          <w:rFonts w:ascii="Garamond" w:hAnsi="Garamond" w:cs="Times New Roman"/>
          <w:szCs w:val="36"/>
        </w:rPr>
        <w:t xml:space="preserve">zur </w:t>
      </w:r>
      <w:r w:rsidR="00D8574B">
        <w:rPr>
          <w:rFonts w:ascii="Garamond" w:hAnsi="Garamond" w:cs="Times New Roman"/>
          <w:szCs w:val="36"/>
        </w:rPr>
        <w:t xml:space="preserve">Prüfung der Abwicklungsfähigkeit von </w:t>
      </w:r>
      <w:r w:rsidR="00145D00" w:rsidRPr="00145D00">
        <w:rPr>
          <w:rFonts w:ascii="Garamond" w:hAnsi="Garamond" w:cs="Times New Roman"/>
          <w:szCs w:val="36"/>
        </w:rPr>
        <w:t>Unternehmen nach Art. 2 Abs. 1 Bst. a bis d SAG</w:t>
      </w:r>
      <w:r w:rsidR="00254B93">
        <w:rPr>
          <w:rFonts w:ascii="Garamond" w:hAnsi="Garamond" w:cs="Times New Roman"/>
          <w:szCs w:val="36"/>
        </w:rPr>
        <w:t xml:space="preserve"> (Anhang A2)</w:t>
      </w:r>
    </w:p>
    <w:p w14:paraId="43716094" w14:textId="77777777" w:rsidR="003A65D2" w:rsidRPr="00394320" w:rsidRDefault="003A65D2" w:rsidP="009F7D17">
      <w:pPr>
        <w:pStyle w:val="Default"/>
        <w:spacing w:before="120" w:line="200" w:lineRule="atLeast"/>
        <w:rPr>
          <w:rFonts w:ascii="Garamond" w:hAnsi="Garamond" w:cs="Times New Roman"/>
          <w:szCs w:val="36"/>
        </w:rPr>
      </w:pPr>
    </w:p>
    <w:p w14:paraId="6F92E940" w14:textId="77777777" w:rsidR="009F7D17" w:rsidRPr="00DD5846" w:rsidRDefault="009F7D17" w:rsidP="009F7D17">
      <w:pPr>
        <w:pStyle w:val="Default"/>
        <w:spacing w:before="120"/>
        <w:rPr>
          <w:rFonts w:ascii="Arial" w:hAnsi="Arial" w:cs="Arial"/>
          <w:b/>
          <w:sz w:val="20"/>
          <w:szCs w:val="20"/>
        </w:rPr>
      </w:pPr>
    </w:p>
    <w:p w14:paraId="720B3422" w14:textId="0ED31CBD" w:rsidR="00DF2E41" w:rsidRPr="00DD5846" w:rsidRDefault="00D8574B" w:rsidP="009F7D17">
      <w:pPr>
        <w:pStyle w:val="Default"/>
        <w:spacing w:before="120"/>
        <w:rPr>
          <w:rFonts w:ascii="Garamond" w:hAnsi="Garamond" w:cs="Arial"/>
          <w:sz w:val="20"/>
          <w:szCs w:val="20"/>
        </w:rPr>
      </w:pPr>
      <w:r>
        <w:rPr>
          <w:rFonts w:ascii="Garamond" w:hAnsi="Garamond" w:cs="Arial"/>
          <w:sz w:val="20"/>
          <w:szCs w:val="20"/>
        </w:rPr>
        <w:t>Dezember</w:t>
      </w:r>
      <w:r w:rsidR="00636495" w:rsidRPr="00B037A6">
        <w:rPr>
          <w:rFonts w:ascii="Garamond" w:hAnsi="Garamond" w:cs="Arial"/>
          <w:sz w:val="20"/>
          <w:szCs w:val="20"/>
        </w:rPr>
        <w:t xml:space="preserve"> 202</w:t>
      </w:r>
      <w:r>
        <w:rPr>
          <w:rFonts w:ascii="Garamond" w:hAnsi="Garamond" w:cs="Arial"/>
          <w:sz w:val="20"/>
          <w:szCs w:val="20"/>
        </w:rPr>
        <w:t>3</w:t>
      </w:r>
    </w:p>
    <w:p w14:paraId="32DBEE2B" w14:textId="77777777" w:rsidR="00C7008E" w:rsidRPr="00DD5846" w:rsidRDefault="00C7008E" w:rsidP="009F7D17">
      <w:pPr>
        <w:pStyle w:val="Default"/>
        <w:spacing w:before="120"/>
        <w:rPr>
          <w:rFonts w:ascii="Garamond" w:hAnsi="Garamond" w:cs="Arial"/>
          <w:sz w:val="20"/>
          <w:szCs w:val="20"/>
        </w:rPr>
      </w:pPr>
    </w:p>
    <w:p w14:paraId="3A4CBE2A" w14:textId="53ED9351" w:rsidR="00611F2C" w:rsidRPr="00DD5846" w:rsidRDefault="00611F2C" w:rsidP="00EC489E">
      <w:pPr>
        <w:pStyle w:val="Default"/>
        <w:spacing w:before="120"/>
        <w:rPr>
          <w:rFonts w:ascii="Garamond" w:hAnsi="Garamond" w:cs="Arial"/>
          <w:sz w:val="20"/>
          <w:szCs w:val="20"/>
        </w:rPr>
      </w:pPr>
    </w:p>
    <w:p w14:paraId="2D28233B" w14:textId="5C396CA8" w:rsidR="00611F2C" w:rsidRPr="00DD5846" w:rsidRDefault="00611F2C" w:rsidP="00EC489E">
      <w:pPr>
        <w:pStyle w:val="Default"/>
        <w:spacing w:before="120"/>
        <w:rPr>
          <w:rFonts w:ascii="Garamond" w:hAnsi="Garamond" w:cs="Arial"/>
          <w:sz w:val="20"/>
          <w:szCs w:val="20"/>
        </w:rPr>
        <w:sectPr w:rsidR="00611F2C" w:rsidRPr="00DD5846" w:rsidSect="005F2157">
          <w:headerReference w:type="even" r:id="rId11"/>
          <w:headerReference w:type="default" r:id="rId12"/>
          <w:footerReference w:type="even" r:id="rId13"/>
          <w:footerReference w:type="default" r:id="rId14"/>
          <w:headerReference w:type="first" r:id="rId15"/>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de-DE"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B6029" w:rsidRDefault="003A65D2" w:rsidP="00254B93">
          <w:pPr>
            <w:pStyle w:val="Inhaltsverzeichnisberschrift"/>
            <w:spacing w:before="120" w:after="0" w:line="240" w:lineRule="auto"/>
            <w:rPr>
              <w:rFonts w:ascii="Arial" w:hAnsi="Arial" w:cs="Arial"/>
              <w:sz w:val="20"/>
              <w:szCs w:val="20"/>
            </w:rPr>
          </w:pPr>
          <w:r w:rsidRPr="00254B93">
            <w:rPr>
              <w:rFonts w:ascii="Arial" w:hAnsi="Arial" w:cs="Arial"/>
              <w:sz w:val="20"/>
              <w:szCs w:val="20"/>
              <w:lang w:val="de-DE"/>
            </w:rPr>
            <w:t>Inhalt</w:t>
          </w:r>
        </w:p>
        <w:p w14:paraId="1A15F1ED" w14:textId="3E15FC43" w:rsidR="0058638E" w:rsidRDefault="00326E88">
          <w:pPr>
            <w:pStyle w:val="Verzeichnis1"/>
            <w:rPr>
              <w:rFonts w:asciiTheme="minorHAnsi" w:eastAsiaTheme="minorEastAsia" w:hAnsiTheme="minorHAnsi" w:cstheme="minorBidi"/>
              <w:b w:val="0"/>
              <w:bCs w:val="0"/>
              <w:sz w:val="22"/>
              <w:szCs w:val="22"/>
              <w:lang w:eastAsia="de-CH"/>
            </w:rPr>
          </w:pPr>
          <w:r w:rsidRPr="00DF10D9">
            <w:fldChar w:fldCharType="begin"/>
          </w:r>
          <w:r w:rsidRPr="00DF10D9">
            <w:instrText xml:space="preserve"> TOC \o "2-2" \h \z \t "Überschrift 1;1;Überschrift 3;3;FINMA Gliederung Ebene 1;1;FINMA Gliederung Ebene 2;2;FINMA Gliederung Ebene 3;3" </w:instrText>
          </w:r>
          <w:r w:rsidRPr="00DF10D9">
            <w:fldChar w:fldCharType="separate"/>
          </w:r>
          <w:hyperlink w:anchor="_Toc147141433" w:history="1">
            <w:r w:rsidR="0058638E" w:rsidRPr="00845E0D">
              <w:rPr>
                <w:rStyle w:val="Hyperlink"/>
              </w:rPr>
              <w:t>1.</w:t>
            </w:r>
            <w:r w:rsidR="0058638E">
              <w:rPr>
                <w:rFonts w:asciiTheme="minorHAnsi" w:eastAsiaTheme="minorEastAsia" w:hAnsiTheme="minorHAnsi" w:cstheme="minorBidi"/>
                <w:b w:val="0"/>
                <w:bCs w:val="0"/>
                <w:sz w:val="22"/>
                <w:szCs w:val="22"/>
                <w:lang w:eastAsia="de-CH"/>
              </w:rPr>
              <w:tab/>
            </w:r>
            <w:r w:rsidR="0058638E" w:rsidRPr="00845E0D">
              <w:rPr>
                <w:rStyle w:val="Hyperlink"/>
              </w:rPr>
              <w:t>Rahmenbedingungen der Prüfung</w:t>
            </w:r>
            <w:r w:rsidR="0058638E">
              <w:rPr>
                <w:webHidden/>
              </w:rPr>
              <w:tab/>
            </w:r>
            <w:r w:rsidR="0058638E">
              <w:rPr>
                <w:webHidden/>
              </w:rPr>
              <w:fldChar w:fldCharType="begin"/>
            </w:r>
            <w:r w:rsidR="0058638E">
              <w:rPr>
                <w:webHidden/>
              </w:rPr>
              <w:instrText xml:space="preserve"> PAGEREF _Toc147141433 \h </w:instrText>
            </w:r>
            <w:r w:rsidR="0058638E">
              <w:rPr>
                <w:webHidden/>
              </w:rPr>
            </w:r>
            <w:r w:rsidR="0058638E">
              <w:rPr>
                <w:webHidden/>
              </w:rPr>
              <w:fldChar w:fldCharType="separate"/>
            </w:r>
            <w:r w:rsidR="0058638E">
              <w:rPr>
                <w:webHidden/>
              </w:rPr>
              <w:t>4</w:t>
            </w:r>
            <w:r w:rsidR="0058638E">
              <w:rPr>
                <w:webHidden/>
              </w:rPr>
              <w:fldChar w:fldCharType="end"/>
            </w:r>
          </w:hyperlink>
        </w:p>
        <w:p w14:paraId="56EEC060" w14:textId="3433CC28" w:rsidR="0058638E" w:rsidRDefault="002F41F3">
          <w:pPr>
            <w:pStyle w:val="Verzeichnis1"/>
            <w:rPr>
              <w:rFonts w:asciiTheme="minorHAnsi" w:eastAsiaTheme="minorEastAsia" w:hAnsiTheme="minorHAnsi" w:cstheme="minorBidi"/>
              <w:b w:val="0"/>
              <w:bCs w:val="0"/>
              <w:sz w:val="22"/>
              <w:szCs w:val="22"/>
              <w:lang w:eastAsia="de-CH"/>
            </w:rPr>
          </w:pPr>
          <w:hyperlink w:anchor="_Toc147141434" w:history="1">
            <w:r w:rsidR="0058638E" w:rsidRPr="00845E0D">
              <w:rPr>
                <w:rStyle w:val="Hyperlink"/>
              </w:rPr>
              <w:t>2.</w:t>
            </w:r>
            <w:r w:rsidR="0058638E">
              <w:rPr>
                <w:rFonts w:asciiTheme="minorHAnsi" w:eastAsiaTheme="minorEastAsia" w:hAnsiTheme="minorHAnsi" w:cstheme="minorBidi"/>
                <w:b w:val="0"/>
                <w:bCs w:val="0"/>
                <w:sz w:val="22"/>
                <w:szCs w:val="22"/>
                <w:lang w:eastAsia="de-CH"/>
              </w:rPr>
              <w:tab/>
            </w:r>
            <w:r w:rsidR="0058638E" w:rsidRPr="00845E0D">
              <w:rPr>
                <w:rStyle w:val="Hyperlink"/>
              </w:rPr>
              <w:t>Weitere Mandate des Wirtschaftsprüfers beim geprüften Unternehmen</w:t>
            </w:r>
            <w:r w:rsidR="0058638E">
              <w:rPr>
                <w:webHidden/>
              </w:rPr>
              <w:tab/>
            </w:r>
            <w:r w:rsidR="0058638E">
              <w:rPr>
                <w:webHidden/>
              </w:rPr>
              <w:fldChar w:fldCharType="begin"/>
            </w:r>
            <w:r w:rsidR="0058638E">
              <w:rPr>
                <w:webHidden/>
              </w:rPr>
              <w:instrText xml:space="preserve"> PAGEREF _Toc147141434 \h </w:instrText>
            </w:r>
            <w:r w:rsidR="0058638E">
              <w:rPr>
                <w:webHidden/>
              </w:rPr>
            </w:r>
            <w:r w:rsidR="0058638E">
              <w:rPr>
                <w:webHidden/>
              </w:rPr>
              <w:fldChar w:fldCharType="separate"/>
            </w:r>
            <w:r w:rsidR="0058638E">
              <w:rPr>
                <w:webHidden/>
              </w:rPr>
              <w:t>4</w:t>
            </w:r>
            <w:r w:rsidR="0058638E">
              <w:rPr>
                <w:webHidden/>
              </w:rPr>
              <w:fldChar w:fldCharType="end"/>
            </w:r>
          </w:hyperlink>
        </w:p>
        <w:p w14:paraId="20571452" w14:textId="17D94518" w:rsidR="0058638E" w:rsidRDefault="002F41F3">
          <w:pPr>
            <w:pStyle w:val="Verzeichnis1"/>
            <w:rPr>
              <w:rFonts w:asciiTheme="minorHAnsi" w:eastAsiaTheme="minorEastAsia" w:hAnsiTheme="minorHAnsi" w:cstheme="minorBidi"/>
              <w:b w:val="0"/>
              <w:bCs w:val="0"/>
              <w:sz w:val="22"/>
              <w:szCs w:val="22"/>
              <w:lang w:eastAsia="de-CH"/>
            </w:rPr>
          </w:pPr>
          <w:hyperlink w:anchor="_Toc147141435" w:history="1">
            <w:r w:rsidR="0058638E" w:rsidRPr="00845E0D">
              <w:rPr>
                <w:rStyle w:val="Hyperlink"/>
              </w:rPr>
              <w:t>3.</w:t>
            </w:r>
            <w:r w:rsidR="0058638E">
              <w:rPr>
                <w:rFonts w:asciiTheme="minorHAnsi" w:eastAsiaTheme="minorEastAsia" w:hAnsiTheme="minorHAnsi" w:cstheme="minorBidi"/>
                <w:b w:val="0"/>
                <w:bCs w:val="0"/>
                <w:sz w:val="22"/>
                <w:szCs w:val="22"/>
                <w:lang w:eastAsia="de-CH"/>
              </w:rPr>
              <w:tab/>
            </w:r>
            <w:r w:rsidR="0058638E" w:rsidRPr="00845E0D">
              <w:rPr>
                <w:rStyle w:val="Hyperlink"/>
              </w:rPr>
              <w:t>Zusammenfassung der Prüfresultate</w:t>
            </w:r>
            <w:r w:rsidR="0058638E">
              <w:rPr>
                <w:webHidden/>
              </w:rPr>
              <w:tab/>
            </w:r>
            <w:r w:rsidR="0058638E">
              <w:rPr>
                <w:webHidden/>
              </w:rPr>
              <w:fldChar w:fldCharType="begin"/>
            </w:r>
            <w:r w:rsidR="0058638E">
              <w:rPr>
                <w:webHidden/>
              </w:rPr>
              <w:instrText xml:space="preserve"> PAGEREF _Toc147141435 \h </w:instrText>
            </w:r>
            <w:r w:rsidR="0058638E">
              <w:rPr>
                <w:webHidden/>
              </w:rPr>
            </w:r>
            <w:r w:rsidR="0058638E">
              <w:rPr>
                <w:webHidden/>
              </w:rPr>
              <w:fldChar w:fldCharType="separate"/>
            </w:r>
            <w:r w:rsidR="0058638E">
              <w:rPr>
                <w:webHidden/>
              </w:rPr>
              <w:t>4</w:t>
            </w:r>
            <w:r w:rsidR="0058638E">
              <w:rPr>
                <w:webHidden/>
              </w:rPr>
              <w:fldChar w:fldCharType="end"/>
            </w:r>
          </w:hyperlink>
        </w:p>
        <w:p w14:paraId="47B3416A" w14:textId="19524B72" w:rsidR="0058638E" w:rsidRDefault="002F41F3">
          <w:pPr>
            <w:pStyle w:val="Verzeichnis2"/>
            <w:rPr>
              <w:rFonts w:asciiTheme="minorHAnsi" w:eastAsiaTheme="minorEastAsia" w:hAnsiTheme="minorHAnsi" w:cstheme="minorBidi"/>
              <w:noProof/>
              <w:sz w:val="22"/>
              <w:szCs w:val="22"/>
              <w:lang w:eastAsia="de-CH"/>
            </w:rPr>
          </w:pPr>
          <w:hyperlink w:anchor="_Toc147141436" w:history="1">
            <w:r w:rsidR="0058638E" w:rsidRPr="00845E0D">
              <w:rPr>
                <w:rStyle w:val="Hyperlink"/>
                <w:noProof/>
              </w:rPr>
              <w:t>3.1</w:t>
            </w:r>
            <w:r w:rsidR="0058638E">
              <w:rPr>
                <w:rFonts w:asciiTheme="minorHAnsi" w:eastAsiaTheme="minorEastAsia" w:hAnsiTheme="minorHAnsi" w:cstheme="minorBidi"/>
                <w:noProof/>
                <w:sz w:val="22"/>
                <w:szCs w:val="22"/>
                <w:lang w:eastAsia="de-CH"/>
              </w:rPr>
              <w:tab/>
            </w:r>
            <w:r w:rsidR="0058638E" w:rsidRPr="00845E0D">
              <w:rPr>
                <w:rStyle w:val="Hyperlink"/>
                <w:noProof/>
              </w:rPr>
              <w:t>Beanstandungen</w:t>
            </w:r>
            <w:r w:rsidR="0058638E">
              <w:rPr>
                <w:noProof/>
                <w:webHidden/>
              </w:rPr>
              <w:tab/>
            </w:r>
            <w:r w:rsidR="0058638E">
              <w:rPr>
                <w:noProof/>
                <w:webHidden/>
              </w:rPr>
              <w:fldChar w:fldCharType="begin"/>
            </w:r>
            <w:r w:rsidR="0058638E">
              <w:rPr>
                <w:noProof/>
                <w:webHidden/>
              </w:rPr>
              <w:instrText xml:space="preserve"> PAGEREF _Toc147141436 \h </w:instrText>
            </w:r>
            <w:r w:rsidR="0058638E">
              <w:rPr>
                <w:noProof/>
                <w:webHidden/>
              </w:rPr>
            </w:r>
            <w:r w:rsidR="0058638E">
              <w:rPr>
                <w:noProof/>
                <w:webHidden/>
              </w:rPr>
              <w:fldChar w:fldCharType="separate"/>
            </w:r>
            <w:r w:rsidR="0058638E">
              <w:rPr>
                <w:noProof/>
                <w:webHidden/>
              </w:rPr>
              <w:t>4</w:t>
            </w:r>
            <w:r w:rsidR="0058638E">
              <w:rPr>
                <w:noProof/>
                <w:webHidden/>
              </w:rPr>
              <w:fldChar w:fldCharType="end"/>
            </w:r>
          </w:hyperlink>
        </w:p>
        <w:p w14:paraId="42E15F1E" w14:textId="692B2ADA" w:rsidR="0058638E" w:rsidRDefault="002F41F3">
          <w:pPr>
            <w:pStyle w:val="Verzeichnis2"/>
            <w:rPr>
              <w:rFonts w:asciiTheme="minorHAnsi" w:eastAsiaTheme="minorEastAsia" w:hAnsiTheme="minorHAnsi" w:cstheme="minorBidi"/>
              <w:noProof/>
              <w:sz w:val="22"/>
              <w:szCs w:val="22"/>
              <w:lang w:eastAsia="de-CH"/>
            </w:rPr>
          </w:pPr>
          <w:hyperlink w:anchor="_Toc147141437" w:history="1">
            <w:r w:rsidR="0058638E" w:rsidRPr="00845E0D">
              <w:rPr>
                <w:rStyle w:val="Hyperlink"/>
                <w:noProof/>
              </w:rPr>
              <w:t>3.2</w:t>
            </w:r>
            <w:r w:rsidR="0058638E">
              <w:rPr>
                <w:rFonts w:asciiTheme="minorHAnsi" w:eastAsiaTheme="minorEastAsia" w:hAnsiTheme="minorHAnsi" w:cstheme="minorBidi"/>
                <w:noProof/>
                <w:sz w:val="22"/>
                <w:szCs w:val="22"/>
                <w:lang w:eastAsia="de-CH"/>
              </w:rPr>
              <w:tab/>
            </w:r>
            <w:r w:rsidR="0058638E" w:rsidRPr="00845E0D">
              <w:rPr>
                <w:rStyle w:val="Hyperlink"/>
                <w:noProof/>
              </w:rPr>
              <w:t>Empfehlungen</w:t>
            </w:r>
            <w:r w:rsidR="0058638E">
              <w:rPr>
                <w:noProof/>
                <w:webHidden/>
              </w:rPr>
              <w:tab/>
            </w:r>
            <w:r w:rsidR="0058638E">
              <w:rPr>
                <w:noProof/>
                <w:webHidden/>
              </w:rPr>
              <w:fldChar w:fldCharType="begin"/>
            </w:r>
            <w:r w:rsidR="0058638E">
              <w:rPr>
                <w:noProof/>
                <w:webHidden/>
              </w:rPr>
              <w:instrText xml:space="preserve"> PAGEREF _Toc147141437 \h </w:instrText>
            </w:r>
            <w:r w:rsidR="0058638E">
              <w:rPr>
                <w:noProof/>
                <w:webHidden/>
              </w:rPr>
            </w:r>
            <w:r w:rsidR="0058638E">
              <w:rPr>
                <w:noProof/>
                <w:webHidden/>
              </w:rPr>
              <w:fldChar w:fldCharType="separate"/>
            </w:r>
            <w:r w:rsidR="0058638E">
              <w:rPr>
                <w:noProof/>
                <w:webHidden/>
              </w:rPr>
              <w:t>4</w:t>
            </w:r>
            <w:r w:rsidR="0058638E">
              <w:rPr>
                <w:noProof/>
                <w:webHidden/>
              </w:rPr>
              <w:fldChar w:fldCharType="end"/>
            </w:r>
          </w:hyperlink>
        </w:p>
        <w:p w14:paraId="5B0AD30B" w14:textId="522823BF" w:rsidR="0058638E" w:rsidRDefault="002F41F3">
          <w:pPr>
            <w:pStyle w:val="Verzeichnis2"/>
            <w:rPr>
              <w:rFonts w:asciiTheme="minorHAnsi" w:eastAsiaTheme="minorEastAsia" w:hAnsiTheme="minorHAnsi" w:cstheme="minorBidi"/>
              <w:noProof/>
              <w:sz w:val="22"/>
              <w:szCs w:val="22"/>
              <w:lang w:eastAsia="de-CH"/>
            </w:rPr>
          </w:pPr>
          <w:hyperlink w:anchor="_Toc147141438" w:history="1">
            <w:r w:rsidR="0058638E" w:rsidRPr="00845E0D">
              <w:rPr>
                <w:rStyle w:val="Hyperlink"/>
                <w:noProof/>
              </w:rPr>
              <w:t>3.3</w:t>
            </w:r>
            <w:r w:rsidR="0058638E">
              <w:rPr>
                <w:rFonts w:asciiTheme="minorHAnsi" w:eastAsiaTheme="minorEastAsia" w:hAnsiTheme="minorHAnsi" w:cstheme="minorBidi"/>
                <w:noProof/>
                <w:sz w:val="22"/>
                <w:szCs w:val="22"/>
                <w:lang w:eastAsia="de-CH"/>
              </w:rPr>
              <w:tab/>
            </w:r>
            <w:r w:rsidR="0058638E" w:rsidRPr="00845E0D">
              <w:rPr>
                <w:rStyle w:val="Hyperlink"/>
                <w:noProof/>
              </w:rPr>
              <w:t>Beanstandungen des Vorjahres</w:t>
            </w:r>
            <w:r w:rsidR="0058638E">
              <w:rPr>
                <w:noProof/>
                <w:webHidden/>
              </w:rPr>
              <w:tab/>
            </w:r>
            <w:r w:rsidR="0058638E">
              <w:rPr>
                <w:noProof/>
                <w:webHidden/>
              </w:rPr>
              <w:fldChar w:fldCharType="begin"/>
            </w:r>
            <w:r w:rsidR="0058638E">
              <w:rPr>
                <w:noProof/>
                <w:webHidden/>
              </w:rPr>
              <w:instrText xml:space="preserve"> PAGEREF _Toc147141438 \h </w:instrText>
            </w:r>
            <w:r w:rsidR="0058638E">
              <w:rPr>
                <w:noProof/>
                <w:webHidden/>
              </w:rPr>
            </w:r>
            <w:r w:rsidR="0058638E">
              <w:rPr>
                <w:noProof/>
                <w:webHidden/>
              </w:rPr>
              <w:fldChar w:fldCharType="separate"/>
            </w:r>
            <w:r w:rsidR="0058638E">
              <w:rPr>
                <w:noProof/>
                <w:webHidden/>
              </w:rPr>
              <w:t>5</w:t>
            </w:r>
            <w:r w:rsidR="0058638E">
              <w:rPr>
                <w:noProof/>
                <w:webHidden/>
              </w:rPr>
              <w:fldChar w:fldCharType="end"/>
            </w:r>
          </w:hyperlink>
        </w:p>
        <w:p w14:paraId="494F4255" w14:textId="467F62C2" w:rsidR="0058638E" w:rsidRDefault="002F41F3">
          <w:pPr>
            <w:pStyle w:val="Verzeichnis2"/>
            <w:rPr>
              <w:rFonts w:asciiTheme="minorHAnsi" w:eastAsiaTheme="minorEastAsia" w:hAnsiTheme="minorHAnsi" w:cstheme="minorBidi"/>
              <w:noProof/>
              <w:sz w:val="22"/>
              <w:szCs w:val="22"/>
              <w:lang w:eastAsia="de-CH"/>
            </w:rPr>
          </w:pPr>
          <w:hyperlink w:anchor="_Toc147141439" w:history="1">
            <w:r w:rsidR="0058638E" w:rsidRPr="00845E0D">
              <w:rPr>
                <w:rStyle w:val="Hyperlink"/>
                <w:noProof/>
              </w:rPr>
              <w:t>3.4</w:t>
            </w:r>
            <w:r w:rsidR="0058638E">
              <w:rPr>
                <w:rFonts w:asciiTheme="minorHAnsi" w:eastAsiaTheme="minorEastAsia" w:hAnsiTheme="minorHAnsi" w:cstheme="minorBidi"/>
                <w:noProof/>
                <w:sz w:val="22"/>
                <w:szCs w:val="22"/>
                <w:lang w:eastAsia="de-CH"/>
              </w:rPr>
              <w:tab/>
            </w:r>
            <w:r w:rsidR="0058638E" w:rsidRPr="00845E0D">
              <w:rPr>
                <w:rStyle w:val="Hyperlink"/>
                <w:noProof/>
              </w:rPr>
              <w:t>Empfehlungen des Vorjahres</w:t>
            </w:r>
            <w:r w:rsidR="0058638E">
              <w:rPr>
                <w:noProof/>
                <w:webHidden/>
              </w:rPr>
              <w:tab/>
            </w:r>
            <w:r w:rsidR="0058638E">
              <w:rPr>
                <w:noProof/>
                <w:webHidden/>
              </w:rPr>
              <w:fldChar w:fldCharType="begin"/>
            </w:r>
            <w:r w:rsidR="0058638E">
              <w:rPr>
                <w:noProof/>
                <w:webHidden/>
              </w:rPr>
              <w:instrText xml:space="preserve"> PAGEREF _Toc147141439 \h </w:instrText>
            </w:r>
            <w:r w:rsidR="0058638E">
              <w:rPr>
                <w:noProof/>
                <w:webHidden/>
              </w:rPr>
            </w:r>
            <w:r w:rsidR="0058638E">
              <w:rPr>
                <w:noProof/>
                <w:webHidden/>
              </w:rPr>
              <w:fldChar w:fldCharType="separate"/>
            </w:r>
            <w:r w:rsidR="0058638E">
              <w:rPr>
                <w:noProof/>
                <w:webHidden/>
              </w:rPr>
              <w:t>5</w:t>
            </w:r>
            <w:r w:rsidR="0058638E">
              <w:rPr>
                <w:noProof/>
                <w:webHidden/>
              </w:rPr>
              <w:fldChar w:fldCharType="end"/>
            </w:r>
          </w:hyperlink>
        </w:p>
        <w:p w14:paraId="00B0A1F5" w14:textId="5EEA1CA7" w:rsidR="0058638E" w:rsidRDefault="002F41F3">
          <w:pPr>
            <w:pStyle w:val="Verzeichnis2"/>
            <w:rPr>
              <w:rFonts w:asciiTheme="minorHAnsi" w:eastAsiaTheme="minorEastAsia" w:hAnsiTheme="minorHAnsi" w:cstheme="minorBidi"/>
              <w:noProof/>
              <w:sz w:val="22"/>
              <w:szCs w:val="22"/>
              <w:lang w:eastAsia="de-CH"/>
            </w:rPr>
          </w:pPr>
          <w:hyperlink w:anchor="_Toc147141440" w:history="1">
            <w:r w:rsidR="0058638E" w:rsidRPr="00845E0D">
              <w:rPr>
                <w:rStyle w:val="Hyperlink"/>
                <w:noProof/>
              </w:rPr>
              <w:t>3.5</w:t>
            </w:r>
            <w:r w:rsidR="0058638E">
              <w:rPr>
                <w:rFonts w:asciiTheme="minorHAnsi" w:eastAsiaTheme="minorEastAsia" w:hAnsiTheme="minorHAnsi" w:cstheme="minorBidi"/>
                <w:noProof/>
                <w:sz w:val="22"/>
                <w:szCs w:val="22"/>
                <w:lang w:eastAsia="de-CH"/>
              </w:rPr>
              <w:tab/>
            </w:r>
            <w:r w:rsidR="0058638E" w:rsidRPr="00845E0D">
              <w:rPr>
                <w:rStyle w:val="Hyperlink"/>
                <w:noProof/>
              </w:rPr>
              <w:t>Bestätigung zu Vorgaben der FMA (Abwicklungsfähigkeit)</w:t>
            </w:r>
            <w:r w:rsidR="0058638E">
              <w:rPr>
                <w:noProof/>
                <w:webHidden/>
              </w:rPr>
              <w:tab/>
            </w:r>
            <w:r w:rsidR="0058638E">
              <w:rPr>
                <w:noProof/>
                <w:webHidden/>
              </w:rPr>
              <w:fldChar w:fldCharType="begin"/>
            </w:r>
            <w:r w:rsidR="0058638E">
              <w:rPr>
                <w:noProof/>
                <w:webHidden/>
              </w:rPr>
              <w:instrText xml:space="preserve"> PAGEREF _Toc147141440 \h </w:instrText>
            </w:r>
            <w:r w:rsidR="0058638E">
              <w:rPr>
                <w:noProof/>
                <w:webHidden/>
              </w:rPr>
            </w:r>
            <w:r w:rsidR="0058638E">
              <w:rPr>
                <w:noProof/>
                <w:webHidden/>
              </w:rPr>
              <w:fldChar w:fldCharType="separate"/>
            </w:r>
            <w:r w:rsidR="0058638E">
              <w:rPr>
                <w:noProof/>
                <w:webHidden/>
              </w:rPr>
              <w:t>5</w:t>
            </w:r>
            <w:r w:rsidR="0058638E">
              <w:rPr>
                <w:noProof/>
                <w:webHidden/>
              </w:rPr>
              <w:fldChar w:fldCharType="end"/>
            </w:r>
          </w:hyperlink>
        </w:p>
        <w:p w14:paraId="1341D6C6" w14:textId="59A00370" w:rsidR="0058638E" w:rsidRDefault="002F41F3">
          <w:pPr>
            <w:pStyle w:val="Verzeichnis2"/>
            <w:rPr>
              <w:rFonts w:asciiTheme="minorHAnsi" w:eastAsiaTheme="minorEastAsia" w:hAnsiTheme="minorHAnsi" w:cstheme="minorBidi"/>
              <w:noProof/>
              <w:sz w:val="22"/>
              <w:szCs w:val="22"/>
              <w:lang w:eastAsia="de-CH"/>
            </w:rPr>
          </w:pPr>
          <w:hyperlink w:anchor="_Toc147141441" w:history="1">
            <w:r w:rsidR="0058638E" w:rsidRPr="00845E0D">
              <w:rPr>
                <w:rStyle w:val="Hyperlink"/>
                <w:noProof/>
              </w:rPr>
              <w:t>3.6</w:t>
            </w:r>
            <w:r w:rsidR="0058638E">
              <w:rPr>
                <w:rFonts w:asciiTheme="minorHAnsi" w:eastAsiaTheme="minorEastAsia" w:hAnsiTheme="minorHAnsi" w:cstheme="minorBidi"/>
                <w:noProof/>
                <w:sz w:val="22"/>
                <w:szCs w:val="22"/>
                <w:lang w:eastAsia="de-CH"/>
              </w:rPr>
              <w:tab/>
            </w:r>
            <w:r w:rsidR="0058638E" w:rsidRPr="00845E0D">
              <w:rPr>
                <w:rStyle w:val="Hyperlink"/>
                <w:noProof/>
              </w:rPr>
              <w:t>Wesentliche Feststellungen der Internen Revision (Abwicklungsfähigkeit)</w:t>
            </w:r>
            <w:r w:rsidR="0058638E">
              <w:rPr>
                <w:noProof/>
                <w:webHidden/>
              </w:rPr>
              <w:tab/>
            </w:r>
            <w:r w:rsidR="0058638E">
              <w:rPr>
                <w:noProof/>
                <w:webHidden/>
              </w:rPr>
              <w:fldChar w:fldCharType="begin"/>
            </w:r>
            <w:r w:rsidR="0058638E">
              <w:rPr>
                <w:noProof/>
                <w:webHidden/>
              </w:rPr>
              <w:instrText xml:space="preserve"> PAGEREF _Toc147141441 \h </w:instrText>
            </w:r>
            <w:r w:rsidR="0058638E">
              <w:rPr>
                <w:noProof/>
                <w:webHidden/>
              </w:rPr>
            </w:r>
            <w:r w:rsidR="0058638E">
              <w:rPr>
                <w:noProof/>
                <w:webHidden/>
              </w:rPr>
              <w:fldChar w:fldCharType="separate"/>
            </w:r>
            <w:r w:rsidR="0058638E">
              <w:rPr>
                <w:noProof/>
                <w:webHidden/>
              </w:rPr>
              <w:t>5</w:t>
            </w:r>
            <w:r w:rsidR="0058638E">
              <w:rPr>
                <w:noProof/>
                <w:webHidden/>
              </w:rPr>
              <w:fldChar w:fldCharType="end"/>
            </w:r>
          </w:hyperlink>
        </w:p>
        <w:p w14:paraId="5FD92832" w14:textId="361D799D" w:rsidR="0058638E" w:rsidRDefault="002F41F3">
          <w:pPr>
            <w:pStyle w:val="Verzeichnis2"/>
            <w:rPr>
              <w:rFonts w:asciiTheme="minorHAnsi" w:eastAsiaTheme="minorEastAsia" w:hAnsiTheme="minorHAnsi" w:cstheme="minorBidi"/>
              <w:noProof/>
              <w:sz w:val="22"/>
              <w:szCs w:val="22"/>
              <w:lang w:eastAsia="de-CH"/>
            </w:rPr>
          </w:pPr>
          <w:hyperlink w:anchor="_Toc147141442" w:history="1">
            <w:r w:rsidR="0058638E" w:rsidRPr="00845E0D">
              <w:rPr>
                <w:rStyle w:val="Hyperlink"/>
                <w:noProof/>
              </w:rPr>
              <w:t>3.7</w:t>
            </w:r>
            <w:r w:rsidR="0058638E">
              <w:rPr>
                <w:rFonts w:asciiTheme="minorHAnsi" w:eastAsiaTheme="minorEastAsia" w:hAnsiTheme="minorHAnsi" w:cstheme="minorBidi"/>
                <w:noProof/>
                <w:sz w:val="22"/>
                <w:szCs w:val="22"/>
                <w:lang w:eastAsia="de-CH"/>
              </w:rPr>
              <w:tab/>
            </w:r>
            <w:r w:rsidR="0058638E" w:rsidRPr="00845E0D">
              <w:rPr>
                <w:rStyle w:val="Hyperlink"/>
                <w:noProof/>
              </w:rPr>
              <w:t>Wesentliche Feststellungen durch Dritte (Abwicklungsfähigkeit)</w:t>
            </w:r>
            <w:r w:rsidR="0058638E">
              <w:rPr>
                <w:noProof/>
                <w:webHidden/>
              </w:rPr>
              <w:tab/>
            </w:r>
            <w:r w:rsidR="0058638E">
              <w:rPr>
                <w:noProof/>
                <w:webHidden/>
              </w:rPr>
              <w:fldChar w:fldCharType="begin"/>
            </w:r>
            <w:r w:rsidR="0058638E">
              <w:rPr>
                <w:noProof/>
                <w:webHidden/>
              </w:rPr>
              <w:instrText xml:space="preserve"> PAGEREF _Toc147141442 \h </w:instrText>
            </w:r>
            <w:r w:rsidR="0058638E">
              <w:rPr>
                <w:noProof/>
                <w:webHidden/>
              </w:rPr>
            </w:r>
            <w:r w:rsidR="0058638E">
              <w:rPr>
                <w:noProof/>
                <w:webHidden/>
              </w:rPr>
              <w:fldChar w:fldCharType="separate"/>
            </w:r>
            <w:r w:rsidR="0058638E">
              <w:rPr>
                <w:noProof/>
                <w:webHidden/>
              </w:rPr>
              <w:t>5</w:t>
            </w:r>
            <w:r w:rsidR="0058638E">
              <w:rPr>
                <w:noProof/>
                <w:webHidden/>
              </w:rPr>
              <w:fldChar w:fldCharType="end"/>
            </w:r>
          </w:hyperlink>
        </w:p>
        <w:p w14:paraId="28E7E955" w14:textId="6731B24A" w:rsidR="0058638E" w:rsidRDefault="002F41F3">
          <w:pPr>
            <w:pStyle w:val="Verzeichnis2"/>
            <w:rPr>
              <w:rFonts w:asciiTheme="minorHAnsi" w:eastAsiaTheme="minorEastAsia" w:hAnsiTheme="minorHAnsi" w:cstheme="minorBidi"/>
              <w:noProof/>
              <w:sz w:val="22"/>
              <w:szCs w:val="22"/>
              <w:lang w:eastAsia="de-CH"/>
            </w:rPr>
          </w:pPr>
          <w:hyperlink w:anchor="_Toc147141443" w:history="1">
            <w:r w:rsidR="0058638E" w:rsidRPr="00845E0D">
              <w:rPr>
                <w:rStyle w:val="Hyperlink"/>
                <w:noProof/>
              </w:rPr>
              <w:t>3.8</w:t>
            </w:r>
            <w:r w:rsidR="0058638E">
              <w:rPr>
                <w:rFonts w:asciiTheme="minorHAnsi" w:eastAsiaTheme="minorEastAsia" w:hAnsiTheme="minorHAnsi" w:cstheme="minorBidi"/>
                <w:noProof/>
                <w:sz w:val="22"/>
                <w:szCs w:val="22"/>
                <w:lang w:eastAsia="de-CH"/>
              </w:rPr>
              <w:tab/>
            </w:r>
            <w:r w:rsidR="0058638E" w:rsidRPr="00845E0D">
              <w:rPr>
                <w:rStyle w:val="Hyperlink"/>
                <w:noProof/>
              </w:rPr>
              <w:t>Zusammenfassung zu Prüferkenntnissen sowie Gesamteinschätzung</w:t>
            </w:r>
            <w:r w:rsidR="0058638E">
              <w:rPr>
                <w:noProof/>
                <w:webHidden/>
              </w:rPr>
              <w:tab/>
            </w:r>
            <w:r w:rsidR="0058638E">
              <w:rPr>
                <w:noProof/>
                <w:webHidden/>
              </w:rPr>
              <w:fldChar w:fldCharType="begin"/>
            </w:r>
            <w:r w:rsidR="0058638E">
              <w:rPr>
                <w:noProof/>
                <w:webHidden/>
              </w:rPr>
              <w:instrText xml:space="preserve"> PAGEREF _Toc147141443 \h </w:instrText>
            </w:r>
            <w:r w:rsidR="0058638E">
              <w:rPr>
                <w:noProof/>
                <w:webHidden/>
              </w:rPr>
            </w:r>
            <w:r w:rsidR="0058638E">
              <w:rPr>
                <w:noProof/>
                <w:webHidden/>
              </w:rPr>
              <w:fldChar w:fldCharType="separate"/>
            </w:r>
            <w:r w:rsidR="0058638E">
              <w:rPr>
                <w:noProof/>
                <w:webHidden/>
              </w:rPr>
              <w:t>5</w:t>
            </w:r>
            <w:r w:rsidR="0058638E">
              <w:rPr>
                <w:noProof/>
                <w:webHidden/>
              </w:rPr>
              <w:fldChar w:fldCharType="end"/>
            </w:r>
          </w:hyperlink>
        </w:p>
        <w:p w14:paraId="63EF37E5" w14:textId="046BDB93" w:rsidR="0058638E" w:rsidRDefault="002F41F3">
          <w:pPr>
            <w:pStyle w:val="Verzeichnis1"/>
            <w:rPr>
              <w:rFonts w:asciiTheme="minorHAnsi" w:eastAsiaTheme="minorEastAsia" w:hAnsiTheme="minorHAnsi" w:cstheme="minorBidi"/>
              <w:b w:val="0"/>
              <w:bCs w:val="0"/>
              <w:sz w:val="22"/>
              <w:szCs w:val="22"/>
              <w:lang w:eastAsia="de-CH"/>
            </w:rPr>
          </w:pPr>
          <w:hyperlink w:anchor="_Toc147141444" w:history="1">
            <w:r w:rsidR="0058638E" w:rsidRPr="00845E0D">
              <w:rPr>
                <w:rStyle w:val="Hyperlink"/>
              </w:rPr>
              <w:t>4.</w:t>
            </w:r>
            <w:r w:rsidR="0058638E">
              <w:rPr>
                <w:rFonts w:asciiTheme="minorHAnsi" w:eastAsiaTheme="minorEastAsia" w:hAnsiTheme="minorHAnsi" w:cstheme="minorBidi"/>
                <w:b w:val="0"/>
                <w:bCs w:val="0"/>
                <w:sz w:val="22"/>
                <w:szCs w:val="22"/>
                <w:lang w:eastAsia="de-CH"/>
              </w:rPr>
              <w:tab/>
            </w:r>
            <w:r w:rsidR="0058638E" w:rsidRPr="00845E0D">
              <w:rPr>
                <w:rStyle w:val="Hyperlink"/>
              </w:rPr>
              <w:t>Prüfresultate</w:t>
            </w:r>
            <w:r w:rsidR="0058638E">
              <w:rPr>
                <w:webHidden/>
              </w:rPr>
              <w:tab/>
            </w:r>
            <w:r w:rsidR="0058638E">
              <w:rPr>
                <w:webHidden/>
              </w:rPr>
              <w:fldChar w:fldCharType="begin"/>
            </w:r>
            <w:r w:rsidR="0058638E">
              <w:rPr>
                <w:webHidden/>
              </w:rPr>
              <w:instrText xml:space="preserve"> PAGEREF _Toc147141444 \h </w:instrText>
            </w:r>
            <w:r w:rsidR="0058638E">
              <w:rPr>
                <w:webHidden/>
              </w:rPr>
            </w:r>
            <w:r w:rsidR="0058638E">
              <w:rPr>
                <w:webHidden/>
              </w:rPr>
              <w:fldChar w:fldCharType="separate"/>
            </w:r>
            <w:r w:rsidR="0058638E">
              <w:rPr>
                <w:webHidden/>
              </w:rPr>
              <w:t>6</w:t>
            </w:r>
            <w:r w:rsidR="0058638E">
              <w:rPr>
                <w:webHidden/>
              </w:rPr>
              <w:fldChar w:fldCharType="end"/>
            </w:r>
          </w:hyperlink>
        </w:p>
        <w:p w14:paraId="6B403A1C" w14:textId="06825682" w:rsidR="0058638E" w:rsidRDefault="002F41F3">
          <w:pPr>
            <w:pStyle w:val="Verzeichnis1"/>
            <w:rPr>
              <w:rFonts w:asciiTheme="minorHAnsi" w:eastAsiaTheme="minorEastAsia" w:hAnsiTheme="minorHAnsi" w:cstheme="minorBidi"/>
              <w:b w:val="0"/>
              <w:bCs w:val="0"/>
              <w:sz w:val="22"/>
              <w:szCs w:val="22"/>
              <w:lang w:eastAsia="de-CH"/>
            </w:rPr>
          </w:pPr>
          <w:hyperlink w:anchor="_Toc147141445" w:history="1">
            <w:r w:rsidR="0058638E" w:rsidRPr="00845E0D">
              <w:rPr>
                <w:rStyle w:val="Hyperlink"/>
              </w:rPr>
              <w:t>5.</w:t>
            </w:r>
            <w:r w:rsidR="0058638E">
              <w:rPr>
                <w:rFonts w:asciiTheme="minorHAnsi" w:eastAsiaTheme="minorEastAsia" w:hAnsiTheme="minorHAnsi" w:cstheme="minorBidi"/>
                <w:b w:val="0"/>
                <w:bCs w:val="0"/>
                <w:sz w:val="22"/>
                <w:szCs w:val="22"/>
                <w:lang w:eastAsia="de-CH"/>
              </w:rPr>
              <w:tab/>
            </w:r>
            <w:r w:rsidR="0058638E" w:rsidRPr="00845E0D">
              <w:rPr>
                <w:rStyle w:val="Hyperlink"/>
              </w:rPr>
              <w:t>Allgemeiner Teil</w:t>
            </w:r>
            <w:r w:rsidR="0058638E">
              <w:rPr>
                <w:webHidden/>
              </w:rPr>
              <w:tab/>
            </w:r>
            <w:r w:rsidR="0058638E">
              <w:rPr>
                <w:webHidden/>
              </w:rPr>
              <w:fldChar w:fldCharType="begin"/>
            </w:r>
            <w:r w:rsidR="0058638E">
              <w:rPr>
                <w:webHidden/>
              </w:rPr>
              <w:instrText xml:space="preserve"> PAGEREF _Toc147141445 \h </w:instrText>
            </w:r>
            <w:r w:rsidR="0058638E">
              <w:rPr>
                <w:webHidden/>
              </w:rPr>
            </w:r>
            <w:r w:rsidR="0058638E">
              <w:rPr>
                <w:webHidden/>
              </w:rPr>
              <w:fldChar w:fldCharType="separate"/>
            </w:r>
            <w:r w:rsidR="0058638E">
              <w:rPr>
                <w:webHidden/>
              </w:rPr>
              <w:t>8</w:t>
            </w:r>
            <w:r w:rsidR="0058638E">
              <w:rPr>
                <w:webHidden/>
              </w:rPr>
              <w:fldChar w:fldCharType="end"/>
            </w:r>
          </w:hyperlink>
        </w:p>
        <w:p w14:paraId="1A022FEC" w14:textId="72E73518" w:rsidR="0058638E" w:rsidRDefault="002F41F3">
          <w:pPr>
            <w:pStyle w:val="Verzeichnis2"/>
            <w:rPr>
              <w:rFonts w:asciiTheme="minorHAnsi" w:eastAsiaTheme="minorEastAsia" w:hAnsiTheme="minorHAnsi" w:cstheme="minorBidi"/>
              <w:noProof/>
              <w:sz w:val="22"/>
              <w:szCs w:val="22"/>
              <w:lang w:eastAsia="de-CH"/>
            </w:rPr>
          </w:pPr>
          <w:hyperlink w:anchor="_Toc147141446" w:history="1">
            <w:r w:rsidR="0058638E" w:rsidRPr="00845E0D">
              <w:rPr>
                <w:rStyle w:val="Hyperlink"/>
                <w:noProof/>
              </w:rPr>
              <w:t>5.1</w:t>
            </w:r>
            <w:r w:rsidR="0058638E">
              <w:rPr>
                <w:rFonts w:asciiTheme="minorHAnsi" w:eastAsiaTheme="minorEastAsia" w:hAnsiTheme="minorHAnsi" w:cstheme="minorBidi"/>
                <w:noProof/>
                <w:sz w:val="22"/>
                <w:szCs w:val="22"/>
                <w:lang w:eastAsia="de-CH"/>
              </w:rPr>
              <w:tab/>
            </w:r>
            <w:r w:rsidR="0058638E" w:rsidRPr="00845E0D">
              <w:rPr>
                <w:rStyle w:val="Hyperlink"/>
                <w:noProof/>
              </w:rPr>
              <w:t>Ausfall- und Liquidationsperspektive</w:t>
            </w:r>
            <w:r w:rsidR="0058638E">
              <w:rPr>
                <w:noProof/>
                <w:webHidden/>
              </w:rPr>
              <w:tab/>
            </w:r>
            <w:r w:rsidR="0058638E">
              <w:rPr>
                <w:noProof/>
                <w:webHidden/>
              </w:rPr>
              <w:fldChar w:fldCharType="begin"/>
            </w:r>
            <w:r w:rsidR="0058638E">
              <w:rPr>
                <w:noProof/>
                <w:webHidden/>
              </w:rPr>
              <w:instrText xml:space="preserve"> PAGEREF _Toc147141446 \h </w:instrText>
            </w:r>
            <w:r w:rsidR="0058638E">
              <w:rPr>
                <w:noProof/>
                <w:webHidden/>
              </w:rPr>
            </w:r>
            <w:r w:rsidR="0058638E">
              <w:rPr>
                <w:noProof/>
                <w:webHidden/>
              </w:rPr>
              <w:fldChar w:fldCharType="separate"/>
            </w:r>
            <w:r w:rsidR="0058638E">
              <w:rPr>
                <w:noProof/>
                <w:webHidden/>
              </w:rPr>
              <w:t>8</w:t>
            </w:r>
            <w:r w:rsidR="0058638E">
              <w:rPr>
                <w:noProof/>
                <w:webHidden/>
              </w:rPr>
              <w:fldChar w:fldCharType="end"/>
            </w:r>
          </w:hyperlink>
        </w:p>
        <w:p w14:paraId="60F52C00" w14:textId="5D705058" w:rsidR="0058638E" w:rsidRDefault="002F41F3">
          <w:pPr>
            <w:pStyle w:val="Verzeichnis2"/>
            <w:rPr>
              <w:rFonts w:asciiTheme="minorHAnsi" w:eastAsiaTheme="minorEastAsia" w:hAnsiTheme="minorHAnsi" w:cstheme="minorBidi"/>
              <w:noProof/>
              <w:sz w:val="22"/>
              <w:szCs w:val="22"/>
              <w:lang w:eastAsia="de-CH"/>
            </w:rPr>
          </w:pPr>
          <w:hyperlink w:anchor="_Toc147141447" w:history="1">
            <w:r w:rsidR="0058638E" w:rsidRPr="00845E0D">
              <w:rPr>
                <w:rStyle w:val="Hyperlink"/>
                <w:noProof/>
              </w:rPr>
              <w:t>5.2</w:t>
            </w:r>
            <w:r w:rsidR="0058638E">
              <w:rPr>
                <w:rFonts w:asciiTheme="minorHAnsi" w:eastAsiaTheme="minorEastAsia" w:hAnsiTheme="minorHAnsi" w:cstheme="minorBidi"/>
                <w:noProof/>
                <w:sz w:val="22"/>
                <w:szCs w:val="22"/>
                <w:lang w:eastAsia="de-CH"/>
              </w:rPr>
              <w:tab/>
            </w:r>
            <w:r w:rsidR="0058638E" w:rsidRPr="00845E0D">
              <w:rPr>
                <w:rStyle w:val="Hyperlink"/>
                <w:noProof/>
              </w:rPr>
              <w:t>Zahlungsmoratorium</w:t>
            </w:r>
            <w:r w:rsidR="0058638E">
              <w:rPr>
                <w:noProof/>
                <w:webHidden/>
              </w:rPr>
              <w:tab/>
            </w:r>
            <w:r w:rsidR="0058638E">
              <w:rPr>
                <w:noProof/>
                <w:webHidden/>
              </w:rPr>
              <w:fldChar w:fldCharType="begin"/>
            </w:r>
            <w:r w:rsidR="0058638E">
              <w:rPr>
                <w:noProof/>
                <w:webHidden/>
              </w:rPr>
              <w:instrText xml:space="preserve"> PAGEREF _Toc147141447 \h </w:instrText>
            </w:r>
            <w:r w:rsidR="0058638E">
              <w:rPr>
                <w:noProof/>
                <w:webHidden/>
              </w:rPr>
            </w:r>
            <w:r w:rsidR="0058638E">
              <w:rPr>
                <w:noProof/>
                <w:webHidden/>
              </w:rPr>
              <w:fldChar w:fldCharType="separate"/>
            </w:r>
            <w:r w:rsidR="0058638E">
              <w:rPr>
                <w:noProof/>
                <w:webHidden/>
              </w:rPr>
              <w:t>8</w:t>
            </w:r>
            <w:r w:rsidR="0058638E">
              <w:rPr>
                <w:noProof/>
                <w:webHidden/>
              </w:rPr>
              <w:fldChar w:fldCharType="end"/>
            </w:r>
          </w:hyperlink>
        </w:p>
        <w:p w14:paraId="38A5EFD7" w14:textId="73E18A85" w:rsidR="0058638E" w:rsidRDefault="002F41F3">
          <w:pPr>
            <w:pStyle w:val="Verzeichnis2"/>
            <w:rPr>
              <w:rFonts w:asciiTheme="minorHAnsi" w:eastAsiaTheme="minorEastAsia" w:hAnsiTheme="minorHAnsi" w:cstheme="minorBidi"/>
              <w:noProof/>
              <w:sz w:val="22"/>
              <w:szCs w:val="22"/>
              <w:lang w:eastAsia="de-CH"/>
            </w:rPr>
          </w:pPr>
          <w:hyperlink w:anchor="_Toc147141448" w:history="1">
            <w:r w:rsidR="0058638E" w:rsidRPr="00845E0D">
              <w:rPr>
                <w:rStyle w:val="Hyperlink"/>
                <w:noProof/>
              </w:rPr>
              <w:t>5.3</w:t>
            </w:r>
            <w:r w:rsidR="0058638E">
              <w:rPr>
                <w:rFonts w:asciiTheme="minorHAnsi" w:eastAsiaTheme="minorEastAsia" w:hAnsiTheme="minorHAnsi" w:cstheme="minorBidi"/>
                <w:noProof/>
                <w:sz w:val="22"/>
                <w:szCs w:val="22"/>
                <w:lang w:eastAsia="de-CH"/>
              </w:rPr>
              <w:tab/>
            </w:r>
            <w:r w:rsidR="0058638E" w:rsidRPr="00845E0D">
              <w:rPr>
                <w:rStyle w:val="Hyperlink"/>
                <w:noProof/>
              </w:rPr>
              <w:t>Vertrieb von nachrangigen berücksichtigungsfähigen Verbindlichkeiten</w:t>
            </w:r>
            <w:r w:rsidR="0058638E">
              <w:rPr>
                <w:noProof/>
                <w:webHidden/>
              </w:rPr>
              <w:tab/>
            </w:r>
            <w:r w:rsidR="0058638E">
              <w:rPr>
                <w:noProof/>
                <w:webHidden/>
              </w:rPr>
              <w:fldChar w:fldCharType="begin"/>
            </w:r>
            <w:r w:rsidR="0058638E">
              <w:rPr>
                <w:noProof/>
                <w:webHidden/>
              </w:rPr>
              <w:instrText xml:space="preserve"> PAGEREF _Toc147141448 \h </w:instrText>
            </w:r>
            <w:r w:rsidR="0058638E">
              <w:rPr>
                <w:noProof/>
                <w:webHidden/>
              </w:rPr>
            </w:r>
            <w:r w:rsidR="0058638E">
              <w:rPr>
                <w:noProof/>
                <w:webHidden/>
              </w:rPr>
              <w:fldChar w:fldCharType="separate"/>
            </w:r>
            <w:r w:rsidR="0058638E">
              <w:rPr>
                <w:noProof/>
                <w:webHidden/>
              </w:rPr>
              <w:t>9</w:t>
            </w:r>
            <w:r w:rsidR="0058638E">
              <w:rPr>
                <w:noProof/>
                <w:webHidden/>
              </w:rPr>
              <w:fldChar w:fldCharType="end"/>
            </w:r>
          </w:hyperlink>
        </w:p>
        <w:p w14:paraId="50EEDDE7" w14:textId="73E18524" w:rsidR="0058638E" w:rsidRDefault="002F41F3">
          <w:pPr>
            <w:pStyle w:val="Verzeichnis2"/>
            <w:rPr>
              <w:rFonts w:asciiTheme="minorHAnsi" w:eastAsiaTheme="minorEastAsia" w:hAnsiTheme="minorHAnsi" w:cstheme="minorBidi"/>
              <w:noProof/>
              <w:sz w:val="22"/>
              <w:szCs w:val="22"/>
              <w:lang w:eastAsia="de-CH"/>
            </w:rPr>
          </w:pPr>
          <w:hyperlink w:anchor="_Toc147141449" w:history="1">
            <w:r w:rsidR="0058638E" w:rsidRPr="00845E0D">
              <w:rPr>
                <w:rStyle w:val="Hyperlink"/>
                <w:noProof/>
              </w:rPr>
              <w:t>5.4</w:t>
            </w:r>
            <w:r w:rsidR="0058638E">
              <w:rPr>
                <w:rFonts w:asciiTheme="minorHAnsi" w:eastAsiaTheme="minorEastAsia" w:hAnsiTheme="minorHAnsi" w:cstheme="minorBidi"/>
                <w:noProof/>
                <w:sz w:val="22"/>
                <w:szCs w:val="22"/>
                <w:lang w:eastAsia="de-CH"/>
              </w:rPr>
              <w:tab/>
            </w:r>
            <w:r w:rsidR="0058638E" w:rsidRPr="00845E0D">
              <w:rPr>
                <w:rStyle w:val="Hyperlink"/>
                <w:noProof/>
              </w:rPr>
              <w:t>Meldewesen</w:t>
            </w:r>
            <w:r w:rsidR="0058638E">
              <w:rPr>
                <w:noProof/>
                <w:webHidden/>
              </w:rPr>
              <w:tab/>
            </w:r>
            <w:r w:rsidR="0058638E">
              <w:rPr>
                <w:noProof/>
                <w:webHidden/>
              </w:rPr>
              <w:fldChar w:fldCharType="begin"/>
            </w:r>
            <w:r w:rsidR="0058638E">
              <w:rPr>
                <w:noProof/>
                <w:webHidden/>
              </w:rPr>
              <w:instrText xml:space="preserve"> PAGEREF _Toc147141449 \h </w:instrText>
            </w:r>
            <w:r w:rsidR="0058638E">
              <w:rPr>
                <w:noProof/>
                <w:webHidden/>
              </w:rPr>
            </w:r>
            <w:r w:rsidR="0058638E">
              <w:rPr>
                <w:noProof/>
                <w:webHidden/>
              </w:rPr>
              <w:fldChar w:fldCharType="separate"/>
            </w:r>
            <w:r w:rsidR="0058638E">
              <w:rPr>
                <w:noProof/>
                <w:webHidden/>
              </w:rPr>
              <w:t>10</w:t>
            </w:r>
            <w:r w:rsidR="0058638E">
              <w:rPr>
                <w:noProof/>
                <w:webHidden/>
              </w:rPr>
              <w:fldChar w:fldCharType="end"/>
            </w:r>
          </w:hyperlink>
        </w:p>
        <w:p w14:paraId="76C3B5BD" w14:textId="2EE0A8D1" w:rsidR="0058638E" w:rsidRDefault="002F41F3">
          <w:pPr>
            <w:pStyle w:val="Verzeichnis2"/>
            <w:rPr>
              <w:rFonts w:asciiTheme="minorHAnsi" w:eastAsiaTheme="minorEastAsia" w:hAnsiTheme="minorHAnsi" w:cstheme="minorBidi"/>
              <w:noProof/>
              <w:sz w:val="22"/>
              <w:szCs w:val="22"/>
              <w:lang w:eastAsia="de-CH"/>
            </w:rPr>
          </w:pPr>
          <w:hyperlink w:anchor="_Toc147141450" w:history="1">
            <w:r w:rsidR="0058638E" w:rsidRPr="00845E0D">
              <w:rPr>
                <w:rStyle w:val="Hyperlink"/>
                <w:noProof/>
              </w:rPr>
              <w:t>5.5</w:t>
            </w:r>
            <w:r w:rsidR="0058638E">
              <w:rPr>
                <w:rFonts w:asciiTheme="minorHAnsi" w:eastAsiaTheme="minorEastAsia" w:hAnsiTheme="minorHAnsi" w:cstheme="minorBidi"/>
                <w:noProof/>
                <w:sz w:val="22"/>
                <w:szCs w:val="22"/>
                <w:lang w:eastAsia="de-CH"/>
              </w:rPr>
              <w:tab/>
            </w:r>
            <w:r w:rsidR="0058638E" w:rsidRPr="00845E0D">
              <w:rPr>
                <w:rStyle w:val="Hyperlink"/>
                <w:noProof/>
              </w:rPr>
              <w:t>Offenlegung</w:t>
            </w:r>
            <w:r w:rsidR="0058638E">
              <w:rPr>
                <w:noProof/>
                <w:webHidden/>
              </w:rPr>
              <w:tab/>
            </w:r>
            <w:r w:rsidR="0058638E">
              <w:rPr>
                <w:noProof/>
                <w:webHidden/>
              </w:rPr>
              <w:fldChar w:fldCharType="begin"/>
            </w:r>
            <w:r w:rsidR="0058638E">
              <w:rPr>
                <w:noProof/>
                <w:webHidden/>
              </w:rPr>
              <w:instrText xml:space="preserve"> PAGEREF _Toc147141450 \h </w:instrText>
            </w:r>
            <w:r w:rsidR="0058638E">
              <w:rPr>
                <w:noProof/>
                <w:webHidden/>
              </w:rPr>
            </w:r>
            <w:r w:rsidR="0058638E">
              <w:rPr>
                <w:noProof/>
                <w:webHidden/>
              </w:rPr>
              <w:fldChar w:fldCharType="separate"/>
            </w:r>
            <w:r w:rsidR="0058638E">
              <w:rPr>
                <w:noProof/>
                <w:webHidden/>
              </w:rPr>
              <w:t>10</w:t>
            </w:r>
            <w:r w:rsidR="0058638E">
              <w:rPr>
                <w:noProof/>
                <w:webHidden/>
              </w:rPr>
              <w:fldChar w:fldCharType="end"/>
            </w:r>
          </w:hyperlink>
        </w:p>
        <w:p w14:paraId="4D201729" w14:textId="0DFCD218" w:rsidR="0058638E" w:rsidRDefault="002F41F3">
          <w:pPr>
            <w:pStyle w:val="Verzeichnis1"/>
            <w:rPr>
              <w:rFonts w:asciiTheme="minorHAnsi" w:eastAsiaTheme="minorEastAsia" w:hAnsiTheme="minorHAnsi" w:cstheme="minorBidi"/>
              <w:b w:val="0"/>
              <w:bCs w:val="0"/>
              <w:sz w:val="22"/>
              <w:szCs w:val="22"/>
              <w:lang w:eastAsia="de-CH"/>
            </w:rPr>
          </w:pPr>
          <w:hyperlink w:anchor="_Toc147141451" w:history="1">
            <w:r w:rsidR="0058638E" w:rsidRPr="00845E0D">
              <w:rPr>
                <w:rStyle w:val="Hyperlink"/>
              </w:rPr>
              <w:t>6.</w:t>
            </w:r>
            <w:r w:rsidR="0058638E">
              <w:rPr>
                <w:rFonts w:asciiTheme="minorHAnsi" w:eastAsiaTheme="minorEastAsia" w:hAnsiTheme="minorHAnsi" w:cstheme="minorBidi"/>
                <w:b w:val="0"/>
                <w:bCs w:val="0"/>
                <w:sz w:val="22"/>
                <w:szCs w:val="22"/>
                <w:lang w:eastAsia="de-CH"/>
              </w:rPr>
              <w:tab/>
            </w:r>
            <w:r w:rsidR="0058638E" w:rsidRPr="00845E0D">
              <w:rPr>
                <w:rStyle w:val="Hyperlink"/>
              </w:rPr>
              <w:t>Besonderer Teil</w:t>
            </w:r>
            <w:r w:rsidR="0058638E">
              <w:rPr>
                <w:webHidden/>
              </w:rPr>
              <w:tab/>
            </w:r>
            <w:r w:rsidR="0058638E">
              <w:rPr>
                <w:webHidden/>
              </w:rPr>
              <w:fldChar w:fldCharType="begin"/>
            </w:r>
            <w:r w:rsidR="0058638E">
              <w:rPr>
                <w:webHidden/>
              </w:rPr>
              <w:instrText xml:space="preserve"> PAGEREF _Toc147141451 \h </w:instrText>
            </w:r>
            <w:r w:rsidR="0058638E">
              <w:rPr>
                <w:webHidden/>
              </w:rPr>
            </w:r>
            <w:r w:rsidR="0058638E">
              <w:rPr>
                <w:webHidden/>
              </w:rPr>
              <w:fldChar w:fldCharType="separate"/>
            </w:r>
            <w:r w:rsidR="0058638E">
              <w:rPr>
                <w:webHidden/>
              </w:rPr>
              <w:t>12</w:t>
            </w:r>
            <w:r w:rsidR="0058638E">
              <w:rPr>
                <w:webHidden/>
              </w:rPr>
              <w:fldChar w:fldCharType="end"/>
            </w:r>
          </w:hyperlink>
        </w:p>
        <w:p w14:paraId="63255157" w14:textId="51EB47D9" w:rsidR="0058638E" w:rsidRDefault="002F41F3">
          <w:pPr>
            <w:pStyle w:val="Verzeichnis2"/>
            <w:rPr>
              <w:rFonts w:asciiTheme="minorHAnsi" w:eastAsiaTheme="minorEastAsia" w:hAnsiTheme="minorHAnsi" w:cstheme="minorBidi"/>
              <w:noProof/>
              <w:sz w:val="22"/>
              <w:szCs w:val="22"/>
              <w:lang w:eastAsia="de-CH"/>
            </w:rPr>
          </w:pPr>
          <w:hyperlink w:anchor="_Toc147141452" w:history="1">
            <w:r w:rsidR="0058638E" w:rsidRPr="00845E0D">
              <w:rPr>
                <w:rStyle w:val="Hyperlink"/>
                <w:noProof/>
              </w:rPr>
              <w:t>6.1</w:t>
            </w:r>
            <w:r w:rsidR="0058638E">
              <w:rPr>
                <w:rFonts w:asciiTheme="minorHAnsi" w:eastAsiaTheme="minorEastAsia" w:hAnsiTheme="minorHAnsi" w:cstheme="minorBidi"/>
                <w:noProof/>
                <w:sz w:val="22"/>
                <w:szCs w:val="22"/>
                <w:lang w:eastAsia="de-CH"/>
              </w:rPr>
              <w:tab/>
            </w:r>
            <w:r w:rsidR="0058638E" w:rsidRPr="00845E0D">
              <w:rPr>
                <w:rStyle w:val="Hyperlink"/>
                <w:noProof/>
              </w:rPr>
              <w:t>Durchführbarkeit des Abwicklungsplans</w:t>
            </w:r>
            <w:r w:rsidR="0058638E">
              <w:rPr>
                <w:noProof/>
                <w:webHidden/>
              </w:rPr>
              <w:tab/>
            </w:r>
            <w:r w:rsidR="0058638E">
              <w:rPr>
                <w:noProof/>
                <w:webHidden/>
              </w:rPr>
              <w:fldChar w:fldCharType="begin"/>
            </w:r>
            <w:r w:rsidR="0058638E">
              <w:rPr>
                <w:noProof/>
                <w:webHidden/>
              </w:rPr>
              <w:instrText xml:space="preserve"> PAGEREF _Toc147141452 \h </w:instrText>
            </w:r>
            <w:r w:rsidR="0058638E">
              <w:rPr>
                <w:noProof/>
                <w:webHidden/>
              </w:rPr>
            </w:r>
            <w:r w:rsidR="0058638E">
              <w:rPr>
                <w:noProof/>
                <w:webHidden/>
              </w:rPr>
              <w:fldChar w:fldCharType="separate"/>
            </w:r>
            <w:r w:rsidR="0058638E">
              <w:rPr>
                <w:noProof/>
                <w:webHidden/>
              </w:rPr>
              <w:t>12</w:t>
            </w:r>
            <w:r w:rsidR="0058638E">
              <w:rPr>
                <w:noProof/>
                <w:webHidden/>
              </w:rPr>
              <w:fldChar w:fldCharType="end"/>
            </w:r>
          </w:hyperlink>
        </w:p>
        <w:p w14:paraId="29AE6174" w14:textId="427B5B80" w:rsidR="0058638E" w:rsidRDefault="002F41F3">
          <w:pPr>
            <w:pStyle w:val="Verzeichnis2"/>
            <w:rPr>
              <w:rFonts w:asciiTheme="minorHAnsi" w:eastAsiaTheme="minorEastAsia" w:hAnsiTheme="minorHAnsi" w:cstheme="minorBidi"/>
              <w:noProof/>
              <w:sz w:val="22"/>
              <w:szCs w:val="22"/>
              <w:lang w:eastAsia="de-CH"/>
            </w:rPr>
          </w:pPr>
          <w:hyperlink w:anchor="_Toc147141453" w:history="1">
            <w:r w:rsidR="0058638E" w:rsidRPr="00845E0D">
              <w:rPr>
                <w:rStyle w:val="Hyperlink"/>
                <w:noProof/>
              </w:rPr>
              <w:t>6.2</w:t>
            </w:r>
            <w:r w:rsidR="0058638E">
              <w:rPr>
                <w:rFonts w:asciiTheme="minorHAnsi" w:eastAsiaTheme="minorEastAsia" w:hAnsiTheme="minorHAnsi" w:cstheme="minorBidi"/>
                <w:noProof/>
                <w:sz w:val="22"/>
                <w:szCs w:val="22"/>
                <w:lang w:eastAsia="de-CH"/>
              </w:rPr>
              <w:tab/>
            </w:r>
            <w:r w:rsidR="0058638E" w:rsidRPr="00845E0D">
              <w:rPr>
                <w:rStyle w:val="Hyperlink"/>
                <w:noProof/>
              </w:rPr>
              <w:t>Management Information System (MIS)</w:t>
            </w:r>
            <w:r w:rsidR="0058638E">
              <w:rPr>
                <w:noProof/>
                <w:webHidden/>
              </w:rPr>
              <w:tab/>
            </w:r>
            <w:r w:rsidR="0058638E">
              <w:rPr>
                <w:noProof/>
                <w:webHidden/>
              </w:rPr>
              <w:fldChar w:fldCharType="begin"/>
            </w:r>
            <w:r w:rsidR="0058638E">
              <w:rPr>
                <w:noProof/>
                <w:webHidden/>
              </w:rPr>
              <w:instrText xml:space="preserve"> PAGEREF _Toc147141453 \h </w:instrText>
            </w:r>
            <w:r w:rsidR="0058638E">
              <w:rPr>
                <w:noProof/>
                <w:webHidden/>
              </w:rPr>
            </w:r>
            <w:r w:rsidR="0058638E">
              <w:rPr>
                <w:noProof/>
                <w:webHidden/>
              </w:rPr>
              <w:fldChar w:fldCharType="separate"/>
            </w:r>
            <w:r w:rsidR="0058638E">
              <w:rPr>
                <w:noProof/>
                <w:webHidden/>
              </w:rPr>
              <w:t>13</w:t>
            </w:r>
            <w:r w:rsidR="0058638E">
              <w:rPr>
                <w:noProof/>
                <w:webHidden/>
              </w:rPr>
              <w:fldChar w:fldCharType="end"/>
            </w:r>
          </w:hyperlink>
        </w:p>
        <w:p w14:paraId="21DD79BB" w14:textId="24F0C72C" w:rsidR="0058638E" w:rsidRDefault="002F41F3">
          <w:pPr>
            <w:pStyle w:val="Verzeichnis2"/>
            <w:rPr>
              <w:rFonts w:asciiTheme="minorHAnsi" w:eastAsiaTheme="minorEastAsia" w:hAnsiTheme="minorHAnsi" w:cstheme="minorBidi"/>
              <w:noProof/>
              <w:sz w:val="22"/>
              <w:szCs w:val="22"/>
              <w:lang w:eastAsia="de-CH"/>
            </w:rPr>
          </w:pPr>
          <w:hyperlink w:anchor="_Toc147141454" w:history="1">
            <w:r w:rsidR="0058638E" w:rsidRPr="00845E0D">
              <w:rPr>
                <w:rStyle w:val="Hyperlink"/>
                <w:noProof/>
              </w:rPr>
              <w:t>6.3</w:t>
            </w:r>
            <w:r w:rsidR="0058638E">
              <w:rPr>
                <w:rFonts w:asciiTheme="minorHAnsi" w:eastAsiaTheme="minorEastAsia" w:hAnsiTheme="minorHAnsi" w:cstheme="minorBidi"/>
                <w:noProof/>
                <w:sz w:val="22"/>
                <w:szCs w:val="22"/>
                <w:lang w:eastAsia="de-CH"/>
              </w:rPr>
              <w:tab/>
            </w:r>
            <w:r w:rsidR="0058638E" w:rsidRPr="00845E0D">
              <w:rPr>
                <w:rStyle w:val="Hyperlink"/>
                <w:noProof/>
              </w:rPr>
              <w:t>Operative Kontinuität</w:t>
            </w:r>
            <w:r w:rsidR="0058638E">
              <w:rPr>
                <w:noProof/>
                <w:webHidden/>
              </w:rPr>
              <w:tab/>
            </w:r>
            <w:r w:rsidR="0058638E">
              <w:rPr>
                <w:noProof/>
                <w:webHidden/>
              </w:rPr>
              <w:fldChar w:fldCharType="begin"/>
            </w:r>
            <w:r w:rsidR="0058638E">
              <w:rPr>
                <w:noProof/>
                <w:webHidden/>
              </w:rPr>
              <w:instrText xml:space="preserve"> PAGEREF _Toc147141454 \h </w:instrText>
            </w:r>
            <w:r w:rsidR="0058638E">
              <w:rPr>
                <w:noProof/>
                <w:webHidden/>
              </w:rPr>
            </w:r>
            <w:r w:rsidR="0058638E">
              <w:rPr>
                <w:noProof/>
                <w:webHidden/>
              </w:rPr>
              <w:fldChar w:fldCharType="separate"/>
            </w:r>
            <w:r w:rsidR="0058638E">
              <w:rPr>
                <w:noProof/>
                <w:webHidden/>
              </w:rPr>
              <w:t>14</w:t>
            </w:r>
            <w:r w:rsidR="0058638E">
              <w:rPr>
                <w:noProof/>
                <w:webHidden/>
              </w:rPr>
              <w:fldChar w:fldCharType="end"/>
            </w:r>
          </w:hyperlink>
        </w:p>
        <w:p w14:paraId="4893C590" w14:textId="726CBBB2" w:rsidR="0058638E" w:rsidRDefault="002F41F3">
          <w:pPr>
            <w:pStyle w:val="Verzeichnis2"/>
            <w:rPr>
              <w:rFonts w:asciiTheme="minorHAnsi" w:eastAsiaTheme="minorEastAsia" w:hAnsiTheme="minorHAnsi" w:cstheme="minorBidi"/>
              <w:noProof/>
              <w:sz w:val="22"/>
              <w:szCs w:val="22"/>
              <w:lang w:eastAsia="de-CH"/>
            </w:rPr>
          </w:pPr>
          <w:hyperlink w:anchor="_Toc147141455" w:history="1">
            <w:r w:rsidR="0058638E" w:rsidRPr="00845E0D">
              <w:rPr>
                <w:rStyle w:val="Hyperlink"/>
                <w:noProof/>
              </w:rPr>
              <w:t>6.4</w:t>
            </w:r>
            <w:r w:rsidR="0058638E">
              <w:rPr>
                <w:rFonts w:asciiTheme="minorHAnsi" w:eastAsiaTheme="minorEastAsia" w:hAnsiTheme="minorHAnsi" w:cstheme="minorBidi"/>
                <w:noProof/>
                <w:sz w:val="22"/>
                <w:szCs w:val="22"/>
                <w:lang w:eastAsia="de-CH"/>
              </w:rPr>
              <w:tab/>
            </w:r>
            <w:r w:rsidR="0058638E" w:rsidRPr="00845E0D">
              <w:rPr>
                <w:rStyle w:val="Hyperlink"/>
                <w:noProof/>
              </w:rPr>
              <w:t>Verlustabsorption und Rekapitalisierung</w:t>
            </w:r>
            <w:r w:rsidR="0058638E">
              <w:rPr>
                <w:noProof/>
                <w:webHidden/>
              </w:rPr>
              <w:tab/>
            </w:r>
            <w:r w:rsidR="0058638E">
              <w:rPr>
                <w:noProof/>
                <w:webHidden/>
              </w:rPr>
              <w:fldChar w:fldCharType="begin"/>
            </w:r>
            <w:r w:rsidR="0058638E">
              <w:rPr>
                <w:noProof/>
                <w:webHidden/>
              </w:rPr>
              <w:instrText xml:space="preserve"> PAGEREF _Toc147141455 \h </w:instrText>
            </w:r>
            <w:r w:rsidR="0058638E">
              <w:rPr>
                <w:noProof/>
                <w:webHidden/>
              </w:rPr>
            </w:r>
            <w:r w:rsidR="0058638E">
              <w:rPr>
                <w:noProof/>
                <w:webHidden/>
              </w:rPr>
              <w:fldChar w:fldCharType="separate"/>
            </w:r>
            <w:r w:rsidR="0058638E">
              <w:rPr>
                <w:noProof/>
                <w:webHidden/>
              </w:rPr>
              <w:t>15</w:t>
            </w:r>
            <w:r w:rsidR="0058638E">
              <w:rPr>
                <w:noProof/>
                <w:webHidden/>
              </w:rPr>
              <w:fldChar w:fldCharType="end"/>
            </w:r>
          </w:hyperlink>
        </w:p>
        <w:p w14:paraId="680EFBDA" w14:textId="3243F710" w:rsidR="0058638E" w:rsidRDefault="002F41F3">
          <w:pPr>
            <w:pStyle w:val="Verzeichnis2"/>
            <w:rPr>
              <w:rFonts w:asciiTheme="minorHAnsi" w:eastAsiaTheme="minorEastAsia" w:hAnsiTheme="minorHAnsi" w:cstheme="minorBidi"/>
              <w:noProof/>
              <w:sz w:val="22"/>
              <w:szCs w:val="22"/>
              <w:lang w:eastAsia="de-CH"/>
            </w:rPr>
          </w:pPr>
          <w:hyperlink w:anchor="_Toc147141456" w:history="1">
            <w:r w:rsidR="0058638E" w:rsidRPr="00845E0D">
              <w:rPr>
                <w:rStyle w:val="Hyperlink"/>
                <w:noProof/>
              </w:rPr>
              <w:t>6.5</w:t>
            </w:r>
            <w:r w:rsidR="0058638E">
              <w:rPr>
                <w:rFonts w:asciiTheme="minorHAnsi" w:eastAsiaTheme="minorEastAsia" w:hAnsiTheme="minorHAnsi" w:cstheme="minorBidi"/>
                <w:noProof/>
                <w:sz w:val="22"/>
                <w:szCs w:val="22"/>
                <w:lang w:eastAsia="de-CH"/>
              </w:rPr>
              <w:tab/>
            </w:r>
            <w:r w:rsidR="0058638E" w:rsidRPr="00845E0D">
              <w:rPr>
                <w:rStyle w:val="Hyperlink"/>
                <w:noProof/>
              </w:rPr>
              <w:t>Liquidität und Refinanzierung</w:t>
            </w:r>
            <w:r w:rsidR="0058638E">
              <w:rPr>
                <w:noProof/>
                <w:webHidden/>
              </w:rPr>
              <w:tab/>
            </w:r>
            <w:r w:rsidR="0058638E">
              <w:rPr>
                <w:noProof/>
                <w:webHidden/>
              </w:rPr>
              <w:fldChar w:fldCharType="begin"/>
            </w:r>
            <w:r w:rsidR="0058638E">
              <w:rPr>
                <w:noProof/>
                <w:webHidden/>
              </w:rPr>
              <w:instrText xml:space="preserve"> PAGEREF _Toc147141456 \h </w:instrText>
            </w:r>
            <w:r w:rsidR="0058638E">
              <w:rPr>
                <w:noProof/>
                <w:webHidden/>
              </w:rPr>
            </w:r>
            <w:r w:rsidR="0058638E">
              <w:rPr>
                <w:noProof/>
                <w:webHidden/>
              </w:rPr>
              <w:fldChar w:fldCharType="separate"/>
            </w:r>
            <w:r w:rsidR="0058638E">
              <w:rPr>
                <w:noProof/>
                <w:webHidden/>
              </w:rPr>
              <w:t>16</w:t>
            </w:r>
            <w:r w:rsidR="0058638E">
              <w:rPr>
                <w:noProof/>
                <w:webHidden/>
              </w:rPr>
              <w:fldChar w:fldCharType="end"/>
            </w:r>
          </w:hyperlink>
        </w:p>
        <w:p w14:paraId="21E0D288" w14:textId="4FF9D503" w:rsidR="0058638E" w:rsidRDefault="002F41F3">
          <w:pPr>
            <w:pStyle w:val="Verzeichnis2"/>
            <w:rPr>
              <w:rFonts w:asciiTheme="minorHAnsi" w:eastAsiaTheme="minorEastAsia" w:hAnsiTheme="minorHAnsi" w:cstheme="minorBidi"/>
              <w:noProof/>
              <w:sz w:val="22"/>
              <w:szCs w:val="22"/>
              <w:lang w:eastAsia="de-CH"/>
            </w:rPr>
          </w:pPr>
          <w:hyperlink w:anchor="_Toc147141457" w:history="1">
            <w:r w:rsidR="0058638E" w:rsidRPr="00845E0D">
              <w:rPr>
                <w:rStyle w:val="Hyperlink"/>
                <w:noProof/>
              </w:rPr>
              <w:t>6.6</w:t>
            </w:r>
            <w:r w:rsidR="0058638E">
              <w:rPr>
                <w:rFonts w:asciiTheme="minorHAnsi" w:eastAsiaTheme="minorEastAsia" w:hAnsiTheme="minorHAnsi" w:cstheme="minorBidi"/>
                <w:noProof/>
                <w:sz w:val="22"/>
                <w:szCs w:val="22"/>
                <w:lang w:eastAsia="de-CH"/>
              </w:rPr>
              <w:tab/>
            </w:r>
            <w:r w:rsidR="0058638E" w:rsidRPr="00845E0D">
              <w:rPr>
                <w:rStyle w:val="Hyperlink"/>
                <w:noProof/>
              </w:rPr>
              <w:t>Transferstrategien</w:t>
            </w:r>
            <w:r w:rsidR="0058638E">
              <w:rPr>
                <w:noProof/>
                <w:webHidden/>
              </w:rPr>
              <w:tab/>
            </w:r>
            <w:r w:rsidR="0058638E">
              <w:rPr>
                <w:noProof/>
                <w:webHidden/>
              </w:rPr>
              <w:fldChar w:fldCharType="begin"/>
            </w:r>
            <w:r w:rsidR="0058638E">
              <w:rPr>
                <w:noProof/>
                <w:webHidden/>
              </w:rPr>
              <w:instrText xml:space="preserve"> PAGEREF _Toc147141457 \h </w:instrText>
            </w:r>
            <w:r w:rsidR="0058638E">
              <w:rPr>
                <w:noProof/>
                <w:webHidden/>
              </w:rPr>
            </w:r>
            <w:r w:rsidR="0058638E">
              <w:rPr>
                <w:noProof/>
                <w:webHidden/>
              </w:rPr>
              <w:fldChar w:fldCharType="separate"/>
            </w:r>
            <w:r w:rsidR="0058638E">
              <w:rPr>
                <w:noProof/>
                <w:webHidden/>
              </w:rPr>
              <w:t>17</w:t>
            </w:r>
            <w:r w:rsidR="0058638E">
              <w:rPr>
                <w:noProof/>
                <w:webHidden/>
              </w:rPr>
              <w:fldChar w:fldCharType="end"/>
            </w:r>
          </w:hyperlink>
        </w:p>
        <w:p w14:paraId="48F97A4E" w14:textId="5C3D7575" w:rsidR="0058638E" w:rsidRDefault="002F41F3">
          <w:pPr>
            <w:pStyle w:val="Verzeichnis1"/>
            <w:rPr>
              <w:rFonts w:asciiTheme="minorHAnsi" w:eastAsiaTheme="minorEastAsia" w:hAnsiTheme="minorHAnsi" w:cstheme="minorBidi"/>
              <w:b w:val="0"/>
              <w:bCs w:val="0"/>
              <w:sz w:val="22"/>
              <w:szCs w:val="22"/>
              <w:lang w:eastAsia="de-CH"/>
            </w:rPr>
          </w:pPr>
          <w:hyperlink w:anchor="_Toc147141458" w:history="1">
            <w:r w:rsidR="0058638E" w:rsidRPr="00845E0D">
              <w:rPr>
                <w:rStyle w:val="Hyperlink"/>
              </w:rPr>
              <w:t>7.</w:t>
            </w:r>
            <w:r w:rsidR="0058638E">
              <w:rPr>
                <w:rFonts w:asciiTheme="minorHAnsi" w:eastAsiaTheme="minorEastAsia" w:hAnsiTheme="minorHAnsi" w:cstheme="minorBidi"/>
                <w:b w:val="0"/>
                <w:bCs w:val="0"/>
                <w:sz w:val="22"/>
                <w:szCs w:val="22"/>
                <w:lang w:eastAsia="de-CH"/>
              </w:rPr>
              <w:tab/>
            </w:r>
            <w:r w:rsidR="0058638E" w:rsidRPr="00845E0D">
              <w:rPr>
                <w:rStyle w:val="Hyperlink"/>
              </w:rPr>
              <w:t>Weitere Bemerkungen</w:t>
            </w:r>
            <w:r w:rsidR="0058638E">
              <w:rPr>
                <w:webHidden/>
              </w:rPr>
              <w:tab/>
            </w:r>
            <w:r w:rsidR="0058638E">
              <w:rPr>
                <w:webHidden/>
              </w:rPr>
              <w:fldChar w:fldCharType="begin"/>
            </w:r>
            <w:r w:rsidR="0058638E">
              <w:rPr>
                <w:webHidden/>
              </w:rPr>
              <w:instrText xml:space="preserve"> PAGEREF _Toc147141458 \h </w:instrText>
            </w:r>
            <w:r w:rsidR="0058638E">
              <w:rPr>
                <w:webHidden/>
              </w:rPr>
            </w:r>
            <w:r w:rsidR="0058638E">
              <w:rPr>
                <w:webHidden/>
              </w:rPr>
              <w:fldChar w:fldCharType="separate"/>
            </w:r>
            <w:r w:rsidR="0058638E">
              <w:rPr>
                <w:webHidden/>
              </w:rPr>
              <w:t>18</w:t>
            </w:r>
            <w:r w:rsidR="0058638E">
              <w:rPr>
                <w:webHidden/>
              </w:rPr>
              <w:fldChar w:fldCharType="end"/>
            </w:r>
          </w:hyperlink>
        </w:p>
        <w:p w14:paraId="25D5E671" w14:textId="6F7A69CC" w:rsidR="0058638E" w:rsidRDefault="002F41F3">
          <w:pPr>
            <w:pStyle w:val="Verzeichnis1"/>
            <w:rPr>
              <w:rFonts w:asciiTheme="minorHAnsi" w:eastAsiaTheme="minorEastAsia" w:hAnsiTheme="minorHAnsi" w:cstheme="minorBidi"/>
              <w:b w:val="0"/>
              <w:bCs w:val="0"/>
              <w:sz w:val="22"/>
              <w:szCs w:val="22"/>
              <w:lang w:eastAsia="de-CH"/>
            </w:rPr>
          </w:pPr>
          <w:hyperlink w:anchor="_Toc147141459" w:history="1">
            <w:r w:rsidR="0058638E" w:rsidRPr="00845E0D">
              <w:rPr>
                <w:rStyle w:val="Hyperlink"/>
              </w:rPr>
              <w:t>8.</w:t>
            </w:r>
            <w:r w:rsidR="0058638E">
              <w:rPr>
                <w:rFonts w:asciiTheme="minorHAnsi" w:eastAsiaTheme="minorEastAsia" w:hAnsiTheme="minorHAnsi" w:cstheme="minorBidi"/>
                <w:b w:val="0"/>
                <w:bCs w:val="0"/>
                <w:sz w:val="22"/>
                <w:szCs w:val="22"/>
                <w:lang w:eastAsia="de-CH"/>
              </w:rPr>
              <w:tab/>
            </w:r>
            <w:r w:rsidR="0058638E" w:rsidRPr="00845E0D">
              <w:rPr>
                <w:rStyle w:val="Hyperlink"/>
              </w:rPr>
              <w:t>Unterschrift / Bestätigung des Wirtschaftsprüfers</w:t>
            </w:r>
            <w:r w:rsidR="0058638E">
              <w:rPr>
                <w:webHidden/>
              </w:rPr>
              <w:tab/>
            </w:r>
            <w:r w:rsidR="0058638E">
              <w:rPr>
                <w:webHidden/>
              </w:rPr>
              <w:fldChar w:fldCharType="begin"/>
            </w:r>
            <w:r w:rsidR="0058638E">
              <w:rPr>
                <w:webHidden/>
              </w:rPr>
              <w:instrText xml:space="preserve"> PAGEREF _Toc147141459 \h </w:instrText>
            </w:r>
            <w:r w:rsidR="0058638E">
              <w:rPr>
                <w:webHidden/>
              </w:rPr>
            </w:r>
            <w:r w:rsidR="0058638E">
              <w:rPr>
                <w:webHidden/>
              </w:rPr>
              <w:fldChar w:fldCharType="separate"/>
            </w:r>
            <w:r w:rsidR="0058638E">
              <w:rPr>
                <w:webHidden/>
              </w:rPr>
              <w:t>18</w:t>
            </w:r>
            <w:r w:rsidR="0058638E">
              <w:rPr>
                <w:webHidden/>
              </w:rPr>
              <w:fldChar w:fldCharType="end"/>
            </w:r>
          </w:hyperlink>
        </w:p>
        <w:p w14:paraId="19F64A4E" w14:textId="51011D4E" w:rsidR="0058638E" w:rsidRDefault="002F41F3">
          <w:pPr>
            <w:pStyle w:val="Verzeichnis1"/>
            <w:rPr>
              <w:rFonts w:asciiTheme="minorHAnsi" w:eastAsiaTheme="minorEastAsia" w:hAnsiTheme="minorHAnsi" w:cstheme="minorBidi"/>
              <w:b w:val="0"/>
              <w:bCs w:val="0"/>
              <w:sz w:val="22"/>
              <w:szCs w:val="22"/>
              <w:lang w:eastAsia="de-CH"/>
            </w:rPr>
          </w:pPr>
          <w:hyperlink w:anchor="_Toc147141460" w:history="1">
            <w:r w:rsidR="0058638E" w:rsidRPr="00845E0D">
              <w:rPr>
                <w:rStyle w:val="Hyperlink"/>
              </w:rPr>
              <w:t>9.</w:t>
            </w:r>
            <w:r w:rsidR="0058638E">
              <w:rPr>
                <w:rFonts w:asciiTheme="minorHAnsi" w:eastAsiaTheme="minorEastAsia" w:hAnsiTheme="minorHAnsi" w:cstheme="minorBidi"/>
                <w:b w:val="0"/>
                <w:bCs w:val="0"/>
                <w:sz w:val="22"/>
                <w:szCs w:val="22"/>
                <w:lang w:eastAsia="de-CH"/>
              </w:rPr>
              <w:tab/>
            </w:r>
            <w:r w:rsidR="0058638E" w:rsidRPr="00845E0D">
              <w:rPr>
                <w:rStyle w:val="Hyperlink"/>
              </w:rPr>
              <w:t>Anhang</w:t>
            </w:r>
            <w:r w:rsidR="0058638E">
              <w:rPr>
                <w:webHidden/>
              </w:rPr>
              <w:tab/>
            </w:r>
            <w:r w:rsidR="0058638E">
              <w:rPr>
                <w:webHidden/>
              </w:rPr>
              <w:fldChar w:fldCharType="begin"/>
            </w:r>
            <w:r w:rsidR="0058638E">
              <w:rPr>
                <w:webHidden/>
              </w:rPr>
              <w:instrText xml:space="preserve"> PAGEREF _Toc147141460 \h </w:instrText>
            </w:r>
            <w:r w:rsidR="0058638E">
              <w:rPr>
                <w:webHidden/>
              </w:rPr>
            </w:r>
            <w:r w:rsidR="0058638E">
              <w:rPr>
                <w:webHidden/>
              </w:rPr>
              <w:fldChar w:fldCharType="separate"/>
            </w:r>
            <w:r w:rsidR="0058638E">
              <w:rPr>
                <w:webHidden/>
              </w:rPr>
              <w:t>18</w:t>
            </w:r>
            <w:r w:rsidR="0058638E">
              <w:rPr>
                <w:webHidden/>
              </w:rPr>
              <w:fldChar w:fldCharType="end"/>
            </w:r>
          </w:hyperlink>
        </w:p>
        <w:p w14:paraId="40272320" w14:textId="2EA20E93" w:rsidR="003A65D2" w:rsidRPr="00BB6029" w:rsidRDefault="00326E88" w:rsidP="00254B93">
          <w:pPr>
            <w:spacing w:before="120"/>
            <w:rPr>
              <w:sz w:val="20"/>
              <w:szCs w:val="20"/>
            </w:rPr>
          </w:pPr>
          <w:r w:rsidRPr="00DF10D9">
            <w:rPr>
              <w:rFonts w:ascii="Arial" w:hAnsi="Arial" w:cs="Arial"/>
              <w:sz w:val="20"/>
              <w:szCs w:val="20"/>
            </w:rPr>
            <w:fldChar w:fldCharType="end"/>
          </w:r>
        </w:p>
      </w:sdtContent>
    </w:sdt>
    <w:p w14:paraId="387B5738" w14:textId="77777777" w:rsidR="003A65D2" w:rsidRDefault="003A65D2">
      <w:pPr>
        <w:rPr>
          <w:b/>
        </w:rPr>
      </w:pPr>
      <w:r>
        <w:rPr>
          <w:b/>
        </w:rPr>
        <w:br w:type="page"/>
      </w:r>
    </w:p>
    <w:p w14:paraId="6ECDDBF4" w14:textId="3F6689BD" w:rsidR="00DD5846" w:rsidRPr="00897AEF" w:rsidRDefault="009560B2" w:rsidP="003A65D2">
      <w:pPr>
        <w:jc w:val="both"/>
        <w:rPr>
          <w:rFonts w:ascii="Arial" w:hAnsi="Arial" w:cs="Arial"/>
          <w:b/>
          <w:i/>
        </w:rPr>
      </w:pPr>
      <w:r>
        <w:rPr>
          <w:rFonts w:ascii="Arial" w:hAnsi="Arial" w:cs="Arial"/>
          <w:b/>
          <w:i/>
          <w:highlight w:val="yellow"/>
        </w:rPr>
        <w:lastRenderedPageBreak/>
        <w:t>Firma Abwicklungseinheit/Liquidationseinheit</w:t>
      </w:r>
      <w:r w:rsidR="00404617">
        <w:rPr>
          <w:rFonts w:ascii="Arial" w:hAnsi="Arial" w:cs="Arial"/>
          <w:b/>
          <w:i/>
          <w:highlight w:val="yellow"/>
        </w:rPr>
        <w:t xml:space="preserve"> (</w:t>
      </w:r>
      <w:r w:rsidR="00145D00">
        <w:rPr>
          <w:rFonts w:ascii="Arial" w:hAnsi="Arial" w:cs="Arial"/>
          <w:b/>
          <w:i/>
          <w:highlight w:val="yellow"/>
        </w:rPr>
        <w:t>Abwic</w:t>
      </w:r>
      <w:r w:rsidR="008C2B4B">
        <w:rPr>
          <w:rFonts w:ascii="Arial" w:hAnsi="Arial" w:cs="Arial"/>
          <w:b/>
          <w:i/>
          <w:highlight w:val="yellow"/>
        </w:rPr>
        <w:t>k</w:t>
      </w:r>
      <w:r w:rsidR="00145D00">
        <w:rPr>
          <w:rFonts w:ascii="Arial" w:hAnsi="Arial" w:cs="Arial"/>
          <w:b/>
          <w:i/>
          <w:highlight w:val="yellow"/>
        </w:rPr>
        <w:t>lungsgruppe</w:t>
      </w:r>
      <w:r w:rsidR="00404617">
        <w:rPr>
          <w:rFonts w:ascii="Arial" w:hAnsi="Arial" w:cs="Arial"/>
          <w:b/>
          <w:i/>
          <w:highlight w:val="yellow"/>
        </w:rPr>
        <w:t>)</w:t>
      </w:r>
    </w:p>
    <w:p w14:paraId="6A7C0CF5" w14:textId="77777777" w:rsidR="003A65D2" w:rsidRPr="00897AEF" w:rsidRDefault="003A65D2" w:rsidP="003A65D2">
      <w:pPr>
        <w:jc w:val="both"/>
        <w:rPr>
          <w:rFonts w:ascii="Arial" w:hAnsi="Arial" w:cs="Arial"/>
          <w:b/>
        </w:rPr>
      </w:pPr>
    </w:p>
    <w:p w14:paraId="340A13CF" w14:textId="17E07FAF" w:rsidR="003A65D2" w:rsidRPr="00897AEF" w:rsidRDefault="003A65D2" w:rsidP="003A65D2">
      <w:pPr>
        <w:jc w:val="both"/>
        <w:rPr>
          <w:rFonts w:ascii="Arial" w:hAnsi="Arial" w:cs="Arial"/>
        </w:rPr>
      </w:pPr>
      <w:r w:rsidRPr="00897AEF">
        <w:rPr>
          <w:rFonts w:ascii="Arial" w:hAnsi="Arial" w:cs="Arial"/>
        </w:rPr>
        <w:t xml:space="preserve">Bericht gemäss </w:t>
      </w:r>
      <w:r w:rsidR="008C2B4B">
        <w:rPr>
          <w:rFonts w:ascii="Arial" w:hAnsi="Arial" w:cs="Arial"/>
        </w:rPr>
        <w:t xml:space="preserve">Art. 19 Abs. 5 </w:t>
      </w:r>
      <w:r w:rsidR="00145D00">
        <w:rPr>
          <w:rFonts w:ascii="Arial" w:hAnsi="Arial" w:cs="Arial"/>
        </w:rPr>
        <w:t xml:space="preserve">SAG </w:t>
      </w:r>
      <w:r w:rsidRPr="00897AEF">
        <w:rPr>
          <w:rFonts w:ascii="Arial" w:hAnsi="Arial" w:cs="Arial"/>
          <w:i/>
          <w:highlight w:val="yellow"/>
        </w:rPr>
        <w:t>Berichtsjahr</w:t>
      </w:r>
    </w:p>
    <w:p w14:paraId="01A6A8E5" w14:textId="77777777" w:rsidR="00625CFC" w:rsidRPr="00897AEF" w:rsidRDefault="00625CFC" w:rsidP="003A65D2">
      <w:pPr>
        <w:jc w:val="both"/>
        <w:rPr>
          <w:rFonts w:ascii="Arial" w:hAnsi="Arial" w:cs="Arial"/>
        </w:rPr>
      </w:pPr>
    </w:p>
    <w:p w14:paraId="71AA119C" w14:textId="51D846BB" w:rsidR="00625CFC" w:rsidRDefault="00625CFC" w:rsidP="003A65D2">
      <w:pPr>
        <w:jc w:val="both"/>
        <w:rPr>
          <w:rFonts w:ascii="Arial" w:hAnsi="Arial" w:cs="Arial"/>
          <w:i/>
          <w:sz w:val="20"/>
          <w:szCs w:val="20"/>
        </w:rPr>
      </w:pPr>
      <w:r w:rsidRPr="00897AEF">
        <w:rPr>
          <w:rFonts w:ascii="Arial" w:hAnsi="Arial" w:cs="Arial"/>
          <w:i/>
          <w:sz w:val="20"/>
          <w:szCs w:val="20"/>
          <w:highlight w:val="lightGray"/>
        </w:rPr>
        <w:t>[Die im Dokument kursiv und grau gehaltenen Text</w:t>
      </w:r>
      <w:r w:rsidR="008B259C">
        <w:rPr>
          <w:rFonts w:ascii="Arial" w:hAnsi="Arial" w:cs="Arial"/>
          <w:i/>
          <w:sz w:val="20"/>
          <w:szCs w:val="20"/>
          <w:highlight w:val="lightGray"/>
        </w:rPr>
        <w:t>t</w:t>
      </w:r>
      <w:r w:rsidRPr="00897AEF">
        <w:rPr>
          <w:rFonts w:ascii="Arial" w:hAnsi="Arial" w:cs="Arial"/>
          <w:i/>
          <w:sz w:val="20"/>
          <w:szCs w:val="20"/>
          <w:highlight w:val="lightGray"/>
        </w:rPr>
        <w:t>eile sind als Anleitung, jene in kursiv und gelb als beispielshafte Vorgabe zu verstehen. Nicht kursiv gehaltene Textvorgaben sind zwingend einzuhalten. Die Vorlage ist ab 20</w:t>
      </w:r>
      <w:r w:rsidR="00881418">
        <w:rPr>
          <w:rFonts w:ascii="Arial" w:hAnsi="Arial" w:cs="Arial"/>
          <w:i/>
          <w:sz w:val="20"/>
          <w:szCs w:val="20"/>
          <w:highlight w:val="lightGray"/>
        </w:rPr>
        <w:t>2</w:t>
      </w:r>
      <w:r w:rsidR="00145D00">
        <w:rPr>
          <w:rFonts w:ascii="Arial" w:hAnsi="Arial" w:cs="Arial"/>
          <w:i/>
          <w:sz w:val="20"/>
          <w:szCs w:val="20"/>
          <w:highlight w:val="lightGray"/>
        </w:rPr>
        <w:t>4</w:t>
      </w:r>
      <w:r w:rsidRPr="00897AEF">
        <w:rPr>
          <w:rFonts w:ascii="Arial" w:hAnsi="Arial" w:cs="Arial"/>
          <w:i/>
          <w:sz w:val="20"/>
          <w:szCs w:val="20"/>
          <w:highlight w:val="lightGray"/>
        </w:rPr>
        <w:t xml:space="preserve"> anwendbar (aufsichtsrechtliche Berichterstattung für Prüfperioden beginnend am 1. Januar 20</w:t>
      </w:r>
      <w:r w:rsidR="00881418">
        <w:rPr>
          <w:rFonts w:ascii="Arial" w:hAnsi="Arial" w:cs="Arial"/>
          <w:i/>
          <w:sz w:val="20"/>
          <w:szCs w:val="20"/>
          <w:highlight w:val="lightGray"/>
        </w:rPr>
        <w:t>2</w:t>
      </w:r>
      <w:r w:rsidR="00145D00">
        <w:rPr>
          <w:rFonts w:ascii="Arial" w:hAnsi="Arial" w:cs="Arial"/>
          <w:i/>
          <w:sz w:val="20"/>
          <w:szCs w:val="20"/>
          <w:highlight w:val="lightGray"/>
        </w:rPr>
        <w:t>4</w:t>
      </w:r>
      <w:r w:rsidRPr="00897AEF">
        <w:rPr>
          <w:rFonts w:ascii="Arial" w:hAnsi="Arial" w:cs="Arial"/>
          <w:i/>
          <w:sz w:val="20"/>
          <w:szCs w:val="20"/>
          <w:highlight w:val="lightGray"/>
        </w:rPr>
        <w:t>]</w:t>
      </w:r>
    </w:p>
    <w:p w14:paraId="24728543" w14:textId="77777777" w:rsidR="00C44852" w:rsidRDefault="00C44852">
      <w:pPr>
        <w:rPr>
          <w:rFonts w:ascii="Arial" w:hAnsi="Arial" w:cs="Arial"/>
          <w:i/>
          <w:sz w:val="20"/>
          <w:szCs w:val="20"/>
          <w:highlight w:val="lightGray"/>
        </w:rPr>
      </w:pPr>
      <w:r>
        <w:rPr>
          <w:rFonts w:ascii="Arial" w:hAnsi="Arial" w:cs="Arial"/>
          <w:i/>
          <w:sz w:val="20"/>
          <w:szCs w:val="20"/>
          <w:highlight w:val="lightGray"/>
        </w:rPr>
        <w:br w:type="page"/>
      </w:r>
    </w:p>
    <w:p w14:paraId="586F1675" w14:textId="2A9347FB" w:rsidR="0049142B" w:rsidRDefault="0049142B" w:rsidP="00C37D08">
      <w:pPr>
        <w:pStyle w:val="FINMAGliederungEbene1"/>
      </w:pPr>
      <w:bookmarkStart w:id="0" w:name="_Toc147141433"/>
      <w:r>
        <w:lastRenderedPageBreak/>
        <w:t xml:space="preserve">Rahmenbedingungen der </w:t>
      </w:r>
      <w:r w:rsidR="00006719">
        <w:t>P</w:t>
      </w:r>
      <w:r>
        <w:t>rüfung</w:t>
      </w:r>
      <w:bookmarkEnd w:id="0"/>
    </w:p>
    <w:p w14:paraId="38BD6C68" w14:textId="77777777" w:rsidR="00542456" w:rsidRPr="00624857" w:rsidRDefault="00542456" w:rsidP="0049142B">
      <w:pPr>
        <w:jc w:val="both"/>
        <w:rPr>
          <w:sz w:val="20"/>
          <w:szCs w:val="20"/>
        </w:rPr>
      </w:pPr>
    </w:p>
    <w:p w14:paraId="55F4ACD1" w14:textId="77777777" w:rsidR="00624857" w:rsidRDefault="00624857" w:rsidP="0049142B">
      <w:pPr>
        <w:jc w:val="both"/>
        <w:rPr>
          <w:rFonts w:ascii="Arial" w:hAnsi="Arial" w:cs="Arial"/>
          <w:i/>
          <w:sz w:val="20"/>
          <w:szCs w:val="20"/>
        </w:rPr>
      </w:pPr>
      <w:r w:rsidRPr="00624857">
        <w:rPr>
          <w:rFonts w:ascii="Arial" w:hAnsi="Arial" w:cs="Arial"/>
          <w:i/>
          <w:sz w:val="20"/>
          <w:szCs w:val="20"/>
          <w:highlight w:val="lightGray"/>
        </w:rPr>
        <w:t>Unter diesem Abschnitt sind die Rahmenbedingungen der Prüfung aufzuführen, d.h. insbesondere</w:t>
      </w:r>
      <w:r w:rsidRPr="00624857">
        <w:rPr>
          <w:rFonts w:ascii="Arial" w:hAnsi="Arial" w:cs="Arial"/>
          <w:i/>
          <w:sz w:val="20"/>
          <w:szCs w:val="20"/>
        </w:rPr>
        <w:t xml:space="preserve"> </w:t>
      </w:r>
    </w:p>
    <w:p w14:paraId="2696C25E" w14:textId="77777777" w:rsidR="00193A84" w:rsidRPr="00624857" w:rsidRDefault="00193A84" w:rsidP="0049142B">
      <w:pPr>
        <w:jc w:val="both"/>
        <w:rPr>
          <w:rFonts w:ascii="Arial" w:hAnsi="Arial" w:cs="Arial"/>
          <w:i/>
          <w:sz w:val="20"/>
          <w:szCs w:val="20"/>
        </w:rPr>
      </w:pPr>
    </w:p>
    <w:p w14:paraId="00AB4DF8" w14:textId="77777777" w:rsidR="00624857" w:rsidRDefault="00624857" w:rsidP="00C37D08">
      <w:pPr>
        <w:pStyle w:val="Listenabsatz"/>
        <w:numPr>
          <w:ilvl w:val="0"/>
          <w:numId w:val="4"/>
        </w:numPr>
        <w:jc w:val="both"/>
        <w:rPr>
          <w:rFonts w:cs="Arial"/>
          <w:szCs w:val="20"/>
          <w:highlight w:val="lightGray"/>
        </w:rPr>
      </w:pPr>
      <w:r w:rsidRPr="00193A84">
        <w:rPr>
          <w:rFonts w:cs="Arial"/>
          <w:szCs w:val="20"/>
          <w:highlight w:val="lightGray"/>
        </w:rPr>
        <w:t>Bestätigung, dass die Prüfung gemäss der an die FMA vorab eingereichten Prüfstrategie durchge</w:t>
      </w:r>
      <w:r w:rsidR="00BC19D0">
        <w:rPr>
          <w:rFonts w:cs="Arial"/>
          <w:szCs w:val="20"/>
          <w:highlight w:val="lightGray"/>
        </w:rPr>
        <w:t>führt wurden;</w:t>
      </w:r>
      <w:r w:rsidRPr="00193A84">
        <w:rPr>
          <w:rFonts w:cs="Arial"/>
          <w:szCs w:val="20"/>
          <w:highlight w:val="lightGray"/>
        </w:rPr>
        <w:t xml:space="preserve"> Abweichungen sind zu begründen</w:t>
      </w:r>
    </w:p>
    <w:p w14:paraId="46DAD0F3" w14:textId="77777777" w:rsidR="004F737B" w:rsidRPr="00193A84" w:rsidRDefault="004F737B" w:rsidP="00C37D08">
      <w:pPr>
        <w:pStyle w:val="Listenabsatz"/>
        <w:numPr>
          <w:ilvl w:val="0"/>
          <w:numId w:val="4"/>
        </w:numPr>
        <w:jc w:val="both"/>
        <w:rPr>
          <w:rFonts w:cs="Arial"/>
          <w:szCs w:val="20"/>
          <w:highlight w:val="lightGray"/>
        </w:rPr>
      </w:pPr>
      <w:r>
        <w:rPr>
          <w:rFonts w:cs="Arial"/>
          <w:szCs w:val="20"/>
          <w:highlight w:val="lightGray"/>
        </w:rPr>
        <w:t>Angabe der Zeitspanne(-n), in der die Prüfungshandlungen und die Berichterstattung durchgeführt bzw. erstellt wurden</w:t>
      </w:r>
    </w:p>
    <w:p w14:paraId="538EDA69" w14:textId="5D8356B4" w:rsidR="00394320" w:rsidRPr="00CB3EE6" w:rsidRDefault="00394320" w:rsidP="00C37D08">
      <w:pPr>
        <w:pStyle w:val="Listenabsatz"/>
        <w:numPr>
          <w:ilvl w:val="0"/>
          <w:numId w:val="4"/>
        </w:numPr>
        <w:jc w:val="both"/>
        <w:rPr>
          <w:rFonts w:cs="Arial"/>
          <w:szCs w:val="20"/>
          <w:highlight w:val="lightGray"/>
        </w:rPr>
      </w:pPr>
      <w:r w:rsidRPr="00CB3EE6">
        <w:rPr>
          <w:rFonts w:cs="Arial"/>
          <w:szCs w:val="20"/>
          <w:highlight w:val="lightGray"/>
        </w:rPr>
        <w:t xml:space="preserve">Auflistung der bei der Prüfung wesentlich eingesetzten Personen inklusive Angabe der Hierarchie- bzw. Funktionsstufe (z.B. Partner, Manager, eingesetzte Spezialisten in den Bereichen </w:t>
      </w:r>
      <w:r w:rsidR="00082FD4">
        <w:rPr>
          <w:rFonts w:cs="Arial"/>
          <w:szCs w:val="20"/>
          <w:highlight w:val="lightGray"/>
        </w:rPr>
        <w:t xml:space="preserve">Sanierung, Abwicklung, Risk, </w:t>
      </w:r>
      <w:r w:rsidRPr="00CB3EE6">
        <w:rPr>
          <w:rFonts w:cs="Arial"/>
          <w:szCs w:val="20"/>
          <w:highlight w:val="lightGray"/>
        </w:rPr>
        <w:t>Recht, Steuern, IT usw.)</w:t>
      </w:r>
    </w:p>
    <w:p w14:paraId="2A5DD52C" w14:textId="77777777" w:rsidR="00624857" w:rsidRPr="00954411" w:rsidRDefault="00624857" w:rsidP="00C37D08">
      <w:pPr>
        <w:pStyle w:val="Listenabsatz"/>
        <w:numPr>
          <w:ilvl w:val="0"/>
          <w:numId w:val="4"/>
        </w:numPr>
        <w:jc w:val="both"/>
        <w:rPr>
          <w:rFonts w:cs="Arial"/>
          <w:szCs w:val="20"/>
          <w:highlight w:val="lightGray"/>
        </w:rPr>
      </w:pPr>
      <w:r w:rsidRPr="00954411">
        <w:rPr>
          <w:rFonts w:cs="Arial"/>
          <w:szCs w:val="20"/>
          <w:highlight w:val="lightGray"/>
        </w:rPr>
        <w:t>Ausmass der Abstützung auf bzw. Verwendung von Arbeiten Dritter, eines Experten oder eines anderen Wirtschaftsprüfers (z.B. bei Gruppengesellschaften)</w:t>
      </w:r>
    </w:p>
    <w:p w14:paraId="6CC7C974" w14:textId="119861D8" w:rsidR="00624857" w:rsidRPr="00193A84" w:rsidRDefault="00624857" w:rsidP="00C37D08">
      <w:pPr>
        <w:pStyle w:val="Listenabsatz"/>
        <w:numPr>
          <w:ilvl w:val="0"/>
          <w:numId w:val="4"/>
        </w:numPr>
        <w:jc w:val="both"/>
        <w:rPr>
          <w:rFonts w:cs="Arial"/>
          <w:szCs w:val="20"/>
          <w:highlight w:val="lightGray"/>
        </w:rPr>
      </w:pPr>
      <w:r w:rsidRPr="00193A84">
        <w:rPr>
          <w:rFonts w:cs="Arial"/>
          <w:szCs w:val="20"/>
          <w:highlight w:val="lightGray"/>
        </w:rPr>
        <w:t xml:space="preserve">Hinweise auf </w:t>
      </w:r>
      <w:r w:rsidR="00885CE4">
        <w:rPr>
          <w:rFonts w:cs="Arial"/>
          <w:szCs w:val="20"/>
          <w:highlight w:val="lightGray"/>
        </w:rPr>
        <w:t xml:space="preserve">Einschränkungen und </w:t>
      </w:r>
      <w:r w:rsidRPr="00193A84">
        <w:rPr>
          <w:rFonts w:cs="Arial"/>
          <w:szCs w:val="20"/>
          <w:highlight w:val="lightGray"/>
        </w:rPr>
        <w:t>Schwierigkeiten bei der Prüfung</w:t>
      </w:r>
      <w:r w:rsidR="007E12DD">
        <w:rPr>
          <w:rFonts w:cs="Arial"/>
          <w:szCs w:val="20"/>
          <w:highlight w:val="lightGray"/>
        </w:rPr>
        <w:t xml:space="preserve"> </w:t>
      </w:r>
      <w:r w:rsidR="009464E8">
        <w:rPr>
          <w:rFonts w:cs="Arial"/>
          <w:szCs w:val="20"/>
          <w:highlight w:val="lightGray"/>
        </w:rPr>
        <w:t xml:space="preserve">(z.B. Abwesenheit von Entscheidungsträgern; unvollständige/qualitativ mangelhafte Dokumentation durch </w:t>
      </w:r>
      <w:r w:rsidR="00006719">
        <w:rPr>
          <w:rFonts w:cs="Arial"/>
          <w:szCs w:val="20"/>
          <w:highlight w:val="lightGray"/>
        </w:rPr>
        <w:t>das Unternehmen</w:t>
      </w:r>
      <w:r w:rsidR="009464E8">
        <w:rPr>
          <w:rFonts w:cs="Arial"/>
          <w:szCs w:val="20"/>
          <w:highlight w:val="lightGray"/>
        </w:rPr>
        <w:t xml:space="preserve"> inkl. dessen </w:t>
      </w:r>
      <w:r w:rsidR="00DC5168">
        <w:rPr>
          <w:rFonts w:cs="Arial"/>
          <w:szCs w:val="20"/>
          <w:highlight w:val="lightGray"/>
        </w:rPr>
        <w:t>I</w:t>
      </w:r>
      <w:r w:rsidR="009464E8">
        <w:rPr>
          <w:rFonts w:cs="Arial"/>
          <w:szCs w:val="20"/>
          <w:highlight w:val="lightGray"/>
        </w:rPr>
        <w:t>nterne Revision; Restriktionen bei den Prüfungen z.B. reduzierter Prüfungsumfang infolge  reduzierte</w:t>
      </w:r>
      <w:r w:rsidR="00493FA0">
        <w:rPr>
          <w:rFonts w:cs="Arial"/>
          <w:szCs w:val="20"/>
          <w:highlight w:val="lightGray"/>
        </w:rPr>
        <w:t>n</w:t>
      </w:r>
      <w:r w:rsidR="009464E8">
        <w:rPr>
          <w:rFonts w:cs="Arial"/>
          <w:szCs w:val="20"/>
          <w:highlight w:val="lightGray"/>
        </w:rPr>
        <w:t xml:space="preserve"> Budget</w:t>
      </w:r>
      <w:r w:rsidR="00493FA0">
        <w:rPr>
          <w:rFonts w:cs="Arial"/>
          <w:szCs w:val="20"/>
          <w:highlight w:val="lightGray"/>
        </w:rPr>
        <w:t>s</w:t>
      </w:r>
      <w:r w:rsidR="00885CE4">
        <w:rPr>
          <w:rFonts w:cs="Arial"/>
          <w:szCs w:val="20"/>
          <w:highlight w:val="lightGray"/>
        </w:rPr>
        <w:t>; Sachverhalte, die dazu führen, dass die Würdigung des Tatbestands verunmöglicht wird</w:t>
      </w:r>
      <w:r w:rsidR="009464E8">
        <w:rPr>
          <w:rFonts w:cs="Arial"/>
          <w:szCs w:val="20"/>
          <w:highlight w:val="lightGray"/>
        </w:rPr>
        <w:t xml:space="preserve"> etc.)</w:t>
      </w:r>
    </w:p>
    <w:p w14:paraId="47886A7D" w14:textId="77777777" w:rsidR="00624857" w:rsidRDefault="00624857" w:rsidP="00C37D08">
      <w:pPr>
        <w:pStyle w:val="Listenabsatz"/>
        <w:numPr>
          <w:ilvl w:val="0"/>
          <w:numId w:val="4"/>
        </w:numPr>
        <w:jc w:val="both"/>
        <w:rPr>
          <w:rFonts w:cs="Arial"/>
          <w:szCs w:val="20"/>
          <w:highlight w:val="lightGray"/>
        </w:rPr>
      </w:pPr>
      <w:r w:rsidRPr="00193A84">
        <w:rPr>
          <w:rFonts w:cs="Arial"/>
          <w:szCs w:val="20"/>
          <w:highlight w:val="lightGray"/>
        </w:rPr>
        <w:t>Bestätigung, dass alle Informationen zeitgerecht und in der erforderlichen Qualität zur Verfügung gestellt wurden (gemäss Art. 11 Abs. 2f BankG)</w:t>
      </w:r>
    </w:p>
    <w:p w14:paraId="576A2748" w14:textId="79F888F0" w:rsidR="00433F12" w:rsidRPr="00193A84" w:rsidRDefault="00433F12" w:rsidP="00C37D08">
      <w:pPr>
        <w:pStyle w:val="Listenabsatz"/>
        <w:numPr>
          <w:ilvl w:val="0"/>
          <w:numId w:val="4"/>
        </w:numPr>
        <w:jc w:val="both"/>
        <w:rPr>
          <w:rFonts w:cs="Arial"/>
          <w:szCs w:val="20"/>
          <w:highlight w:val="lightGray"/>
        </w:rPr>
      </w:pPr>
      <w:r>
        <w:rPr>
          <w:rFonts w:cs="Arial"/>
          <w:szCs w:val="20"/>
          <w:highlight w:val="lightGray"/>
        </w:rPr>
        <w:t xml:space="preserve">Bestätigung der Unabhängigkeit </w:t>
      </w:r>
      <w:r w:rsidR="00AA1A44">
        <w:rPr>
          <w:rFonts w:cs="Arial"/>
          <w:szCs w:val="20"/>
          <w:highlight w:val="lightGray"/>
        </w:rPr>
        <w:t>de</w:t>
      </w:r>
      <w:r w:rsidR="00697F22">
        <w:rPr>
          <w:rFonts w:cs="Arial"/>
          <w:szCs w:val="20"/>
          <w:highlight w:val="lightGray"/>
        </w:rPr>
        <w:t xml:space="preserve">r Wirtschaftsprüfungsgesellschaft/Wirtschaftsprüfer (im Folgenden: «Wirtschaftsprüfer») </w:t>
      </w:r>
      <w:r>
        <w:rPr>
          <w:rFonts w:cs="Arial"/>
          <w:szCs w:val="20"/>
          <w:highlight w:val="lightGray"/>
        </w:rPr>
        <w:t xml:space="preserve">gemäss Art. 37 Abs. 4 BankG. </w:t>
      </w:r>
    </w:p>
    <w:p w14:paraId="1E71E840" w14:textId="77777777" w:rsidR="00193A84" w:rsidRDefault="00193A84" w:rsidP="00193A84">
      <w:pPr>
        <w:jc w:val="both"/>
      </w:pPr>
    </w:p>
    <w:p w14:paraId="12E792BB" w14:textId="58809DAF" w:rsidR="00193A84" w:rsidRDefault="00193A84" w:rsidP="00C37D08">
      <w:pPr>
        <w:pStyle w:val="FINMAGliederungEbene1"/>
      </w:pPr>
      <w:bookmarkStart w:id="1" w:name="_Toc147141434"/>
      <w:r>
        <w:t>Weitere Mandate de</w:t>
      </w:r>
      <w:r w:rsidR="005D2709">
        <w:t xml:space="preserve">s </w:t>
      </w:r>
      <w:r w:rsidR="00697F22">
        <w:t>Wirtschaftsprüfers</w:t>
      </w:r>
      <w:r w:rsidR="005D2709">
        <w:t xml:space="preserve"> </w:t>
      </w:r>
      <w:r>
        <w:t>bei</w:t>
      </w:r>
      <w:r w:rsidR="00006719">
        <w:t>m geprüften Unternehmen</w:t>
      </w:r>
      <w:bookmarkEnd w:id="1"/>
      <w:r w:rsidR="004F737B">
        <w:t xml:space="preserve"> </w:t>
      </w:r>
    </w:p>
    <w:p w14:paraId="58F4BB3E" w14:textId="77777777" w:rsidR="004F737B" w:rsidRDefault="004F737B" w:rsidP="004F737B">
      <w:pPr>
        <w:pStyle w:val="Listenabsatz"/>
        <w:ind w:left="360"/>
        <w:jc w:val="both"/>
      </w:pPr>
    </w:p>
    <w:p w14:paraId="3FC012EA" w14:textId="13E3EC40" w:rsidR="00193A84" w:rsidRPr="006819F9" w:rsidRDefault="00405C5C" w:rsidP="00193A84">
      <w:pPr>
        <w:jc w:val="both"/>
        <w:rPr>
          <w:rFonts w:ascii="Arial" w:hAnsi="Arial" w:cs="Arial"/>
          <w:i/>
          <w:sz w:val="20"/>
          <w:szCs w:val="20"/>
          <w:highlight w:val="lightGray"/>
        </w:rPr>
      </w:pPr>
      <w:r>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00193A84" w:rsidRPr="00193A84">
        <w:rPr>
          <w:rFonts w:ascii="Arial" w:hAnsi="Arial" w:cs="Arial"/>
          <w:i/>
          <w:sz w:val="20"/>
          <w:szCs w:val="20"/>
          <w:highlight w:val="lightGray"/>
        </w:rPr>
        <w:t xml:space="preserve"> führt allfällige weitere Mandat</w:t>
      </w:r>
      <w:r w:rsidR="000C756C">
        <w:rPr>
          <w:rFonts w:ascii="Arial" w:hAnsi="Arial" w:cs="Arial"/>
          <w:i/>
          <w:sz w:val="20"/>
          <w:szCs w:val="20"/>
          <w:highlight w:val="lightGray"/>
        </w:rPr>
        <w:t>e (z.B. Abschlussprüfung, vereinbarte Prüfungshandlungen, Beratungsmandate, andere Prüfmandate und Dienstleistungen)</w:t>
      </w:r>
      <w:r w:rsidR="00193A84" w:rsidRPr="00193A84">
        <w:rPr>
          <w:rFonts w:ascii="Arial" w:hAnsi="Arial" w:cs="Arial"/>
          <w:i/>
          <w:sz w:val="20"/>
          <w:szCs w:val="20"/>
          <w:highlight w:val="lightGray"/>
        </w:rPr>
        <w:t xml:space="preserve"> </w:t>
      </w:r>
      <w:r w:rsidR="000C756C">
        <w:rPr>
          <w:rFonts w:ascii="Arial" w:hAnsi="Arial" w:cs="Arial"/>
          <w:i/>
          <w:sz w:val="20"/>
          <w:szCs w:val="20"/>
          <w:highlight w:val="lightGray"/>
        </w:rPr>
        <w:t xml:space="preserve">im berichtsrelevanten Zeitraum </w:t>
      </w:r>
      <w:r w:rsidR="00193A84" w:rsidRPr="00193A84">
        <w:rPr>
          <w:rFonts w:ascii="Arial" w:hAnsi="Arial" w:cs="Arial"/>
          <w:i/>
          <w:sz w:val="20"/>
          <w:szCs w:val="20"/>
          <w:highlight w:val="lightGray"/>
        </w:rPr>
        <w:t xml:space="preserve">bei </w:t>
      </w:r>
      <w:r w:rsidR="00006719">
        <w:rPr>
          <w:rFonts w:ascii="Arial" w:hAnsi="Arial" w:cs="Arial"/>
          <w:i/>
          <w:sz w:val="20"/>
          <w:szCs w:val="20"/>
          <w:highlight w:val="lightGray"/>
        </w:rPr>
        <w:t xml:space="preserve">dem Unternehmen </w:t>
      </w:r>
      <w:r w:rsidR="000C756C">
        <w:rPr>
          <w:rFonts w:ascii="Arial" w:hAnsi="Arial" w:cs="Arial"/>
          <w:i/>
          <w:sz w:val="20"/>
          <w:szCs w:val="20"/>
          <w:highlight w:val="lightGray"/>
        </w:rPr>
        <w:t xml:space="preserve">sowie bei Gruppengesellschaften, welche Teil des </w:t>
      </w:r>
      <w:r w:rsidR="00006719">
        <w:rPr>
          <w:rFonts w:ascii="Arial" w:hAnsi="Arial" w:cs="Arial"/>
          <w:i/>
          <w:sz w:val="20"/>
          <w:szCs w:val="20"/>
          <w:highlight w:val="lightGray"/>
        </w:rPr>
        <w:t xml:space="preserve">aufsichtlichen </w:t>
      </w:r>
      <w:r w:rsidR="000C756C">
        <w:rPr>
          <w:rFonts w:ascii="Arial" w:hAnsi="Arial" w:cs="Arial"/>
          <w:i/>
          <w:sz w:val="20"/>
          <w:szCs w:val="20"/>
          <w:highlight w:val="lightGray"/>
        </w:rPr>
        <w:t>Konsolidierungskreises sind, auf. Diesbezüglich sind die Art und der Umfang der Mandate zu beschreiben.</w:t>
      </w:r>
    </w:p>
    <w:p w14:paraId="46A2693C" w14:textId="77777777" w:rsidR="00885CE4" w:rsidRDefault="00885CE4" w:rsidP="00CB3EE6">
      <w:pPr>
        <w:pStyle w:val="Listenabsatz"/>
        <w:ind w:left="360"/>
        <w:jc w:val="both"/>
      </w:pPr>
    </w:p>
    <w:p w14:paraId="5FABEE8C" w14:textId="2FAB1156" w:rsidR="00193A84" w:rsidRDefault="00193A84" w:rsidP="00C37D08">
      <w:pPr>
        <w:pStyle w:val="FINMAGliederungEbene1"/>
      </w:pPr>
      <w:bookmarkStart w:id="2" w:name="_Toc147141435"/>
      <w:r>
        <w:t>Zusammenfassung der Prüfresultate</w:t>
      </w:r>
      <w:bookmarkEnd w:id="2"/>
    </w:p>
    <w:p w14:paraId="61EB6333" w14:textId="77777777" w:rsidR="00193A84" w:rsidRPr="00193A84" w:rsidRDefault="00193A84" w:rsidP="00193A84">
      <w:pPr>
        <w:jc w:val="both"/>
        <w:rPr>
          <w:rFonts w:cs="Arial"/>
          <w:szCs w:val="20"/>
        </w:rPr>
      </w:pPr>
    </w:p>
    <w:p w14:paraId="1E497C69" w14:textId="35C3EE37" w:rsidR="00885CE4" w:rsidRDefault="00177B3A" w:rsidP="004B7B6C">
      <w:pPr>
        <w:jc w:val="both"/>
        <w:rPr>
          <w:rFonts w:ascii="Arial" w:hAnsi="Arial" w:cs="Arial"/>
          <w:i/>
          <w:sz w:val="20"/>
          <w:szCs w:val="20"/>
          <w:highlight w:val="lightGray"/>
        </w:rPr>
      </w:pPr>
      <w:r>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Pr="00193A84">
        <w:rPr>
          <w:rFonts w:ascii="Arial" w:hAnsi="Arial" w:cs="Arial"/>
          <w:i/>
          <w:sz w:val="20"/>
          <w:szCs w:val="20"/>
          <w:highlight w:val="lightGray"/>
        </w:rPr>
        <w:t xml:space="preserve"> </w:t>
      </w:r>
      <w:r w:rsidR="00193A84" w:rsidRPr="001469E9">
        <w:rPr>
          <w:rFonts w:ascii="Arial" w:hAnsi="Arial" w:cs="Arial"/>
          <w:i/>
          <w:sz w:val="20"/>
          <w:szCs w:val="20"/>
          <w:highlight w:val="lightGray"/>
        </w:rPr>
        <w:t>vermerkt alle Beanstandungen und Empfehlungen des Berichtsjahres sowie der vorangegangenen Prüfperiode (jeweils mit Fristansetzung und zu treffenden bzw. getroffenen Massnahmen sowie der Stand der Umsetzung). Der Zusammenzug aller Beanstandungen und Empfehlungen ist in tabellarischer Form vorzunehmen</w:t>
      </w:r>
      <w:r w:rsidR="00D36D11" w:rsidRPr="001469E9">
        <w:rPr>
          <w:rFonts w:ascii="Arial" w:hAnsi="Arial" w:cs="Arial"/>
          <w:i/>
          <w:sz w:val="20"/>
          <w:szCs w:val="20"/>
          <w:highlight w:val="lightGray"/>
        </w:rPr>
        <w:t xml:space="preserve"> (für Beanstandungen oder Empfehlungen des Berichtsjahres mit Verweis auf die Seitenzahlen des Berichts für die entsprechende Detailausführung</w:t>
      </w:r>
      <w:r w:rsidR="001469E9">
        <w:rPr>
          <w:rFonts w:ascii="Arial" w:hAnsi="Arial" w:cs="Arial"/>
          <w:i/>
          <w:sz w:val="20"/>
          <w:szCs w:val="20"/>
          <w:highlight w:val="lightGray"/>
        </w:rPr>
        <w:t>)</w:t>
      </w:r>
      <w:r w:rsidR="00D36D11" w:rsidRPr="001469E9">
        <w:rPr>
          <w:rFonts w:ascii="Arial" w:hAnsi="Arial" w:cs="Arial"/>
          <w:i/>
          <w:sz w:val="20"/>
          <w:szCs w:val="20"/>
          <w:highlight w:val="lightGray"/>
        </w:rPr>
        <w:t xml:space="preserve">. Hat </w:t>
      </w:r>
      <w:r w:rsidR="008F1B20">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008F1B20" w:rsidRPr="00193A84">
        <w:rPr>
          <w:rFonts w:ascii="Arial" w:hAnsi="Arial" w:cs="Arial"/>
          <w:i/>
          <w:sz w:val="20"/>
          <w:szCs w:val="20"/>
          <w:highlight w:val="lightGray"/>
        </w:rPr>
        <w:t xml:space="preserve"> </w:t>
      </w:r>
      <w:r w:rsidR="00D36D11" w:rsidRPr="001469E9">
        <w:rPr>
          <w:rFonts w:ascii="Arial" w:hAnsi="Arial" w:cs="Arial"/>
          <w:i/>
          <w:sz w:val="20"/>
          <w:szCs w:val="20"/>
          <w:highlight w:val="lightGray"/>
        </w:rPr>
        <w:t>keine Beanstandungen oder Empfehlungen zum Berichts- oder Vorjahr anzubringen bzw. angebrac</w:t>
      </w:r>
      <w:r w:rsidR="001469E9" w:rsidRPr="001469E9">
        <w:rPr>
          <w:rFonts w:ascii="Arial" w:hAnsi="Arial" w:cs="Arial"/>
          <w:i/>
          <w:sz w:val="20"/>
          <w:szCs w:val="20"/>
          <w:highlight w:val="lightGray"/>
        </w:rPr>
        <w:t>h</w:t>
      </w:r>
      <w:r w:rsidR="00D36D11" w:rsidRPr="001469E9">
        <w:rPr>
          <w:rFonts w:ascii="Arial" w:hAnsi="Arial" w:cs="Arial"/>
          <w:i/>
          <w:sz w:val="20"/>
          <w:szCs w:val="20"/>
          <w:highlight w:val="lightGray"/>
        </w:rPr>
        <w:t>t, so hält sie dies fest.</w:t>
      </w:r>
      <w:r w:rsidR="001469E9" w:rsidRPr="001469E9">
        <w:rPr>
          <w:rFonts w:ascii="Arial" w:hAnsi="Arial" w:cs="Arial"/>
          <w:i/>
          <w:sz w:val="20"/>
          <w:szCs w:val="20"/>
          <w:highlight w:val="lightGray"/>
        </w:rPr>
        <w:t xml:space="preserve"> Beanstandungen, die wiederholt auftreten, sind speziell zu kennzeichnen. Werden Beanstandungen oder Empfehlungen identifiziert, deren Bereinigung bereits erledigt ist, sind diese dennoch im Bericht aufzuführen. Dabei soll ersichtlich dargestellt werden, weshalb sich ein Handlungsbedarf erübrigt.</w:t>
      </w:r>
      <w:r w:rsidR="001469E9" w:rsidRPr="00CB3EE6">
        <w:rPr>
          <w:rFonts w:ascii="Arial" w:hAnsi="Arial" w:cs="Arial"/>
          <w:i/>
          <w:sz w:val="20"/>
          <w:szCs w:val="20"/>
          <w:highlight w:val="lightGray"/>
        </w:rPr>
        <w:t xml:space="preserve"> </w:t>
      </w:r>
    </w:p>
    <w:p w14:paraId="04369CAB" w14:textId="77777777" w:rsidR="00885CE4" w:rsidRPr="00CB3EE6" w:rsidRDefault="00885CE4" w:rsidP="004B7B6C">
      <w:pPr>
        <w:jc w:val="both"/>
        <w:rPr>
          <w:rFonts w:ascii="Arial" w:hAnsi="Arial" w:cs="Arial"/>
          <w:i/>
          <w:sz w:val="20"/>
          <w:szCs w:val="20"/>
          <w:highlight w:val="lightGray"/>
        </w:rPr>
      </w:pPr>
    </w:p>
    <w:p w14:paraId="3E24FB67" w14:textId="77777777" w:rsidR="00A5682B" w:rsidRPr="00CB3EE6" w:rsidRDefault="00D36D11" w:rsidP="00CB3EE6">
      <w:pPr>
        <w:jc w:val="both"/>
        <w:rPr>
          <w:rFonts w:cs="Arial"/>
          <w:i/>
          <w:szCs w:val="20"/>
          <w:highlight w:val="lightGray"/>
        </w:rPr>
      </w:pPr>
      <w:r w:rsidRPr="00CB3EE6">
        <w:rPr>
          <w:rFonts w:ascii="Arial" w:hAnsi="Arial" w:cs="Arial"/>
          <w:i/>
          <w:sz w:val="20"/>
          <w:szCs w:val="20"/>
          <w:highlight w:val="lightGray"/>
        </w:rPr>
        <w:t>Die Beanstandungen und Empfehlungen sind</w:t>
      </w:r>
      <w:r w:rsidR="007E12DD" w:rsidRPr="00CB3EE6">
        <w:rPr>
          <w:rFonts w:ascii="Arial" w:hAnsi="Arial" w:cs="Arial"/>
          <w:i/>
          <w:sz w:val="20"/>
          <w:szCs w:val="20"/>
          <w:highlight w:val="lightGray"/>
        </w:rPr>
        <w:t xml:space="preserve"> gemäss der in der</w:t>
      </w:r>
      <w:r w:rsidR="004F737B" w:rsidRPr="00CB3EE6">
        <w:rPr>
          <w:rFonts w:ascii="Arial" w:hAnsi="Arial" w:cs="Arial"/>
          <w:i/>
          <w:sz w:val="20"/>
          <w:szCs w:val="20"/>
          <w:highlight w:val="lightGray"/>
        </w:rPr>
        <w:t xml:space="preserve"> Revisionsprüfungsrichtlinie festgelegten Klassifizierung </w:t>
      </w:r>
      <w:r w:rsidR="007E12DD" w:rsidRPr="00CB3EE6">
        <w:rPr>
          <w:rFonts w:ascii="Arial" w:hAnsi="Arial" w:cs="Arial"/>
          <w:i/>
          <w:sz w:val="20"/>
          <w:szCs w:val="20"/>
          <w:highlight w:val="lightGray"/>
        </w:rPr>
        <w:t>auszuweisen</w:t>
      </w:r>
      <w:r w:rsidR="004F737B" w:rsidRPr="00CB3EE6">
        <w:rPr>
          <w:rFonts w:ascii="Arial" w:hAnsi="Arial" w:cs="Arial"/>
          <w:i/>
          <w:sz w:val="20"/>
          <w:szCs w:val="20"/>
          <w:highlight w:val="lightGray"/>
        </w:rPr>
        <w:t xml:space="preserve">. </w:t>
      </w:r>
    </w:p>
    <w:p w14:paraId="2BCD697F" w14:textId="77777777" w:rsidR="007E12DD" w:rsidRDefault="007E12DD" w:rsidP="00A5682B">
      <w:pPr>
        <w:pStyle w:val="Listenabsatz"/>
        <w:jc w:val="both"/>
      </w:pPr>
    </w:p>
    <w:p w14:paraId="02550721" w14:textId="77777777" w:rsidR="004A6299" w:rsidRPr="00A5682B" w:rsidRDefault="00A5682B" w:rsidP="00C37D08">
      <w:pPr>
        <w:pStyle w:val="FINMAGliederungEbene2"/>
      </w:pPr>
      <w:bookmarkStart w:id="3" w:name="_Toc147141436"/>
      <w:r w:rsidRPr="00A5682B">
        <w:t>Beanstandungen</w:t>
      </w:r>
      <w:bookmarkEnd w:id="3"/>
    </w:p>
    <w:p w14:paraId="12FF363D" w14:textId="77777777" w:rsidR="00A5682B" w:rsidRDefault="00A5682B" w:rsidP="00624857">
      <w:pPr>
        <w:jc w:val="both"/>
        <w:rPr>
          <w:rFonts w:ascii="Arial" w:hAnsi="Arial" w:cs="Arial"/>
          <w:sz w:val="20"/>
          <w:szCs w:val="20"/>
        </w:rPr>
      </w:pPr>
    </w:p>
    <w:p w14:paraId="63D06CF2" w14:textId="77777777" w:rsidR="007E12DD" w:rsidRPr="00A5682B" w:rsidRDefault="00A5682B" w:rsidP="00624857">
      <w:pPr>
        <w:jc w:val="both"/>
        <w:rPr>
          <w:rFonts w:ascii="Arial" w:hAnsi="Arial" w:cs="Arial"/>
          <w:i/>
          <w:sz w:val="20"/>
          <w:szCs w:val="20"/>
        </w:rPr>
      </w:pPr>
      <w:r w:rsidRPr="00897AEF">
        <w:rPr>
          <w:rFonts w:ascii="Arial" w:hAnsi="Arial" w:cs="Arial"/>
          <w:i/>
          <w:sz w:val="20"/>
          <w:szCs w:val="20"/>
          <w:highlight w:val="yellow"/>
        </w:rPr>
        <w:t>Tabelle / Text</w:t>
      </w:r>
    </w:p>
    <w:p w14:paraId="4DF065E4" w14:textId="77777777" w:rsidR="00A5682B" w:rsidRDefault="00A5682B" w:rsidP="00A5682B">
      <w:pPr>
        <w:jc w:val="both"/>
      </w:pPr>
    </w:p>
    <w:p w14:paraId="1A81BDD6" w14:textId="77777777" w:rsidR="00A5682B" w:rsidRDefault="00A5682B" w:rsidP="00C37D08">
      <w:pPr>
        <w:pStyle w:val="FINMAGliederungEbene2"/>
      </w:pPr>
      <w:bookmarkStart w:id="4" w:name="_Toc147141437"/>
      <w:r w:rsidRPr="00A5682B">
        <w:t>Empfehlungen</w:t>
      </w:r>
      <w:bookmarkEnd w:id="4"/>
      <w:r w:rsidRPr="00A5682B">
        <w:t xml:space="preserve"> </w:t>
      </w:r>
    </w:p>
    <w:p w14:paraId="7E5C84B1" w14:textId="77777777" w:rsidR="00A5682B" w:rsidRDefault="00A5682B" w:rsidP="00A5682B">
      <w:pPr>
        <w:jc w:val="both"/>
      </w:pPr>
    </w:p>
    <w:p w14:paraId="3E5B8538"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58128631" w14:textId="77777777" w:rsidR="00A5682B" w:rsidRDefault="00A5682B" w:rsidP="00A5682B">
      <w:pPr>
        <w:jc w:val="both"/>
      </w:pPr>
    </w:p>
    <w:p w14:paraId="59B2DF44" w14:textId="77777777" w:rsidR="00A5682B" w:rsidRDefault="00A5682B" w:rsidP="00C37D08">
      <w:pPr>
        <w:pStyle w:val="FINMAGliederungEbene2"/>
      </w:pPr>
      <w:bookmarkStart w:id="5" w:name="_Toc147141438"/>
      <w:r w:rsidRPr="00A5682B">
        <w:t>Beanstandungen</w:t>
      </w:r>
      <w:r>
        <w:t xml:space="preserve"> des Vorjahres</w:t>
      </w:r>
      <w:bookmarkEnd w:id="5"/>
    </w:p>
    <w:p w14:paraId="3E2C08E6" w14:textId="77777777" w:rsidR="00A5682B" w:rsidRDefault="00A5682B" w:rsidP="00A5682B">
      <w:pPr>
        <w:jc w:val="both"/>
      </w:pPr>
    </w:p>
    <w:p w14:paraId="3A5E2730" w14:textId="77777777" w:rsidR="00A5682B" w:rsidRDefault="00A5682B" w:rsidP="00A5682B">
      <w:pPr>
        <w:jc w:val="both"/>
      </w:pPr>
      <w:r w:rsidRPr="00897AEF">
        <w:rPr>
          <w:rFonts w:ascii="Arial" w:hAnsi="Arial" w:cs="Arial"/>
          <w:i/>
          <w:sz w:val="20"/>
          <w:szCs w:val="20"/>
          <w:highlight w:val="yellow"/>
        </w:rPr>
        <w:t>Tabelle / Text</w:t>
      </w:r>
    </w:p>
    <w:p w14:paraId="491228CA" w14:textId="77777777" w:rsidR="00885CE4" w:rsidRPr="00A5682B" w:rsidRDefault="00885CE4" w:rsidP="00A5682B">
      <w:pPr>
        <w:jc w:val="both"/>
      </w:pPr>
    </w:p>
    <w:p w14:paraId="58B3AABE" w14:textId="77777777" w:rsidR="00A5682B" w:rsidRDefault="00A5682B" w:rsidP="00C37D08">
      <w:pPr>
        <w:pStyle w:val="FINMAGliederungEbene2"/>
      </w:pPr>
      <w:bookmarkStart w:id="6" w:name="_Toc147141439"/>
      <w:r>
        <w:t>Empfehlungen des Vorjahres</w:t>
      </w:r>
      <w:bookmarkEnd w:id="6"/>
    </w:p>
    <w:p w14:paraId="7FAA214C" w14:textId="77777777" w:rsidR="00A5682B" w:rsidRDefault="00A5682B" w:rsidP="00A5682B">
      <w:pPr>
        <w:jc w:val="both"/>
      </w:pPr>
    </w:p>
    <w:p w14:paraId="3CCC5E7D"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0751C13F" w14:textId="77777777" w:rsidR="00A5682B" w:rsidRDefault="00A5682B" w:rsidP="00A5682B">
      <w:pPr>
        <w:jc w:val="both"/>
      </w:pPr>
    </w:p>
    <w:p w14:paraId="666F4D93" w14:textId="4835A560" w:rsidR="00885CE4" w:rsidRPr="00C44852" w:rsidRDefault="00A30784" w:rsidP="00C37D08">
      <w:pPr>
        <w:pStyle w:val="FINMAGliederungEbene2"/>
      </w:pPr>
      <w:bookmarkStart w:id="7" w:name="_Toc147141440"/>
      <w:r w:rsidRPr="00C44852">
        <w:t xml:space="preserve">Bestätigung zu </w:t>
      </w:r>
      <w:r w:rsidR="00885CE4" w:rsidRPr="00C44852">
        <w:t>Vorgaben der FMA</w:t>
      </w:r>
      <w:r w:rsidR="00ED4E22">
        <w:t xml:space="preserve"> (Abwicklungsfähigkeit)</w:t>
      </w:r>
      <w:bookmarkEnd w:id="7"/>
    </w:p>
    <w:p w14:paraId="56FFE960" w14:textId="77777777" w:rsidR="00885CE4" w:rsidRPr="00C44852" w:rsidRDefault="00885CE4" w:rsidP="00CB3EE6">
      <w:pPr>
        <w:jc w:val="both"/>
      </w:pPr>
    </w:p>
    <w:p w14:paraId="32A8F413" w14:textId="7E8CF3D8" w:rsidR="00885CE4" w:rsidRPr="00CB3EE6" w:rsidRDefault="008F1B20" w:rsidP="00CB3EE6">
      <w:pPr>
        <w:jc w:val="both"/>
        <w:rPr>
          <w:rFonts w:cs="Arial"/>
          <w:i/>
          <w:szCs w:val="20"/>
        </w:rPr>
      </w:pPr>
      <w:r>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Pr="00193A84">
        <w:rPr>
          <w:rFonts w:ascii="Arial" w:hAnsi="Arial" w:cs="Arial"/>
          <w:i/>
          <w:sz w:val="20"/>
          <w:szCs w:val="20"/>
          <w:highlight w:val="lightGray"/>
        </w:rPr>
        <w:t xml:space="preserve"> </w:t>
      </w:r>
      <w:r w:rsidR="00633761" w:rsidRPr="00CB3EE6">
        <w:rPr>
          <w:rFonts w:ascii="Arial" w:hAnsi="Arial" w:cs="Arial"/>
          <w:i/>
          <w:sz w:val="20"/>
          <w:szCs w:val="20"/>
          <w:highlight w:val="lightGray"/>
        </w:rPr>
        <w:t>bestätigt</w:t>
      </w:r>
      <w:r w:rsidR="004B7B6C" w:rsidRPr="00CB3EE6">
        <w:rPr>
          <w:rFonts w:ascii="Arial" w:hAnsi="Arial" w:cs="Arial"/>
          <w:i/>
          <w:sz w:val="20"/>
          <w:szCs w:val="20"/>
          <w:highlight w:val="lightGray"/>
        </w:rPr>
        <w:t xml:space="preserve"> </w:t>
      </w:r>
      <w:r w:rsidR="00633761" w:rsidRPr="00CB3EE6">
        <w:rPr>
          <w:rFonts w:ascii="Arial" w:hAnsi="Arial" w:cs="Arial"/>
          <w:i/>
          <w:sz w:val="20"/>
          <w:szCs w:val="20"/>
          <w:highlight w:val="lightGray"/>
        </w:rPr>
        <w:t xml:space="preserve">an dieser Stelle </w:t>
      </w:r>
      <w:r w:rsidR="004B7B6C" w:rsidRPr="00CB3EE6">
        <w:rPr>
          <w:rFonts w:ascii="Arial" w:hAnsi="Arial" w:cs="Arial"/>
          <w:i/>
          <w:sz w:val="20"/>
          <w:szCs w:val="20"/>
          <w:highlight w:val="lightGray"/>
        </w:rPr>
        <w:t xml:space="preserve">die Einhaltung der im Berichtszeitraum </w:t>
      </w:r>
      <w:r w:rsidR="00167878" w:rsidRPr="00CB3EE6">
        <w:rPr>
          <w:rFonts w:ascii="Arial" w:hAnsi="Arial" w:cs="Arial"/>
          <w:i/>
          <w:sz w:val="20"/>
          <w:szCs w:val="20"/>
          <w:highlight w:val="lightGray"/>
        </w:rPr>
        <w:t>anwendbaren</w:t>
      </w:r>
      <w:r w:rsidR="004B7B6C"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aufsichtlichen Verwaltungsakte </w:t>
      </w:r>
      <w:r w:rsidR="00A4767C" w:rsidRPr="00CB3EE6">
        <w:rPr>
          <w:rFonts w:ascii="Arial" w:hAnsi="Arial" w:cs="Arial"/>
          <w:i/>
          <w:sz w:val="20"/>
          <w:szCs w:val="20"/>
          <w:highlight w:val="lightGray"/>
        </w:rPr>
        <w:t>der FMA</w:t>
      </w:r>
      <w:r w:rsidR="004B7B6C" w:rsidRPr="00C44852">
        <w:rPr>
          <w:rFonts w:ascii="Arial" w:hAnsi="Arial" w:cs="Arial"/>
          <w:i/>
          <w:sz w:val="20"/>
          <w:szCs w:val="20"/>
          <w:highlight w:val="lightGray"/>
        </w:rPr>
        <w:t>,</w:t>
      </w:r>
      <w:r w:rsidR="004B7B6C" w:rsidRPr="00CB3EE6">
        <w:rPr>
          <w:rFonts w:ascii="Arial" w:hAnsi="Arial" w:cs="Arial"/>
          <w:i/>
          <w:sz w:val="20"/>
          <w:szCs w:val="20"/>
          <w:highlight w:val="lightGray"/>
        </w:rPr>
        <w:t xml:space="preserve"> </w:t>
      </w:r>
      <w:r w:rsidR="0030307F" w:rsidRPr="00CB3EE6">
        <w:rPr>
          <w:rFonts w:ascii="Arial" w:hAnsi="Arial" w:cs="Arial"/>
          <w:i/>
          <w:sz w:val="20"/>
          <w:szCs w:val="20"/>
          <w:highlight w:val="lightGray"/>
        </w:rPr>
        <w:t>die</w:t>
      </w:r>
      <w:r w:rsidR="004B7B6C" w:rsidRPr="00C44852">
        <w:rPr>
          <w:rFonts w:ascii="Arial" w:hAnsi="Arial" w:cs="Arial"/>
          <w:i/>
          <w:sz w:val="20"/>
          <w:szCs w:val="20"/>
          <w:highlight w:val="lightGray"/>
        </w:rPr>
        <w:t xml:space="preserve"> explizit </w:t>
      </w:r>
      <w:r w:rsidR="00A4767C" w:rsidRPr="00CB3EE6">
        <w:rPr>
          <w:rFonts w:ascii="Arial" w:hAnsi="Arial" w:cs="Arial"/>
          <w:i/>
          <w:sz w:val="20"/>
          <w:szCs w:val="20"/>
          <w:highlight w:val="lightGray"/>
        </w:rPr>
        <w:t xml:space="preserve">und individuell für </w:t>
      </w:r>
      <w:r w:rsidR="00006719">
        <w:rPr>
          <w:rFonts w:ascii="Arial" w:hAnsi="Arial" w:cs="Arial"/>
          <w:i/>
          <w:sz w:val="20"/>
          <w:szCs w:val="20"/>
          <w:highlight w:val="lightGray"/>
        </w:rPr>
        <w:t>das zu prüfende Unternehmen</w:t>
      </w:r>
      <w:r w:rsidR="004B7B6C" w:rsidRPr="00C44852">
        <w:rPr>
          <w:rFonts w:ascii="Arial" w:hAnsi="Arial" w:cs="Arial"/>
          <w:i/>
          <w:sz w:val="20"/>
          <w:szCs w:val="20"/>
          <w:highlight w:val="lightGray"/>
        </w:rPr>
        <w:t xml:space="preserve"> </w:t>
      </w:r>
      <w:r w:rsidR="00272AAA">
        <w:rPr>
          <w:rFonts w:ascii="Arial" w:hAnsi="Arial" w:cs="Arial"/>
          <w:i/>
          <w:sz w:val="20"/>
          <w:szCs w:val="20"/>
          <w:highlight w:val="lightGray"/>
        </w:rPr>
        <w:t xml:space="preserve">im Zusammenhang mit dessen Abwicklungsfähigkeit </w:t>
      </w:r>
      <w:r w:rsidR="00A4767C" w:rsidRPr="00CB3EE6">
        <w:rPr>
          <w:rFonts w:ascii="Arial" w:hAnsi="Arial" w:cs="Arial"/>
          <w:i/>
          <w:sz w:val="20"/>
          <w:szCs w:val="20"/>
          <w:highlight w:val="lightGray"/>
        </w:rPr>
        <w:t>gelten</w:t>
      </w:r>
      <w:r w:rsidR="004B7B6C" w:rsidRPr="00C44852">
        <w:rPr>
          <w:rFonts w:ascii="Arial" w:hAnsi="Arial" w:cs="Arial"/>
          <w:i/>
          <w:sz w:val="20"/>
          <w:szCs w:val="20"/>
          <w:highlight w:val="lightGray"/>
        </w:rPr>
        <w:t>.</w:t>
      </w:r>
      <w:r w:rsidR="0030307F"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Zu berücksichtigen </w:t>
      </w:r>
      <w:r w:rsidR="0030307F" w:rsidRPr="00CB3EE6">
        <w:rPr>
          <w:rFonts w:ascii="Arial" w:hAnsi="Arial" w:cs="Arial"/>
          <w:i/>
          <w:sz w:val="20"/>
          <w:szCs w:val="20"/>
          <w:highlight w:val="lightGray"/>
        </w:rPr>
        <w:t xml:space="preserve">sind </w:t>
      </w:r>
      <w:r w:rsidR="00167878" w:rsidRPr="00CB3EE6">
        <w:rPr>
          <w:rFonts w:ascii="Arial" w:hAnsi="Arial" w:cs="Arial"/>
          <w:i/>
          <w:sz w:val="20"/>
          <w:szCs w:val="20"/>
          <w:highlight w:val="lightGray"/>
        </w:rPr>
        <w:t xml:space="preserve">gegebenenfalls </w:t>
      </w:r>
      <w:r w:rsidR="0030307F" w:rsidRPr="00CB3EE6">
        <w:rPr>
          <w:rFonts w:ascii="Arial" w:hAnsi="Arial" w:cs="Arial"/>
          <w:i/>
          <w:sz w:val="20"/>
          <w:szCs w:val="20"/>
          <w:highlight w:val="lightGray"/>
        </w:rPr>
        <w:t>auch nicht-normative Akte (z</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B</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 xml:space="preserve"> Empfehlungen), sofern diese die gegenständlichen </w:t>
      </w:r>
      <w:r w:rsidR="00167878" w:rsidRPr="00CB3EE6">
        <w:rPr>
          <w:rFonts w:ascii="Arial" w:hAnsi="Arial" w:cs="Arial"/>
          <w:i/>
          <w:sz w:val="20"/>
          <w:szCs w:val="20"/>
          <w:highlight w:val="lightGray"/>
        </w:rPr>
        <w:t>aufsichtlichen Verwaltungsakte</w:t>
      </w:r>
      <w:r w:rsidR="0030307F" w:rsidRPr="00CB3EE6">
        <w:rPr>
          <w:rFonts w:ascii="Arial" w:hAnsi="Arial" w:cs="Arial"/>
          <w:i/>
          <w:sz w:val="20"/>
          <w:szCs w:val="20"/>
          <w:highlight w:val="lightGray"/>
        </w:rPr>
        <w:t xml:space="preserve"> definieren oder näher umschreiben.</w:t>
      </w:r>
    </w:p>
    <w:p w14:paraId="16A83B78" w14:textId="77777777" w:rsidR="004B7B6C" w:rsidRDefault="004B7B6C" w:rsidP="00CB3EE6">
      <w:pPr>
        <w:jc w:val="both"/>
      </w:pPr>
    </w:p>
    <w:p w14:paraId="4EFE37C5" w14:textId="73F017B0" w:rsidR="00004C8E" w:rsidRDefault="00004C8E" w:rsidP="00C37D08">
      <w:pPr>
        <w:pStyle w:val="FINMAGliederungEbene2"/>
      </w:pPr>
      <w:bookmarkStart w:id="8" w:name="_Toc147141441"/>
      <w:r>
        <w:t xml:space="preserve">Wesentliche Feststellungen </w:t>
      </w:r>
      <w:r w:rsidR="00892678">
        <w:t>der</w:t>
      </w:r>
      <w:r>
        <w:t xml:space="preserve"> Interne</w:t>
      </w:r>
      <w:r w:rsidR="000C092F">
        <w:t>n</w:t>
      </w:r>
      <w:r>
        <w:t xml:space="preserve"> Revision</w:t>
      </w:r>
      <w:r w:rsidR="00ED4E22">
        <w:t xml:space="preserve"> (Abwicklungsfähigkeit)</w:t>
      </w:r>
      <w:bookmarkEnd w:id="8"/>
    </w:p>
    <w:p w14:paraId="09AE5DDB" w14:textId="77777777" w:rsidR="00004C8E" w:rsidRDefault="00004C8E" w:rsidP="00CB3EE6">
      <w:pPr>
        <w:pStyle w:val="Listenabsatz"/>
        <w:ind w:left="0"/>
        <w:jc w:val="both"/>
        <w:rPr>
          <w:rFonts w:cs="Arial"/>
          <w:i/>
          <w:szCs w:val="20"/>
          <w:highlight w:val="lightGray"/>
        </w:rPr>
      </w:pPr>
    </w:p>
    <w:p w14:paraId="01535382" w14:textId="05010E46" w:rsidR="00004C8E" w:rsidRPr="00004C8E" w:rsidRDefault="008F1B20" w:rsidP="00CB3EE6">
      <w:pPr>
        <w:pStyle w:val="Listenabsatz"/>
        <w:ind w:left="0"/>
        <w:jc w:val="both"/>
        <w:rPr>
          <w:rFonts w:cs="Arial"/>
          <w:i/>
          <w:szCs w:val="20"/>
          <w:highlight w:val="lightGray"/>
        </w:rPr>
      </w:pPr>
      <w:r>
        <w:rPr>
          <w:rFonts w:cs="Arial"/>
          <w:i/>
          <w:szCs w:val="20"/>
          <w:highlight w:val="lightGray"/>
        </w:rPr>
        <w:t xml:space="preserve">Der </w:t>
      </w:r>
      <w:r w:rsidR="00697F22" w:rsidRPr="00697F22">
        <w:rPr>
          <w:rFonts w:cs="Arial"/>
          <w:i/>
          <w:szCs w:val="20"/>
          <w:highlight w:val="lightGray"/>
        </w:rPr>
        <w:t>Wirtschaftsprüfer</w:t>
      </w:r>
      <w:r w:rsidRPr="00193A84">
        <w:rPr>
          <w:rFonts w:cs="Arial"/>
          <w:i/>
          <w:szCs w:val="20"/>
          <w:highlight w:val="lightGray"/>
        </w:rPr>
        <w:t xml:space="preserve"> </w:t>
      </w:r>
      <w:r w:rsidR="00004C8E" w:rsidRPr="00004C8E">
        <w:rPr>
          <w:rFonts w:cs="Arial"/>
          <w:i/>
          <w:szCs w:val="20"/>
          <w:highlight w:val="lightGray"/>
        </w:rPr>
        <w:t>beschreibt an dieser Stelle allfällige wesentliche Feststellungen</w:t>
      </w:r>
      <w:r w:rsidR="00776C82">
        <w:rPr>
          <w:rFonts w:cs="Arial"/>
          <w:i/>
          <w:szCs w:val="20"/>
          <w:highlight w:val="lightGray"/>
        </w:rPr>
        <w:t xml:space="preserve"> (v.a. Feststellungen mit hoher Gewichtung)</w:t>
      </w:r>
      <w:r w:rsidR="00776C82" w:rsidRPr="00004C8E">
        <w:rPr>
          <w:rFonts w:cs="Arial"/>
          <w:i/>
          <w:szCs w:val="20"/>
          <w:highlight w:val="lightGray"/>
        </w:rPr>
        <w:t>,</w:t>
      </w:r>
      <w:r w:rsidR="00776C82">
        <w:rPr>
          <w:rFonts w:cs="Arial"/>
          <w:i/>
          <w:szCs w:val="20"/>
          <w:highlight w:val="lightGray"/>
        </w:rPr>
        <w:t xml:space="preserve"> </w:t>
      </w:r>
      <w:r w:rsidR="00004C8E" w:rsidRPr="00004C8E">
        <w:rPr>
          <w:rFonts w:cs="Arial"/>
          <w:i/>
          <w:szCs w:val="20"/>
          <w:highlight w:val="lightGray"/>
        </w:rPr>
        <w:t xml:space="preserve">durch </w:t>
      </w:r>
      <w:r w:rsidR="00004C8E">
        <w:rPr>
          <w:rFonts w:cs="Arial"/>
          <w:i/>
          <w:szCs w:val="20"/>
          <w:highlight w:val="lightGray"/>
        </w:rPr>
        <w:t xml:space="preserve">die </w:t>
      </w:r>
      <w:r w:rsidR="0005430B">
        <w:rPr>
          <w:rFonts w:cs="Arial"/>
          <w:i/>
          <w:szCs w:val="20"/>
          <w:highlight w:val="lightGray"/>
        </w:rPr>
        <w:t>I</w:t>
      </w:r>
      <w:r w:rsidR="00004C8E">
        <w:rPr>
          <w:rFonts w:cs="Arial"/>
          <w:i/>
          <w:szCs w:val="20"/>
          <w:highlight w:val="lightGray"/>
        </w:rPr>
        <w:t>nterne Revision.</w:t>
      </w:r>
      <w:r w:rsidR="00004C8E" w:rsidRPr="00004C8E">
        <w:rPr>
          <w:rFonts w:cs="Arial"/>
          <w:i/>
          <w:szCs w:val="20"/>
          <w:highlight w:val="lightGray"/>
        </w:rPr>
        <w:t xml:space="preserve"> </w:t>
      </w:r>
      <w:r>
        <w:rPr>
          <w:rFonts w:cs="Arial"/>
          <w:i/>
          <w:szCs w:val="20"/>
          <w:highlight w:val="lightGray"/>
        </w:rPr>
        <w:t xml:space="preserve">Der </w:t>
      </w:r>
      <w:r w:rsidR="00697F22" w:rsidRPr="00697F22">
        <w:rPr>
          <w:rFonts w:cs="Arial"/>
          <w:i/>
          <w:szCs w:val="20"/>
          <w:highlight w:val="lightGray"/>
        </w:rPr>
        <w:t>Wirtschaftsprüfer</w:t>
      </w:r>
      <w:r w:rsidRPr="00193A84">
        <w:rPr>
          <w:rFonts w:cs="Arial"/>
          <w:i/>
          <w:szCs w:val="20"/>
          <w:highlight w:val="lightGray"/>
        </w:rPr>
        <w:t xml:space="preserve"> </w:t>
      </w:r>
      <w:r w:rsidR="00004C8E" w:rsidRPr="00004C8E">
        <w:rPr>
          <w:rFonts w:cs="Arial"/>
          <w:i/>
          <w:szCs w:val="20"/>
          <w:highlight w:val="lightGray"/>
        </w:rPr>
        <w:t>hat die Feststellungen</w:t>
      </w:r>
      <w:r w:rsidR="00CD5C34">
        <w:rPr>
          <w:rFonts w:cs="Arial"/>
          <w:i/>
          <w:szCs w:val="20"/>
          <w:highlight w:val="lightGray"/>
        </w:rPr>
        <w:t xml:space="preserve"> </w:t>
      </w:r>
      <w:r w:rsidR="00004C8E" w:rsidRPr="00004C8E">
        <w:rPr>
          <w:rFonts w:cs="Arial"/>
          <w:i/>
          <w:szCs w:val="20"/>
          <w:highlight w:val="lightGray"/>
        </w:rPr>
        <w:t xml:space="preserve">sowie deren Auswirkungen auf </w:t>
      </w:r>
      <w:r w:rsidR="00272AAA">
        <w:rPr>
          <w:rFonts w:cs="Arial"/>
          <w:i/>
          <w:szCs w:val="20"/>
          <w:highlight w:val="lightGray"/>
        </w:rPr>
        <w:t>die Abwicklungsfähigkeit</w:t>
      </w:r>
      <w:r w:rsidR="00004C8E" w:rsidRPr="00004C8E">
        <w:rPr>
          <w:rFonts w:cs="Arial"/>
          <w:i/>
          <w:szCs w:val="20"/>
          <w:highlight w:val="lightGray"/>
        </w:rPr>
        <w:t xml:space="preserve"> angemessen zu würdigen. </w:t>
      </w:r>
      <w:r>
        <w:rPr>
          <w:rFonts w:cs="Arial"/>
          <w:i/>
          <w:szCs w:val="20"/>
          <w:highlight w:val="lightGray"/>
        </w:rPr>
        <w:t xml:space="preserve">Der </w:t>
      </w:r>
      <w:r w:rsidR="00697F22" w:rsidRPr="00697F22">
        <w:rPr>
          <w:rFonts w:cs="Arial"/>
          <w:i/>
          <w:szCs w:val="20"/>
          <w:highlight w:val="lightGray"/>
        </w:rPr>
        <w:t>Wirtschaftsprüfer</w:t>
      </w:r>
      <w:r w:rsidRPr="00193A84">
        <w:rPr>
          <w:rFonts w:cs="Arial"/>
          <w:i/>
          <w:szCs w:val="20"/>
          <w:highlight w:val="lightGray"/>
        </w:rPr>
        <w:t xml:space="preserve"> </w:t>
      </w:r>
      <w:r w:rsidR="00916455">
        <w:rPr>
          <w:rFonts w:cs="Arial"/>
          <w:i/>
          <w:szCs w:val="20"/>
          <w:highlight w:val="lightGray"/>
        </w:rPr>
        <w:t xml:space="preserve">hat an dieser Stelle auch eine Auflistung sämtlicher Prüfthemen der Internen Revision im Berichtszeitraum darzustellen. </w:t>
      </w:r>
      <w:r w:rsidR="00004C8E" w:rsidRPr="00004C8E">
        <w:rPr>
          <w:rFonts w:cs="Arial"/>
          <w:i/>
          <w:szCs w:val="20"/>
          <w:highlight w:val="lightGray"/>
        </w:rPr>
        <w:t>Sofern die Feststellungen an anderer Stelle im Bericht dargestellt werden, ist eine entsprechende Referenz ausreichend.</w:t>
      </w:r>
    </w:p>
    <w:p w14:paraId="74B7577F" w14:textId="77777777" w:rsidR="00004C8E" w:rsidRDefault="00004C8E" w:rsidP="00CB3EE6">
      <w:pPr>
        <w:pStyle w:val="Listenabsatz"/>
        <w:ind w:left="0"/>
        <w:jc w:val="both"/>
      </w:pPr>
    </w:p>
    <w:p w14:paraId="38A4A8F6" w14:textId="07FFD411" w:rsidR="004B7B6C" w:rsidRPr="00CB3EE6" w:rsidRDefault="00AB7758" w:rsidP="00C37D08">
      <w:pPr>
        <w:pStyle w:val="FINMAGliederungEbene2"/>
      </w:pPr>
      <w:bookmarkStart w:id="9" w:name="_Toc147141442"/>
      <w:r>
        <w:t xml:space="preserve">Wesentliche </w:t>
      </w:r>
      <w:r w:rsidR="00F1444D" w:rsidRPr="00F1444D">
        <w:t xml:space="preserve">Feststellungen </w:t>
      </w:r>
      <w:r w:rsidR="00F1444D">
        <w:t xml:space="preserve">durch </w:t>
      </w:r>
      <w:r w:rsidR="00F1444D" w:rsidRPr="00F1444D">
        <w:t>Dritte</w:t>
      </w:r>
      <w:r w:rsidR="00ED4E22">
        <w:t xml:space="preserve"> (Abwicklungsfähigkeit)</w:t>
      </w:r>
      <w:bookmarkEnd w:id="9"/>
    </w:p>
    <w:p w14:paraId="1FF2B41E" w14:textId="77777777" w:rsidR="004B7B6C" w:rsidRDefault="004B7B6C" w:rsidP="00CB3EE6">
      <w:pPr>
        <w:jc w:val="both"/>
      </w:pPr>
    </w:p>
    <w:p w14:paraId="487BEC52" w14:textId="73F2F7B0" w:rsidR="00306B11" w:rsidRPr="00F66FBC" w:rsidRDefault="00B87775" w:rsidP="00501D7B">
      <w:pPr>
        <w:pStyle w:val="Listenabsatz"/>
        <w:ind w:left="0"/>
        <w:rPr>
          <w:highlight w:val="lightGray"/>
        </w:rPr>
      </w:pPr>
      <w:r w:rsidRPr="00501D7B">
        <w:rPr>
          <w:i/>
          <w:highlight w:val="lightGray"/>
        </w:rPr>
        <w:t xml:space="preserve">Der </w:t>
      </w:r>
      <w:r w:rsidR="00697F22" w:rsidRPr="00697F22">
        <w:rPr>
          <w:rFonts w:cs="Arial"/>
          <w:i/>
          <w:szCs w:val="20"/>
          <w:highlight w:val="lightGray"/>
        </w:rPr>
        <w:t>Wirtschaftsprüfer</w:t>
      </w:r>
      <w:r w:rsidRPr="00501D7B">
        <w:rPr>
          <w:i/>
          <w:highlight w:val="lightGray"/>
        </w:rPr>
        <w:t xml:space="preserve"> </w:t>
      </w:r>
      <w:r w:rsidR="00633761" w:rsidRPr="00501D7B">
        <w:rPr>
          <w:i/>
          <w:highlight w:val="lightGray"/>
        </w:rPr>
        <w:t xml:space="preserve">beschreibt an dieser Stelle allfällige </w:t>
      </w:r>
      <w:r w:rsidR="00AB7758" w:rsidRPr="00501D7B">
        <w:rPr>
          <w:i/>
          <w:highlight w:val="lightGray"/>
        </w:rPr>
        <w:t>wesentliche</w:t>
      </w:r>
      <w:r w:rsidR="00912129" w:rsidRPr="00501D7B">
        <w:rPr>
          <w:i/>
          <w:highlight w:val="lightGray"/>
        </w:rPr>
        <w:t xml:space="preserve">, </w:t>
      </w:r>
      <w:r w:rsidR="00ED4E22" w:rsidRPr="00501D7B">
        <w:rPr>
          <w:i/>
          <w:highlight w:val="lightGray"/>
        </w:rPr>
        <w:t>in Bezug auf die Abwicklungsfähigkeit</w:t>
      </w:r>
      <w:r w:rsidR="00912129" w:rsidRPr="00501D7B">
        <w:rPr>
          <w:i/>
          <w:highlight w:val="lightGray"/>
        </w:rPr>
        <w:t xml:space="preserve"> relevante</w:t>
      </w:r>
      <w:r w:rsidR="00AB7758" w:rsidRPr="00501D7B">
        <w:rPr>
          <w:i/>
          <w:highlight w:val="lightGray"/>
        </w:rPr>
        <w:t xml:space="preserve"> </w:t>
      </w:r>
      <w:r w:rsidR="00633761" w:rsidRPr="00501D7B">
        <w:rPr>
          <w:i/>
          <w:highlight w:val="lightGray"/>
        </w:rPr>
        <w:t xml:space="preserve">Feststellungen </w:t>
      </w:r>
      <w:r w:rsidR="00F1444D" w:rsidRPr="00501D7B">
        <w:rPr>
          <w:i/>
          <w:highlight w:val="lightGray"/>
        </w:rPr>
        <w:t>durch</w:t>
      </w:r>
      <w:r w:rsidR="00633761" w:rsidRPr="00501D7B">
        <w:rPr>
          <w:i/>
          <w:highlight w:val="lightGray"/>
        </w:rPr>
        <w:t xml:space="preserve"> Dritte (</w:t>
      </w:r>
      <w:r w:rsidR="00EA0D88" w:rsidRPr="00501D7B">
        <w:rPr>
          <w:i/>
          <w:highlight w:val="lightGray"/>
        </w:rPr>
        <w:t>z</w:t>
      </w:r>
      <w:r w:rsidR="00776C82" w:rsidRPr="00501D7B">
        <w:rPr>
          <w:i/>
          <w:highlight w:val="lightGray"/>
        </w:rPr>
        <w:t>.</w:t>
      </w:r>
      <w:r w:rsidR="00EA0D88" w:rsidRPr="00501D7B">
        <w:rPr>
          <w:i/>
          <w:highlight w:val="lightGray"/>
        </w:rPr>
        <w:t>B</w:t>
      </w:r>
      <w:r w:rsidR="00776C82" w:rsidRPr="00501D7B">
        <w:rPr>
          <w:i/>
          <w:highlight w:val="lightGray"/>
        </w:rPr>
        <w:t>.</w:t>
      </w:r>
      <w:r w:rsidR="00EA0D88" w:rsidRPr="00501D7B">
        <w:rPr>
          <w:i/>
          <w:highlight w:val="lightGray"/>
        </w:rPr>
        <w:t xml:space="preserve"> </w:t>
      </w:r>
      <w:r w:rsidR="004D604F" w:rsidRPr="00501D7B">
        <w:rPr>
          <w:i/>
          <w:highlight w:val="lightGray"/>
        </w:rPr>
        <w:t xml:space="preserve">die für die konsolidierte Aufsicht </w:t>
      </w:r>
      <w:r w:rsidR="00ED4E22" w:rsidRPr="00501D7B">
        <w:rPr>
          <w:i/>
          <w:highlight w:val="lightGray"/>
        </w:rPr>
        <w:t xml:space="preserve">oder Abwicklung </w:t>
      </w:r>
      <w:r w:rsidR="004D604F" w:rsidRPr="00501D7B">
        <w:rPr>
          <w:i/>
          <w:highlight w:val="lightGray"/>
        </w:rPr>
        <w:t>zuständige</w:t>
      </w:r>
      <w:r w:rsidR="005D2709">
        <w:rPr>
          <w:i/>
          <w:highlight w:val="lightGray"/>
        </w:rPr>
        <w:t xml:space="preserve"> </w:t>
      </w:r>
      <w:r w:rsidR="004D604F" w:rsidRPr="00501D7B">
        <w:rPr>
          <w:i/>
          <w:highlight w:val="lightGray"/>
        </w:rPr>
        <w:t xml:space="preserve">ausländische </w:t>
      </w:r>
      <w:r w:rsidR="00633761" w:rsidRPr="00501D7B">
        <w:rPr>
          <w:i/>
          <w:highlight w:val="lightGray"/>
        </w:rPr>
        <w:t>B</w:t>
      </w:r>
      <w:r w:rsidR="00EA0D88" w:rsidRPr="00501D7B">
        <w:rPr>
          <w:i/>
          <w:highlight w:val="lightGray"/>
        </w:rPr>
        <w:t>ehörde</w:t>
      </w:r>
      <w:r w:rsidR="00ED4E22" w:rsidRPr="00501D7B">
        <w:rPr>
          <w:i/>
          <w:highlight w:val="lightGray"/>
        </w:rPr>
        <w:t>, Einlagensicherung</w:t>
      </w:r>
      <w:r w:rsidR="007242D9" w:rsidRPr="00501D7B">
        <w:rPr>
          <w:i/>
          <w:highlight w:val="lightGray"/>
        </w:rPr>
        <w:t xml:space="preserve"> und Anlegerentschädigung,</w:t>
      </w:r>
      <w:r w:rsidR="00EA0D88" w:rsidRPr="00501D7B">
        <w:rPr>
          <w:i/>
          <w:highlight w:val="lightGray"/>
        </w:rPr>
        <w:t xml:space="preserve"> Ratingagenturen</w:t>
      </w:r>
      <w:r w:rsidR="00ED4E22" w:rsidRPr="00501D7B">
        <w:rPr>
          <w:i/>
          <w:highlight w:val="lightGray"/>
        </w:rPr>
        <w:t>,</w:t>
      </w:r>
      <w:r w:rsidR="00EA0D88" w:rsidRPr="00501D7B">
        <w:rPr>
          <w:i/>
          <w:highlight w:val="lightGray"/>
        </w:rPr>
        <w:t xml:space="preserve"> Revisionsstellen)</w:t>
      </w:r>
      <w:r w:rsidR="00AB7758" w:rsidRPr="00501D7B">
        <w:rPr>
          <w:i/>
          <w:highlight w:val="lightGray"/>
        </w:rPr>
        <w:t>,</w:t>
      </w:r>
      <w:r w:rsidR="001A1A8F" w:rsidRPr="00501D7B">
        <w:rPr>
          <w:i/>
          <w:highlight w:val="lightGray"/>
        </w:rPr>
        <w:t xml:space="preserve"> zu denen sie innerhalb oder ausserhalb der Prüfungstätigkeit Kenntnis erlangt hat. </w:t>
      </w:r>
      <w:r w:rsidRPr="00501D7B">
        <w:rPr>
          <w:i/>
          <w:highlight w:val="lightGray"/>
        </w:rPr>
        <w:t xml:space="preserve">Der </w:t>
      </w:r>
      <w:r w:rsidR="00697F22" w:rsidRPr="00697F22">
        <w:rPr>
          <w:rFonts w:cs="Arial"/>
          <w:i/>
          <w:szCs w:val="20"/>
          <w:highlight w:val="lightGray"/>
        </w:rPr>
        <w:t>Wirtschaftsprüfer</w:t>
      </w:r>
      <w:r w:rsidRPr="00501D7B">
        <w:rPr>
          <w:i/>
          <w:highlight w:val="lightGray"/>
        </w:rPr>
        <w:t xml:space="preserve"> </w:t>
      </w:r>
      <w:r w:rsidR="001A1A8F" w:rsidRPr="00501D7B">
        <w:rPr>
          <w:i/>
          <w:highlight w:val="lightGray"/>
        </w:rPr>
        <w:t xml:space="preserve">hat die Feststellungen, sowie deren Auswirkungen auf </w:t>
      </w:r>
      <w:r w:rsidR="00ED4E22" w:rsidRPr="00501D7B">
        <w:rPr>
          <w:i/>
          <w:highlight w:val="lightGray"/>
        </w:rPr>
        <w:t>die Abwicklungsfähigkeit des Unternehmens</w:t>
      </w:r>
      <w:r w:rsidR="001A1A8F" w:rsidRPr="00501D7B">
        <w:rPr>
          <w:i/>
          <w:highlight w:val="lightGray"/>
        </w:rPr>
        <w:t xml:space="preserve"> angemessen zu würdigen. </w:t>
      </w:r>
      <w:r w:rsidR="00AB7758" w:rsidRPr="00501D7B">
        <w:rPr>
          <w:i/>
          <w:highlight w:val="lightGray"/>
        </w:rPr>
        <w:t>Sofern die Feststellungen an anderer Stelle im Bericht dargestellt w</w:t>
      </w:r>
      <w:r w:rsidR="00721507" w:rsidRPr="00501D7B">
        <w:rPr>
          <w:i/>
          <w:highlight w:val="lightGray"/>
        </w:rPr>
        <w:t>erden,</w:t>
      </w:r>
      <w:r w:rsidR="00AB7758" w:rsidRPr="00501D7B">
        <w:rPr>
          <w:i/>
          <w:highlight w:val="lightGray"/>
        </w:rPr>
        <w:t xml:space="preserve"> ist eine entsprechende Referenz ausreichend</w:t>
      </w:r>
      <w:r w:rsidR="00232727" w:rsidRPr="00501D7B">
        <w:rPr>
          <w:i/>
          <w:highlight w:val="lightGray"/>
        </w:rPr>
        <w:t>.</w:t>
      </w:r>
    </w:p>
    <w:p w14:paraId="136C96AC" w14:textId="77777777" w:rsidR="004B7B6C" w:rsidRDefault="004B7B6C" w:rsidP="00CB3EE6">
      <w:pPr>
        <w:jc w:val="both"/>
      </w:pPr>
    </w:p>
    <w:p w14:paraId="47DD01A0" w14:textId="70439DD0" w:rsidR="0041731C" w:rsidRDefault="002E3094" w:rsidP="00C37D08">
      <w:pPr>
        <w:pStyle w:val="FINMAGliederungEbene2"/>
      </w:pPr>
      <w:bookmarkStart w:id="10" w:name="_Toc147141443"/>
      <w:r>
        <w:t>Zusammenfassung zu Prüferkenntnissen sowie Gesamteinschätzung</w:t>
      </w:r>
      <w:bookmarkEnd w:id="10"/>
    </w:p>
    <w:p w14:paraId="0494395C" w14:textId="77777777" w:rsidR="002E3094" w:rsidRDefault="002E3094" w:rsidP="00CB3EE6">
      <w:pPr>
        <w:jc w:val="both"/>
      </w:pPr>
    </w:p>
    <w:p w14:paraId="144B3F23" w14:textId="4CC99A2A" w:rsidR="002E3094" w:rsidRDefault="00B87775" w:rsidP="002E3094">
      <w:pPr>
        <w:jc w:val="both"/>
        <w:rPr>
          <w:rFonts w:ascii="Arial" w:hAnsi="Arial" w:cs="Arial"/>
          <w:i/>
          <w:sz w:val="20"/>
          <w:szCs w:val="20"/>
          <w:highlight w:val="lightGray"/>
        </w:rPr>
      </w:pPr>
      <w:r>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Pr="00193A84">
        <w:rPr>
          <w:rFonts w:ascii="Arial" w:hAnsi="Arial" w:cs="Arial"/>
          <w:i/>
          <w:sz w:val="20"/>
          <w:szCs w:val="20"/>
          <w:highlight w:val="lightGray"/>
        </w:rPr>
        <w:t xml:space="preserve"> </w:t>
      </w:r>
      <w:r w:rsidR="002E3094" w:rsidRPr="00515AB5">
        <w:rPr>
          <w:rFonts w:ascii="Arial" w:hAnsi="Arial" w:cs="Arial"/>
          <w:i/>
          <w:sz w:val="20"/>
          <w:szCs w:val="20"/>
          <w:highlight w:val="lightGray"/>
        </w:rPr>
        <w:t xml:space="preserve">nimmt basierend auf den Erkenntnissen aus ihren Prüfungshandlungen Stellung zur </w:t>
      </w:r>
      <w:r w:rsidR="00ED4E22">
        <w:rPr>
          <w:rFonts w:ascii="Arial" w:hAnsi="Arial" w:cs="Arial"/>
          <w:i/>
          <w:sz w:val="20"/>
          <w:szCs w:val="20"/>
          <w:highlight w:val="lightGray"/>
        </w:rPr>
        <w:t>Abwicklungsfähigkeit des Unternehmens bzw. der Abwicklungsgruppe</w:t>
      </w:r>
      <w:r w:rsidR="002E3094" w:rsidRPr="00515AB5">
        <w:rPr>
          <w:rFonts w:ascii="Arial" w:hAnsi="Arial" w:cs="Arial"/>
          <w:i/>
          <w:sz w:val="20"/>
          <w:szCs w:val="20"/>
          <w:highlight w:val="lightGray"/>
        </w:rPr>
        <w:t>.</w:t>
      </w:r>
      <w:r w:rsidR="00D140AA">
        <w:rPr>
          <w:rFonts w:ascii="Arial" w:hAnsi="Arial" w:cs="Arial"/>
          <w:i/>
          <w:sz w:val="20"/>
          <w:szCs w:val="20"/>
          <w:highlight w:val="lightGray"/>
        </w:rPr>
        <w:t xml:space="preserve"> </w:t>
      </w:r>
      <w:r>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Pr="00193A84">
        <w:rPr>
          <w:rFonts w:ascii="Arial" w:hAnsi="Arial" w:cs="Arial"/>
          <w:i/>
          <w:sz w:val="20"/>
          <w:szCs w:val="20"/>
          <w:highlight w:val="lightGray"/>
        </w:rPr>
        <w:t xml:space="preserve"> </w:t>
      </w:r>
      <w:r w:rsidR="002E3094">
        <w:rPr>
          <w:rFonts w:ascii="Arial" w:hAnsi="Arial" w:cs="Arial"/>
          <w:i/>
          <w:sz w:val="20"/>
          <w:szCs w:val="20"/>
          <w:highlight w:val="lightGray"/>
        </w:rPr>
        <w:t xml:space="preserve">schlägt, falls notwendig, Massnahmen zur </w:t>
      </w:r>
      <w:r w:rsidR="00E64425">
        <w:rPr>
          <w:rFonts w:ascii="Arial" w:hAnsi="Arial" w:cs="Arial"/>
          <w:i/>
          <w:sz w:val="20"/>
          <w:szCs w:val="20"/>
          <w:highlight w:val="lightGray"/>
        </w:rPr>
        <w:t xml:space="preserve">Herstellung </w:t>
      </w:r>
      <w:r w:rsidR="002E3094">
        <w:rPr>
          <w:rFonts w:ascii="Arial" w:hAnsi="Arial" w:cs="Arial"/>
          <w:i/>
          <w:sz w:val="20"/>
          <w:szCs w:val="20"/>
          <w:highlight w:val="lightGray"/>
        </w:rPr>
        <w:t xml:space="preserve">des ordnungsgemässen Zustands </w:t>
      </w:r>
      <w:r w:rsidR="00D140AA">
        <w:rPr>
          <w:rFonts w:ascii="Arial" w:hAnsi="Arial" w:cs="Arial"/>
          <w:i/>
          <w:sz w:val="20"/>
          <w:szCs w:val="20"/>
          <w:highlight w:val="lightGray"/>
        </w:rPr>
        <w:t xml:space="preserve">bzw. zur Beseitigung von Abwicklungshindernissen </w:t>
      </w:r>
      <w:r w:rsidR="002E3094">
        <w:rPr>
          <w:rFonts w:ascii="Arial" w:hAnsi="Arial" w:cs="Arial"/>
          <w:i/>
          <w:sz w:val="20"/>
          <w:szCs w:val="20"/>
          <w:highlight w:val="lightGray"/>
        </w:rPr>
        <w:t xml:space="preserve">vor. </w:t>
      </w:r>
      <w:r>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Pr="00193A84">
        <w:rPr>
          <w:rFonts w:ascii="Arial" w:hAnsi="Arial" w:cs="Arial"/>
          <w:i/>
          <w:sz w:val="20"/>
          <w:szCs w:val="20"/>
          <w:highlight w:val="lightGray"/>
        </w:rPr>
        <w:t xml:space="preserve"> </w:t>
      </w:r>
      <w:r w:rsidR="002E3094">
        <w:rPr>
          <w:rFonts w:ascii="Arial" w:hAnsi="Arial" w:cs="Arial"/>
          <w:i/>
          <w:sz w:val="20"/>
          <w:szCs w:val="20"/>
          <w:highlight w:val="lightGray"/>
        </w:rPr>
        <w:t xml:space="preserve">beurteilt, inwiefern die Beanstandungen mit Fristansetzung im Berichtsjahr die </w:t>
      </w:r>
      <w:r w:rsidR="00D140AA">
        <w:rPr>
          <w:rFonts w:ascii="Arial" w:hAnsi="Arial" w:cs="Arial"/>
          <w:i/>
          <w:sz w:val="20"/>
          <w:szCs w:val="20"/>
          <w:highlight w:val="lightGray"/>
        </w:rPr>
        <w:t>Abwicklungsfähigkeit</w:t>
      </w:r>
      <w:r w:rsidR="002E3094">
        <w:rPr>
          <w:rFonts w:ascii="Arial" w:hAnsi="Arial" w:cs="Arial"/>
          <w:i/>
          <w:sz w:val="20"/>
          <w:szCs w:val="20"/>
          <w:highlight w:val="lightGray"/>
        </w:rPr>
        <w:t xml:space="preserve"> in Frage stellen und hält fest, ob gemäss ihrer Einschätzung Massnahmen seitens der FMA notwendig sind oder nicht.</w:t>
      </w:r>
    </w:p>
    <w:p w14:paraId="25C1E2AE" w14:textId="77777777" w:rsidR="002E3094" w:rsidRDefault="002E3094" w:rsidP="002E3094">
      <w:pPr>
        <w:jc w:val="both"/>
        <w:rPr>
          <w:rFonts w:ascii="Arial" w:hAnsi="Arial" w:cs="Arial"/>
          <w:i/>
          <w:sz w:val="20"/>
          <w:szCs w:val="20"/>
          <w:highlight w:val="lightGray"/>
        </w:rPr>
      </w:pPr>
    </w:p>
    <w:p w14:paraId="1A21F332" w14:textId="50A6FE6F" w:rsidR="002E3094" w:rsidRDefault="00783943" w:rsidP="00CB3EE6">
      <w:pPr>
        <w:jc w:val="both"/>
        <w:rPr>
          <w:rFonts w:cs="Arial"/>
          <w:i/>
          <w:szCs w:val="20"/>
          <w:highlight w:val="lightGray"/>
        </w:rPr>
      </w:pPr>
      <w:r>
        <w:rPr>
          <w:rFonts w:ascii="Arial" w:hAnsi="Arial" w:cs="Arial"/>
          <w:i/>
          <w:sz w:val="20"/>
          <w:szCs w:val="20"/>
          <w:highlight w:val="lightGray"/>
        </w:rPr>
        <w:lastRenderedPageBreak/>
        <w:t xml:space="preserve">Der </w:t>
      </w:r>
      <w:r w:rsidR="00697F22" w:rsidRPr="00697F22">
        <w:rPr>
          <w:rFonts w:ascii="Arial" w:hAnsi="Arial" w:cs="Arial"/>
          <w:i/>
          <w:sz w:val="20"/>
          <w:szCs w:val="20"/>
          <w:highlight w:val="lightGray"/>
        </w:rPr>
        <w:t>Wirtschaftsprüfer</w:t>
      </w:r>
      <w:r w:rsidR="00C263C5" w:rsidDel="00C263C5">
        <w:rPr>
          <w:rFonts w:ascii="Arial" w:hAnsi="Arial" w:cs="Arial"/>
          <w:i/>
          <w:sz w:val="20"/>
          <w:szCs w:val="20"/>
          <w:highlight w:val="lightGray"/>
        </w:rPr>
        <w:t xml:space="preserve"> </w:t>
      </w:r>
      <w:r w:rsidR="002E3094">
        <w:rPr>
          <w:rFonts w:ascii="Arial" w:hAnsi="Arial" w:cs="Arial"/>
          <w:i/>
          <w:sz w:val="20"/>
          <w:szCs w:val="20"/>
          <w:highlight w:val="lightGray"/>
        </w:rPr>
        <w:t xml:space="preserve">legt </w:t>
      </w:r>
      <w:r w:rsidR="00AA54BE">
        <w:rPr>
          <w:rFonts w:ascii="Arial" w:hAnsi="Arial" w:cs="Arial"/>
          <w:i/>
          <w:sz w:val="20"/>
          <w:szCs w:val="20"/>
          <w:highlight w:val="lightGray"/>
        </w:rPr>
        <w:t>im Rahmen des</w:t>
      </w:r>
      <w:r w:rsidR="002E3094">
        <w:rPr>
          <w:rFonts w:ascii="Arial" w:hAnsi="Arial" w:cs="Arial"/>
          <w:i/>
          <w:sz w:val="20"/>
          <w:szCs w:val="20"/>
          <w:highlight w:val="lightGray"/>
        </w:rPr>
        <w:t xml:space="preserve"> Prüfurteil</w:t>
      </w:r>
      <w:r w:rsidR="00AA54BE">
        <w:rPr>
          <w:rFonts w:ascii="Arial" w:hAnsi="Arial" w:cs="Arial"/>
          <w:i/>
          <w:sz w:val="20"/>
          <w:szCs w:val="20"/>
          <w:highlight w:val="lightGray"/>
        </w:rPr>
        <w:t>s</w:t>
      </w:r>
      <w:r w:rsidR="002E3094">
        <w:rPr>
          <w:rFonts w:ascii="Arial" w:hAnsi="Arial" w:cs="Arial"/>
          <w:i/>
          <w:sz w:val="20"/>
          <w:szCs w:val="20"/>
          <w:highlight w:val="lightGray"/>
        </w:rPr>
        <w:t xml:space="preserve"> - </w:t>
      </w:r>
      <w:r w:rsidR="002E3094" w:rsidRPr="00515AB5">
        <w:rPr>
          <w:rFonts w:ascii="Arial" w:hAnsi="Arial" w:cs="Arial"/>
          <w:i/>
          <w:sz w:val="20"/>
          <w:szCs w:val="20"/>
          <w:highlight w:val="lightGray"/>
        </w:rPr>
        <w:t>basierend auf den Ergebnissen der durchgeführten Prüfungshandlungen</w:t>
      </w:r>
      <w:r w:rsidR="00AA54BE">
        <w:rPr>
          <w:rFonts w:ascii="Arial" w:hAnsi="Arial" w:cs="Arial"/>
          <w:i/>
          <w:sz w:val="20"/>
          <w:szCs w:val="20"/>
          <w:highlight w:val="lightGray"/>
        </w:rPr>
        <w:t xml:space="preserve"> –</w:t>
      </w:r>
      <w:r w:rsidR="002E3094">
        <w:rPr>
          <w:rFonts w:ascii="Arial" w:hAnsi="Arial" w:cs="Arial"/>
          <w:i/>
          <w:sz w:val="20"/>
          <w:szCs w:val="20"/>
          <w:highlight w:val="lightGray"/>
        </w:rPr>
        <w:t xml:space="preserve"> dar</w:t>
      </w:r>
      <w:r w:rsidR="00AA54BE">
        <w:rPr>
          <w:rFonts w:ascii="Arial" w:hAnsi="Arial" w:cs="Arial"/>
          <w:i/>
          <w:sz w:val="20"/>
          <w:szCs w:val="20"/>
          <w:highlight w:val="lightGray"/>
        </w:rPr>
        <w:t>,</w:t>
      </w:r>
      <w:r w:rsidR="00825BB7">
        <w:rPr>
          <w:rFonts w:ascii="Arial" w:hAnsi="Arial" w:cs="Arial"/>
          <w:i/>
          <w:sz w:val="20"/>
          <w:szCs w:val="20"/>
          <w:highlight w:val="lightGray"/>
        </w:rPr>
        <w:t xml:space="preserve"> </w:t>
      </w:r>
      <w:r w:rsidR="002E3094">
        <w:rPr>
          <w:rFonts w:ascii="Arial" w:hAnsi="Arial" w:cs="Arial"/>
          <w:i/>
          <w:sz w:val="20"/>
          <w:szCs w:val="20"/>
          <w:highlight w:val="lightGray"/>
        </w:rPr>
        <w:t xml:space="preserve">ob die internen Verfahren </w:t>
      </w:r>
      <w:r w:rsidR="00D140AA">
        <w:rPr>
          <w:rFonts w:ascii="Arial" w:hAnsi="Arial" w:cs="Arial"/>
          <w:i/>
          <w:sz w:val="20"/>
          <w:szCs w:val="20"/>
          <w:highlight w:val="lightGray"/>
        </w:rPr>
        <w:t xml:space="preserve">die Abwicklungsfähigkeit des Unternehmens </w:t>
      </w:r>
      <w:r w:rsidR="00C95509">
        <w:rPr>
          <w:rFonts w:ascii="Arial" w:hAnsi="Arial" w:cs="Arial"/>
          <w:i/>
          <w:sz w:val="20"/>
          <w:szCs w:val="20"/>
          <w:highlight w:val="lightGray"/>
        </w:rPr>
        <w:t xml:space="preserve">im Bedarfsfall </w:t>
      </w:r>
      <w:r w:rsidR="00825BB7">
        <w:rPr>
          <w:rFonts w:ascii="Arial" w:hAnsi="Arial" w:cs="Arial"/>
          <w:i/>
          <w:sz w:val="20"/>
          <w:szCs w:val="20"/>
          <w:highlight w:val="lightGray"/>
        </w:rPr>
        <w:t>ermöglichen</w:t>
      </w:r>
      <w:r w:rsidR="00D140AA">
        <w:rPr>
          <w:rFonts w:ascii="Arial" w:hAnsi="Arial" w:cs="Arial"/>
          <w:i/>
          <w:sz w:val="20"/>
          <w:szCs w:val="20"/>
          <w:highlight w:val="lightGray"/>
        </w:rPr>
        <w:t>.</w:t>
      </w:r>
      <w:r w:rsidR="002E3094">
        <w:rPr>
          <w:rFonts w:ascii="Arial" w:hAnsi="Arial" w:cs="Arial"/>
          <w:i/>
          <w:sz w:val="20"/>
          <w:szCs w:val="20"/>
          <w:highlight w:val="lightGray"/>
        </w:rPr>
        <w:t xml:space="preserve"> </w:t>
      </w:r>
    </w:p>
    <w:p w14:paraId="237B91AB" w14:textId="77777777" w:rsidR="002E3094" w:rsidRDefault="002E3094" w:rsidP="00CB3EE6">
      <w:pPr>
        <w:jc w:val="both"/>
        <w:rPr>
          <w:rFonts w:cs="Arial"/>
          <w:i/>
          <w:szCs w:val="20"/>
          <w:highlight w:val="lightGray"/>
        </w:rPr>
      </w:pPr>
    </w:p>
    <w:p w14:paraId="3204C5FC" w14:textId="73675BD7" w:rsidR="00A30784" w:rsidRDefault="002E3094" w:rsidP="007503C2">
      <w:pPr>
        <w:jc w:val="both"/>
      </w:pPr>
      <w:r w:rsidRPr="00CB3EE6">
        <w:rPr>
          <w:rFonts w:ascii="Arial" w:hAnsi="Arial" w:cs="Arial"/>
          <w:i/>
          <w:sz w:val="20"/>
          <w:szCs w:val="20"/>
          <w:highlight w:val="lightGray"/>
        </w:rPr>
        <w:t xml:space="preserve">Des Weiteren </w:t>
      </w:r>
      <w:r w:rsidR="006A76BC">
        <w:rPr>
          <w:rFonts w:ascii="Arial" w:hAnsi="Arial" w:cs="Arial"/>
          <w:i/>
          <w:sz w:val="20"/>
          <w:szCs w:val="20"/>
          <w:highlight w:val="lightGray"/>
        </w:rPr>
        <w:t>weist</w:t>
      </w:r>
      <w:r w:rsidRPr="00CB3EE6">
        <w:rPr>
          <w:rFonts w:ascii="Arial" w:hAnsi="Arial" w:cs="Arial"/>
          <w:i/>
          <w:sz w:val="20"/>
          <w:szCs w:val="20"/>
          <w:highlight w:val="lightGray"/>
        </w:rPr>
        <w:t xml:space="preserve"> </w:t>
      </w:r>
      <w:r w:rsidR="009D1D77">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00B87775" w:rsidRPr="00193A84">
        <w:rPr>
          <w:rFonts w:ascii="Arial" w:hAnsi="Arial" w:cs="Arial"/>
          <w:i/>
          <w:sz w:val="20"/>
          <w:szCs w:val="20"/>
          <w:highlight w:val="lightGray"/>
        </w:rPr>
        <w:t xml:space="preserve"> </w:t>
      </w:r>
      <w:r w:rsidRPr="00CB3EE6">
        <w:rPr>
          <w:rFonts w:ascii="Arial" w:hAnsi="Arial" w:cs="Arial"/>
          <w:i/>
          <w:sz w:val="20"/>
          <w:szCs w:val="20"/>
          <w:highlight w:val="lightGray"/>
        </w:rPr>
        <w:t xml:space="preserve">zukunftsgerichtet auf mögliche (u.a. regulatorische) Herausforderungen </w:t>
      </w:r>
      <w:r w:rsidR="006A76BC">
        <w:rPr>
          <w:rFonts w:ascii="Arial" w:hAnsi="Arial" w:cs="Arial"/>
          <w:i/>
          <w:sz w:val="20"/>
          <w:szCs w:val="20"/>
          <w:highlight w:val="lightGray"/>
        </w:rPr>
        <w:t xml:space="preserve">mit Bezug auf die Abwicklungsfähigkeit </w:t>
      </w:r>
      <w:r w:rsidRPr="00CB3EE6">
        <w:rPr>
          <w:rFonts w:ascii="Arial" w:hAnsi="Arial" w:cs="Arial"/>
          <w:i/>
          <w:sz w:val="20"/>
          <w:szCs w:val="20"/>
          <w:highlight w:val="lightGray"/>
        </w:rPr>
        <w:t>hin</w:t>
      </w:r>
      <w:r w:rsidR="006A76BC">
        <w:rPr>
          <w:rFonts w:ascii="Arial" w:hAnsi="Arial" w:cs="Arial"/>
          <w:i/>
          <w:sz w:val="20"/>
          <w:szCs w:val="20"/>
          <w:highlight w:val="lightGray"/>
        </w:rPr>
        <w:t>.</w:t>
      </w:r>
    </w:p>
    <w:p w14:paraId="0FF862A7" w14:textId="77777777" w:rsidR="00897AEF" w:rsidRDefault="00897AEF" w:rsidP="00A5682B">
      <w:pPr>
        <w:jc w:val="both"/>
        <w:rPr>
          <w:rFonts w:ascii="Arial" w:hAnsi="Arial" w:cs="Arial"/>
          <w:sz w:val="20"/>
          <w:szCs w:val="20"/>
        </w:rPr>
      </w:pPr>
    </w:p>
    <w:p w14:paraId="3A5808C1" w14:textId="263A5D30" w:rsidR="007A36D2" w:rsidRDefault="007A36D2" w:rsidP="00C37D08">
      <w:pPr>
        <w:pStyle w:val="FINMAGliederungEbene1"/>
      </w:pPr>
      <w:bookmarkStart w:id="11" w:name="_Toc147141444"/>
      <w:r>
        <w:t>Prüfresultate</w:t>
      </w:r>
      <w:bookmarkEnd w:id="11"/>
    </w:p>
    <w:p w14:paraId="5E549B85" w14:textId="77777777" w:rsidR="007A36D2" w:rsidRDefault="007A36D2" w:rsidP="007A36D2">
      <w:pPr>
        <w:jc w:val="both"/>
      </w:pPr>
    </w:p>
    <w:p w14:paraId="6EDF1B20" w14:textId="0092EECB" w:rsidR="007A36D2" w:rsidRDefault="00B87775" w:rsidP="00047F52">
      <w:pPr>
        <w:jc w:val="both"/>
        <w:rPr>
          <w:rFonts w:ascii="Arial" w:hAnsi="Arial" w:cs="Arial"/>
          <w:i/>
          <w:sz w:val="20"/>
          <w:szCs w:val="20"/>
          <w:highlight w:val="lightGray"/>
        </w:rPr>
      </w:pPr>
      <w:r>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Pr="00193A84">
        <w:rPr>
          <w:rFonts w:ascii="Arial" w:hAnsi="Arial" w:cs="Arial"/>
          <w:i/>
          <w:sz w:val="20"/>
          <w:szCs w:val="20"/>
          <w:highlight w:val="lightGray"/>
        </w:rPr>
        <w:t xml:space="preserve"> </w:t>
      </w:r>
      <w:r w:rsidR="00515064">
        <w:rPr>
          <w:rFonts w:ascii="Arial" w:hAnsi="Arial" w:cs="Arial"/>
          <w:i/>
          <w:sz w:val="20"/>
          <w:szCs w:val="20"/>
          <w:highlight w:val="lightGray"/>
        </w:rPr>
        <w:t xml:space="preserve">bewertet die Prüfelemente </w:t>
      </w:r>
      <w:r w:rsidR="007A36D2" w:rsidRPr="00047F52">
        <w:rPr>
          <w:rFonts w:ascii="Arial" w:hAnsi="Arial" w:cs="Arial"/>
          <w:i/>
          <w:sz w:val="20"/>
          <w:szCs w:val="20"/>
          <w:highlight w:val="lightGray"/>
        </w:rPr>
        <w:t>in Prüfgebieten mit Intervention durch „Ja (</w:t>
      </w:r>
      <w:r w:rsidR="00F546BE">
        <w:rPr>
          <w:rFonts w:ascii="Arial" w:hAnsi="Arial" w:cs="Arial"/>
          <w:i/>
          <w:sz w:val="20"/>
          <w:szCs w:val="20"/>
          <w:highlight w:val="lightGray"/>
        </w:rPr>
        <w:t>Detailprüfung</w:t>
      </w:r>
      <w:r w:rsidR="007A36D2" w:rsidRPr="00047F52">
        <w:rPr>
          <w:rFonts w:ascii="Arial" w:hAnsi="Arial" w:cs="Arial"/>
          <w:i/>
          <w:sz w:val="20"/>
          <w:szCs w:val="20"/>
          <w:highlight w:val="lightGray"/>
        </w:rPr>
        <w:t>)“, „Ja (kritische Beurteilung)“ oder „Nein“</w:t>
      </w:r>
      <w:r w:rsidR="00666210">
        <w:rPr>
          <w:rFonts w:ascii="Arial" w:hAnsi="Arial" w:cs="Arial"/>
          <w:i/>
          <w:sz w:val="20"/>
          <w:szCs w:val="20"/>
          <w:highlight w:val="lightGray"/>
        </w:rPr>
        <w:t xml:space="preserve">. </w:t>
      </w:r>
      <w:r w:rsidR="007A36D2" w:rsidRPr="00047F52">
        <w:rPr>
          <w:rFonts w:ascii="Arial" w:hAnsi="Arial" w:cs="Arial"/>
          <w:i/>
          <w:sz w:val="20"/>
          <w:szCs w:val="20"/>
          <w:highlight w:val="lightGray"/>
        </w:rPr>
        <w:t>Die</w:t>
      </w:r>
      <w:r w:rsidR="00515064">
        <w:rPr>
          <w:rFonts w:ascii="Arial" w:hAnsi="Arial" w:cs="Arial"/>
          <w:i/>
          <w:sz w:val="20"/>
          <w:szCs w:val="20"/>
          <w:highlight w:val="lightGray"/>
        </w:rPr>
        <w:t xml:space="preserve">se Prüfresultate gelten als </w:t>
      </w:r>
      <w:r w:rsidR="007A36D2" w:rsidRPr="00047F52">
        <w:rPr>
          <w:rFonts w:ascii="Arial" w:hAnsi="Arial" w:cs="Arial"/>
          <w:i/>
          <w:sz w:val="20"/>
          <w:szCs w:val="20"/>
          <w:highlight w:val="lightGray"/>
        </w:rPr>
        <w:t xml:space="preserve">Prüfbestätigungen für beide </w:t>
      </w:r>
      <w:r w:rsidR="00515064">
        <w:rPr>
          <w:rFonts w:ascii="Arial" w:hAnsi="Arial" w:cs="Arial"/>
          <w:i/>
          <w:sz w:val="20"/>
          <w:szCs w:val="20"/>
          <w:highlight w:val="lightGray"/>
        </w:rPr>
        <w:t xml:space="preserve">Arten von </w:t>
      </w:r>
      <w:r w:rsidR="007A36D2" w:rsidRPr="00047F52">
        <w:rPr>
          <w:rFonts w:ascii="Arial" w:hAnsi="Arial" w:cs="Arial"/>
          <w:i/>
          <w:sz w:val="20"/>
          <w:szCs w:val="20"/>
          <w:highlight w:val="lightGray"/>
        </w:rPr>
        <w:t xml:space="preserve">Prüftiefen (Detailprüfung oder kritische Beurteilung). </w:t>
      </w:r>
      <w:r w:rsidR="00515064">
        <w:rPr>
          <w:rFonts w:ascii="Arial" w:hAnsi="Arial" w:cs="Arial"/>
          <w:i/>
          <w:sz w:val="20"/>
          <w:szCs w:val="20"/>
          <w:highlight w:val="lightGray"/>
        </w:rPr>
        <w:t>Im Falle einer</w:t>
      </w:r>
      <w:r w:rsidR="007A36D2" w:rsidRPr="00047F52">
        <w:rPr>
          <w:rFonts w:ascii="Arial" w:hAnsi="Arial" w:cs="Arial"/>
          <w:i/>
          <w:sz w:val="20"/>
          <w:szCs w:val="20"/>
          <w:highlight w:val="lightGray"/>
        </w:rPr>
        <w:t xml:space="preserve"> „kritische</w:t>
      </w:r>
      <w:r w:rsidR="00515064">
        <w:rPr>
          <w:rFonts w:ascii="Arial" w:hAnsi="Arial" w:cs="Arial"/>
          <w:i/>
          <w:sz w:val="20"/>
          <w:szCs w:val="20"/>
          <w:highlight w:val="lightGray"/>
        </w:rPr>
        <w:t>n</w:t>
      </w:r>
      <w:r w:rsidR="007A36D2" w:rsidRPr="00047F52">
        <w:rPr>
          <w:rFonts w:ascii="Arial" w:hAnsi="Arial" w:cs="Arial"/>
          <w:i/>
          <w:sz w:val="20"/>
          <w:szCs w:val="20"/>
          <w:highlight w:val="lightGray"/>
        </w:rPr>
        <w:t xml:space="preserve"> Beurteilung“ sind die Bestätigungen unabhängig vom Wortlaut</w:t>
      </w:r>
      <w:r w:rsidR="00B4499A">
        <w:rPr>
          <w:rFonts w:ascii="Arial" w:hAnsi="Arial" w:cs="Arial"/>
          <w:i/>
          <w:sz w:val="20"/>
          <w:szCs w:val="20"/>
          <w:highlight w:val="lightGray"/>
        </w:rPr>
        <w:t xml:space="preserve"> des Prüfelements</w:t>
      </w:r>
      <w:r w:rsidR="007A36D2" w:rsidRPr="00047F52">
        <w:rPr>
          <w:rFonts w:ascii="Arial" w:hAnsi="Arial" w:cs="Arial"/>
          <w:i/>
          <w:sz w:val="20"/>
          <w:szCs w:val="20"/>
          <w:highlight w:val="lightGray"/>
        </w:rPr>
        <w:t xml:space="preserve">, als </w:t>
      </w:r>
      <w:r w:rsidR="004805B6" w:rsidRPr="00CB3EE6">
        <w:rPr>
          <w:rFonts w:ascii="Arial" w:hAnsi="Arial" w:cs="Arial"/>
          <w:i/>
          <w:sz w:val="20"/>
          <w:szCs w:val="20"/>
          <w:highlight w:val="lightGray"/>
        </w:rPr>
        <w:t xml:space="preserve">„negative </w:t>
      </w:r>
      <w:proofErr w:type="spellStart"/>
      <w:r w:rsidR="004805B6" w:rsidRPr="00CB3EE6">
        <w:rPr>
          <w:rFonts w:ascii="Arial" w:hAnsi="Arial" w:cs="Arial"/>
          <w:i/>
          <w:sz w:val="20"/>
          <w:szCs w:val="20"/>
          <w:highlight w:val="lightGray"/>
        </w:rPr>
        <w:t>assurance</w:t>
      </w:r>
      <w:proofErr w:type="spellEnd"/>
      <w:r w:rsidR="004805B6" w:rsidRPr="00CB3EE6">
        <w:rPr>
          <w:rFonts w:ascii="Arial" w:hAnsi="Arial" w:cs="Arial"/>
          <w:i/>
          <w:sz w:val="20"/>
          <w:szCs w:val="20"/>
          <w:highlight w:val="lightGray"/>
        </w:rPr>
        <w:t xml:space="preserve">“ </w:t>
      </w:r>
      <w:r w:rsidR="007A36D2" w:rsidRPr="00047F52">
        <w:rPr>
          <w:rFonts w:ascii="Arial" w:hAnsi="Arial" w:cs="Arial"/>
          <w:i/>
          <w:sz w:val="20"/>
          <w:szCs w:val="20"/>
          <w:highlight w:val="lightGray"/>
        </w:rPr>
        <w:t>zu verstehen.</w:t>
      </w:r>
    </w:p>
    <w:p w14:paraId="0020845A" w14:textId="77777777" w:rsidR="00047F52" w:rsidRPr="00047F52" w:rsidRDefault="00047F52" w:rsidP="00047F52">
      <w:pPr>
        <w:jc w:val="both"/>
        <w:rPr>
          <w:rFonts w:ascii="Arial" w:hAnsi="Arial" w:cs="Arial"/>
          <w:i/>
          <w:sz w:val="20"/>
          <w:szCs w:val="20"/>
          <w:highlight w:val="lightGray"/>
        </w:rPr>
      </w:pPr>
    </w:p>
    <w:p w14:paraId="6D5A5D2F" w14:textId="4FB65B73" w:rsidR="00880C53" w:rsidRDefault="00B87775" w:rsidP="00047F52">
      <w:pPr>
        <w:jc w:val="both"/>
        <w:rPr>
          <w:rFonts w:ascii="Arial" w:hAnsi="Arial" w:cs="Arial"/>
          <w:i/>
          <w:sz w:val="20"/>
          <w:szCs w:val="20"/>
          <w:highlight w:val="lightGray"/>
        </w:rPr>
      </w:pPr>
      <w:r>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00C32A65">
        <w:rPr>
          <w:rFonts w:ascii="Arial" w:hAnsi="Arial" w:cs="Arial"/>
          <w:i/>
          <w:sz w:val="20"/>
          <w:szCs w:val="20"/>
          <w:highlight w:val="lightGray"/>
        </w:rPr>
        <w:t xml:space="preserve"> bewertet die Prüfelemente in Einklang mit den Vorgaben der </w:t>
      </w:r>
      <w:r w:rsidR="00B55575">
        <w:rPr>
          <w:rFonts w:ascii="Arial" w:hAnsi="Arial" w:cs="Arial"/>
          <w:i/>
          <w:sz w:val="20"/>
          <w:szCs w:val="20"/>
          <w:highlight w:val="lightGray"/>
        </w:rPr>
        <w:t>Revisionsprüfungsrichtlinie.</w:t>
      </w:r>
      <w:r w:rsidR="009F06E5">
        <w:rPr>
          <w:rFonts w:ascii="Arial" w:hAnsi="Arial" w:cs="Arial"/>
          <w:i/>
          <w:sz w:val="20"/>
          <w:szCs w:val="20"/>
          <w:highlight w:val="lightGray"/>
        </w:rPr>
        <w:t xml:space="preserve"> Führt die </w:t>
      </w:r>
      <w:r w:rsidR="008321CB">
        <w:rPr>
          <w:rFonts w:ascii="Arial" w:hAnsi="Arial" w:cs="Arial"/>
          <w:i/>
          <w:sz w:val="20"/>
          <w:szCs w:val="20"/>
          <w:highlight w:val="lightGray"/>
        </w:rPr>
        <w:t>Intervention</w:t>
      </w:r>
      <w:r w:rsidR="009F06E5">
        <w:rPr>
          <w:rFonts w:ascii="Arial" w:hAnsi="Arial" w:cs="Arial"/>
          <w:i/>
          <w:sz w:val="20"/>
          <w:szCs w:val="20"/>
          <w:highlight w:val="lightGray"/>
        </w:rPr>
        <w:t xml:space="preserve"> zu einer Beanstandung, so ist das Prüfresultat mit „Nein“ anzugeben</w:t>
      </w:r>
      <w:r w:rsidR="00706801">
        <w:rPr>
          <w:rFonts w:ascii="Arial" w:hAnsi="Arial" w:cs="Arial"/>
          <w:i/>
          <w:sz w:val="20"/>
          <w:szCs w:val="20"/>
          <w:highlight w:val="lightGray"/>
        </w:rPr>
        <w:t xml:space="preserve"> und eine </w:t>
      </w:r>
      <w:r w:rsidR="000A17AC">
        <w:rPr>
          <w:rFonts w:ascii="Arial" w:hAnsi="Arial" w:cs="Arial"/>
          <w:i/>
          <w:sz w:val="20"/>
          <w:szCs w:val="20"/>
          <w:highlight w:val="lightGray"/>
        </w:rPr>
        <w:t xml:space="preserve">Einschätzung der möglichen Auswirkungen </w:t>
      </w:r>
      <w:r w:rsidR="00706801" w:rsidRPr="00047F52">
        <w:rPr>
          <w:rFonts w:ascii="Arial" w:hAnsi="Arial" w:cs="Arial"/>
          <w:i/>
          <w:sz w:val="20"/>
          <w:szCs w:val="20"/>
          <w:highlight w:val="lightGray"/>
        </w:rPr>
        <w:t>vor</w:t>
      </w:r>
      <w:r w:rsidR="00706801">
        <w:rPr>
          <w:rFonts w:ascii="Arial" w:hAnsi="Arial" w:cs="Arial"/>
          <w:i/>
          <w:sz w:val="20"/>
          <w:szCs w:val="20"/>
          <w:highlight w:val="lightGray"/>
        </w:rPr>
        <w:t xml:space="preserve">zunehmen. Führt die </w:t>
      </w:r>
      <w:r w:rsidR="008321CB">
        <w:rPr>
          <w:rFonts w:ascii="Arial" w:hAnsi="Arial" w:cs="Arial"/>
          <w:i/>
          <w:sz w:val="20"/>
          <w:szCs w:val="20"/>
          <w:highlight w:val="lightGray"/>
        </w:rPr>
        <w:t>Intervention</w:t>
      </w:r>
      <w:r w:rsidR="00706801">
        <w:rPr>
          <w:rFonts w:ascii="Arial" w:hAnsi="Arial" w:cs="Arial"/>
          <w:i/>
          <w:sz w:val="20"/>
          <w:szCs w:val="20"/>
          <w:highlight w:val="lightGray"/>
        </w:rPr>
        <w:t xml:space="preserve"> zu keiner Beanstandung, so ist </w:t>
      </w:r>
      <w:r w:rsidR="009F06E5">
        <w:rPr>
          <w:rFonts w:ascii="Arial" w:hAnsi="Arial" w:cs="Arial"/>
          <w:i/>
          <w:sz w:val="20"/>
          <w:szCs w:val="20"/>
          <w:highlight w:val="lightGray"/>
        </w:rPr>
        <w:t>„Ja“</w:t>
      </w:r>
      <w:r w:rsidR="00706801">
        <w:rPr>
          <w:rFonts w:ascii="Arial" w:hAnsi="Arial" w:cs="Arial"/>
          <w:i/>
          <w:sz w:val="20"/>
          <w:szCs w:val="20"/>
          <w:highlight w:val="lightGray"/>
        </w:rPr>
        <w:t xml:space="preserve"> anzugeben</w:t>
      </w:r>
      <w:r w:rsidR="009F06E5">
        <w:rPr>
          <w:rFonts w:ascii="Arial" w:hAnsi="Arial" w:cs="Arial"/>
          <w:i/>
          <w:sz w:val="20"/>
          <w:szCs w:val="20"/>
          <w:highlight w:val="lightGray"/>
        </w:rPr>
        <w:t>.</w:t>
      </w:r>
      <w:r w:rsidR="000A17AC">
        <w:rPr>
          <w:rFonts w:ascii="Arial" w:hAnsi="Arial" w:cs="Arial"/>
          <w:i/>
          <w:sz w:val="20"/>
          <w:szCs w:val="20"/>
          <w:highlight w:val="lightGray"/>
        </w:rPr>
        <w:t xml:space="preserve"> </w:t>
      </w:r>
      <w:r w:rsidR="00880C53">
        <w:rPr>
          <w:rFonts w:ascii="Arial" w:hAnsi="Arial" w:cs="Arial"/>
          <w:i/>
          <w:sz w:val="20"/>
          <w:szCs w:val="20"/>
          <w:highlight w:val="lightGray"/>
        </w:rPr>
        <w:t>Liegen die Voraussetzungen für eine Empfehlung vor,</w:t>
      </w:r>
      <w:r w:rsidR="006F1862">
        <w:rPr>
          <w:rFonts w:ascii="Arial" w:hAnsi="Arial" w:cs="Arial"/>
          <w:i/>
          <w:sz w:val="20"/>
          <w:szCs w:val="20"/>
          <w:highlight w:val="lightGray"/>
        </w:rPr>
        <w:t xml:space="preserve"> </w:t>
      </w:r>
      <w:r w:rsidR="00880C53">
        <w:rPr>
          <w:rFonts w:ascii="Arial" w:hAnsi="Arial" w:cs="Arial"/>
          <w:i/>
          <w:sz w:val="20"/>
          <w:szCs w:val="20"/>
          <w:highlight w:val="lightGray"/>
        </w:rPr>
        <w:t xml:space="preserve">so hat </w:t>
      </w:r>
      <w:r w:rsidR="005D2709">
        <w:rPr>
          <w:rFonts w:ascii="Arial" w:hAnsi="Arial" w:cs="Arial"/>
          <w:i/>
          <w:sz w:val="20"/>
          <w:szCs w:val="20"/>
          <w:highlight w:val="lightGray"/>
        </w:rPr>
        <w:t xml:space="preserve">der </w:t>
      </w:r>
      <w:proofErr w:type="gramStart"/>
      <w:r w:rsidR="00697F22" w:rsidRPr="00697F22">
        <w:rPr>
          <w:rFonts w:ascii="Arial" w:hAnsi="Arial" w:cs="Arial"/>
          <w:i/>
          <w:sz w:val="20"/>
          <w:szCs w:val="20"/>
          <w:highlight w:val="lightGray"/>
        </w:rPr>
        <w:t>Wirtschaftsprüfer</w:t>
      </w:r>
      <w:r w:rsidR="00697F22">
        <w:rPr>
          <w:rFonts w:ascii="Arial" w:hAnsi="Arial" w:cs="Arial"/>
          <w:i/>
          <w:sz w:val="20"/>
          <w:szCs w:val="20"/>
          <w:highlight w:val="lightGray"/>
        </w:rPr>
        <w:t xml:space="preserve">  </w:t>
      </w:r>
      <w:r w:rsidR="00880C53">
        <w:rPr>
          <w:rFonts w:ascii="Arial" w:hAnsi="Arial" w:cs="Arial"/>
          <w:i/>
          <w:sz w:val="20"/>
          <w:szCs w:val="20"/>
          <w:highlight w:val="lightGray"/>
        </w:rPr>
        <w:t>eine</w:t>
      </w:r>
      <w:proofErr w:type="gramEnd"/>
      <w:r w:rsidR="00880C53">
        <w:rPr>
          <w:rFonts w:ascii="Arial" w:hAnsi="Arial" w:cs="Arial"/>
          <w:i/>
          <w:sz w:val="20"/>
          <w:szCs w:val="20"/>
          <w:highlight w:val="lightGray"/>
        </w:rPr>
        <w:t xml:space="preserve"> </w:t>
      </w:r>
      <w:r w:rsidR="000A17AC">
        <w:rPr>
          <w:rFonts w:ascii="Arial" w:hAnsi="Arial" w:cs="Arial"/>
          <w:i/>
          <w:sz w:val="20"/>
          <w:szCs w:val="20"/>
          <w:highlight w:val="lightGray"/>
        </w:rPr>
        <w:t>entsprechende</w:t>
      </w:r>
      <w:r w:rsidR="00880C53">
        <w:rPr>
          <w:rFonts w:ascii="Arial" w:hAnsi="Arial" w:cs="Arial"/>
          <w:i/>
          <w:sz w:val="20"/>
          <w:szCs w:val="20"/>
          <w:highlight w:val="lightGray"/>
        </w:rPr>
        <w:t xml:space="preserve"> </w:t>
      </w:r>
      <w:r w:rsidR="00880C53" w:rsidRPr="00047F52">
        <w:rPr>
          <w:rFonts w:ascii="Arial" w:hAnsi="Arial" w:cs="Arial"/>
          <w:i/>
          <w:sz w:val="20"/>
          <w:szCs w:val="20"/>
          <w:highlight w:val="lightGray"/>
        </w:rPr>
        <w:t>Erläuterung</w:t>
      </w:r>
      <w:r w:rsidR="000A17AC">
        <w:rPr>
          <w:rFonts w:ascii="Arial" w:hAnsi="Arial" w:cs="Arial"/>
          <w:i/>
          <w:sz w:val="20"/>
          <w:szCs w:val="20"/>
          <w:highlight w:val="lightGray"/>
        </w:rPr>
        <w:t xml:space="preserve"> </w:t>
      </w:r>
      <w:r w:rsidR="00880C53" w:rsidRPr="00047F52">
        <w:rPr>
          <w:rFonts w:ascii="Arial" w:hAnsi="Arial" w:cs="Arial"/>
          <w:i/>
          <w:sz w:val="20"/>
          <w:szCs w:val="20"/>
          <w:highlight w:val="lightGray"/>
        </w:rPr>
        <w:t>vor</w:t>
      </w:r>
      <w:r w:rsidR="00880C53">
        <w:rPr>
          <w:rFonts w:ascii="Arial" w:hAnsi="Arial" w:cs="Arial"/>
          <w:i/>
          <w:sz w:val="20"/>
          <w:szCs w:val="20"/>
          <w:highlight w:val="lightGray"/>
        </w:rPr>
        <w:t>zunehmen.</w:t>
      </w:r>
    </w:p>
    <w:p w14:paraId="49AD3BC2" w14:textId="15DA5E2A" w:rsidR="001E12FA" w:rsidRDefault="001E12FA" w:rsidP="00047F52">
      <w:pPr>
        <w:jc w:val="both"/>
        <w:rPr>
          <w:rFonts w:ascii="Arial" w:hAnsi="Arial" w:cs="Arial"/>
          <w:i/>
          <w:sz w:val="20"/>
          <w:szCs w:val="20"/>
          <w:highlight w:val="lightGray"/>
        </w:rPr>
      </w:pPr>
    </w:p>
    <w:p w14:paraId="09C2A27F" w14:textId="77777777" w:rsidR="007A63D9" w:rsidRDefault="007A63D9" w:rsidP="007A63D9">
      <w:pPr>
        <w:jc w:val="both"/>
        <w:rPr>
          <w:rFonts w:ascii="Arial" w:hAnsi="Arial" w:cs="Arial"/>
          <w:i/>
          <w:sz w:val="20"/>
          <w:szCs w:val="20"/>
          <w:highlight w:val="lightGray"/>
        </w:rPr>
      </w:pPr>
      <w:r>
        <w:rPr>
          <w:rFonts w:ascii="Arial" w:hAnsi="Arial" w:cs="Arial"/>
          <w:i/>
          <w:sz w:val="20"/>
          <w:szCs w:val="20"/>
          <w:highlight w:val="lightGray"/>
        </w:rPr>
        <w:t>Die Erläuterungen bei Prüfgebieten mit Beanstandungen müssen mind. Folgendes enthalten: Nachvollziehbare Angaben zu Ist- und Soll-Sachverhalten mit Referenzen auf gesetzliche Grundlagen und/oder europäische/internationale Standards (z.B. EBA-Leitlinien), genaue zeitliche Angabe zum Sachverhalt (Zeitraum), Zuständigkeit innerhalb des Unternehmens und zugrundeliegende Quellen für das Prüfergebnis (Nachweise).</w:t>
      </w:r>
    </w:p>
    <w:p w14:paraId="3EB5D686" w14:textId="77777777" w:rsidR="00047F52" w:rsidRPr="00047F52" w:rsidRDefault="00047F52" w:rsidP="00047F52">
      <w:pPr>
        <w:jc w:val="both"/>
        <w:rPr>
          <w:rFonts w:ascii="Arial" w:hAnsi="Arial" w:cs="Arial"/>
          <w:i/>
          <w:sz w:val="20"/>
          <w:szCs w:val="20"/>
          <w:highlight w:val="lightGray"/>
        </w:rPr>
      </w:pPr>
    </w:p>
    <w:p w14:paraId="60F3B5A9"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Eine Abstützung auf </w:t>
      </w:r>
      <w:r w:rsidR="00103265">
        <w:rPr>
          <w:rFonts w:ascii="Arial" w:hAnsi="Arial" w:cs="Arial"/>
          <w:i/>
          <w:sz w:val="20"/>
          <w:szCs w:val="20"/>
          <w:highlight w:val="lightGray"/>
        </w:rPr>
        <w:t>Ergebnisse</w:t>
      </w:r>
      <w:r w:rsidR="00103265" w:rsidRPr="00047F52">
        <w:rPr>
          <w:rFonts w:ascii="Arial" w:hAnsi="Arial" w:cs="Arial"/>
          <w:i/>
          <w:sz w:val="20"/>
          <w:szCs w:val="20"/>
          <w:highlight w:val="lightGray"/>
        </w:rPr>
        <w:t xml:space="preserve"> </w:t>
      </w:r>
      <w:r w:rsidRPr="00047F52">
        <w:rPr>
          <w:rFonts w:ascii="Arial" w:hAnsi="Arial" w:cs="Arial"/>
          <w:i/>
          <w:sz w:val="20"/>
          <w:szCs w:val="20"/>
          <w:highlight w:val="lightGray"/>
        </w:rPr>
        <w:t xml:space="preserve">der internen Revision ist im jeweiligen Prüfgebiet auszuweisen und </w:t>
      </w:r>
      <w:r w:rsidR="00103265">
        <w:rPr>
          <w:rFonts w:ascii="Arial" w:hAnsi="Arial" w:cs="Arial"/>
          <w:i/>
          <w:sz w:val="20"/>
          <w:szCs w:val="20"/>
          <w:highlight w:val="lightGray"/>
        </w:rPr>
        <w:t xml:space="preserve">selbstständig </w:t>
      </w:r>
      <w:r w:rsidRPr="00047F52">
        <w:rPr>
          <w:rFonts w:ascii="Arial" w:hAnsi="Arial" w:cs="Arial"/>
          <w:i/>
          <w:sz w:val="20"/>
          <w:szCs w:val="20"/>
          <w:highlight w:val="lightGray"/>
        </w:rPr>
        <w:t xml:space="preserve">zu würdigen. Es ist anzugeben, in welchem Umfang die </w:t>
      </w:r>
      <w:r w:rsidR="00DC5168">
        <w:rPr>
          <w:rFonts w:ascii="Arial" w:hAnsi="Arial" w:cs="Arial"/>
          <w:i/>
          <w:sz w:val="20"/>
          <w:szCs w:val="20"/>
          <w:highlight w:val="lightGray"/>
        </w:rPr>
        <w:t>I</w:t>
      </w:r>
      <w:r w:rsidRPr="00047F52">
        <w:rPr>
          <w:rFonts w:ascii="Arial" w:hAnsi="Arial" w:cs="Arial"/>
          <w:i/>
          <w:sz w:val="20"/>
          <w:szCs w:val="20"/>
          <w:highlight w:val="lightGray"/>
        </w:rPr>
        <w:t xml:space="preserve">nterne Revision </w:t>
      </w:r>
      <w:r w:rsidR="00D944DE">
        <w:rPr>
          <w:rFonts w:ascii="Arial" w:hAnsi="Arial" w:cs="Arial"/>
          <w:i/>
          <w:sz w:val="20"/>
          <w:szCs w:val="20"/>
          <w:highlight w:val="lightGray"/>
        </w:rPr>
        <w:t>Prüfungshandlungen</w:t>
      </w:r>
      <w:r w:rsidR="00D944DE" w:rsidRPr="00047F52">
        <w:rPr>
          <w:rFonts w:ascii="Arial" w:hAnsi="Arial" w:cs="Arial"/>
          <w:i/>
          <w:sz w:val="20"/>
          <w:szCs w:val="20"/>
          <w:highlight w:val="lightGray"/>
        </w:rPr>
        <w:t xml:space="preserve"> </w:t>
      </w:r>
      <w:r w:rsidRPr="00047F52">
        <w:rPr>
          <w:rFonts w:ascii="Arial" w:hAnsi="Arial" w:cs="Arial"/>
          <w:i/>
          <w:sz w:val="20"/>
          <w:szCs w:val="20"/>
          <w:highlight w:val="lightGray"/>
        </w:rPr>
        <w:t>durchgeführt hat und zu welchem Ergebnis sie dabei gekommen ist.</w:t>
      </w:r>
      <w:r w:rsidR="00094143">
        <w:rPr>
          <w:rFonts w:ascii="Arial" w:hAnsi="Arial" w:cs="Arial"/>
          <w:i/>
          <w:sz w:val="20"/>
          <w:szCs w:val="20"/>
          <w:highlight w:val="lightGray"/>
        </w:rPr>
        <w:t xml:space="preserve"> </w:t>
      </w:r>
    </w:p>
    <w:p w14:paraId="008CEC37" w14:textId="77777777" w:rsidR="00047F52" w:rsidRPr="00047F52" w:rsidRDefault="00047F52" w:rsidP="00047F52">
      <w:pPr>
        <w:jc w:val="both"/>
        <w:rPr>
          <w:rFonts w:ascii="Arial" w:hAnsi="Arial" w:cs="Arial"/>
          <w:i/>
          <w:sz w:val="20"/>
          <w:szCs w:val="20"/>
          <w:highlight w:val="lightGray"/>
        </w:rPr>
      </w:pPr>
    </w:p>
    <w:p w14:paraId="394EA8F6" w14:textId="0C52679F"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In den nachfolgenden Kapiteln nimmt </w:t>
      </w:r>
      <w:r w:rsidR="005D2709">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005D2709" w:rsidRPr="00193A84">
        <w:rPr>
          <w:rFonts w:ascii="Arial" w:hAnsi="Arial" w:cs="Arial"/>
          <w:i/>
          <w:sz w:val="20"/>
          <w:szCs w:val="20"/>
          <w:highlight w:val="lightGray"/>
        </w:rPr>
        <w:t xml:space="preserve"> </w:t>
      </w:r>
      <w:r w:rsidRPr="00047F52">
        <w:rPr>
          <w:rFonts w:ascii="Arial" w:hAnsi="Arial" w:cs="Arial"/>
          <w:i/>
          <w:sz w:val="20"/>
          <w:szCs w:val="20"/>
          <w:highlight w:val="lightGray"/>
        </w:rPr>
        <w:t xml:space="preserve">Stellung zu den einzelnen Prüfgebieten gemäss </w:t>
      </w:r>
      <w:r w:rsidR="00FD03D6">
        <w:rPr>
          <w:rFonts w:ascii="Arial" w:hAnsi="Arial" w:cs="Arial"/>
          <w:i/>
          <w:sz w:val="20"/>
          <w:szCs w:val="20"/>
          <w:highlight w:val="lightGray"/>
        </w:rPr>
        <w:t xml:space="preserve">der </w:t>
      </w:r>
      <w:r w:rsidR="0030349B">
        <w:rPr>
          <w:rFonts w:ascii="Arial" w:hAnsi="Arial" w:cs="Arial"/>
          <w:i/>
          <w:sz w:val="20"/>
          <w:szCs w:val="20"/>
          <w:highlight w:val="lightGray"/>
        </w:rPr>
        <w:t>Prüfstrategie</w:t>
      </w:r>
      <w:r w:rsidRPr="00047F52">
        <w:rPr>
          <w:rFonts w:ascii="Arial" w:hAnsi="Arial" w:cs="Arial"/>
          <w:i/>
          <w:sz w:val="20"/>
          <w:szCs w:val="20"/>
          <w:highlight w:val="lightGray"/>
        </w:rPr>
        <w:t>.</w:t>
      </w:r>
      <w:r w:rsidR="00E109DF">
        <w:rPr>
          <w:rFonts w:ascii="Arial" w:hAnsi="Arial" w:cs="Arial"/>
          <w:i/>
          <w:sz w:val="20"/>
          <w:szCs w:val="20"/>
          <w:highlight w:val="lightGray"/>
        </w:rPr>
        <w:t xml:space="preserve"> </w:t>
      </w:r>
    </w:p>
    <w:p w14:paraId="19B4BAF0" w14:textId="77777777" w:rsidR="00047F52" w:rsidRPr="00047F52" w:rsidRDefault="00047F52" w:rsidP="00047F52">
      <w:pPr>
        <w:jc w:val="both"/>
        <w:rPr>
          <w:rFonts w:ascii="Arial" w:hAnsi="Arial" w:cs="Arial"/>
          <w:i/>
          <w:sz w:val="20"/>
          <w:szCs w:val="20"/>
          <w:highlight w:val="lightGray"/>
        </w:rPr>
      </w:pPr>
    </w:p>
    <w:p w14:paraId="457458C3" w14:textId="66011A55" w:rsidR="00EC06B1" w:rsidRDefault="0030349B" w:rsidP="00047F52">
      <w:pPr>
        <w:jc w:val="both"/>
        <w:rPr>
          <w:rFonts w:ascii="Arial" w:hAnsi="Arial" w:cs="Arial"/>
          <w:i/>
          <w:sz w:val="20"/>
          <w:szCs w:val="20"/>
          <w:highlight w:val="lightGray"/>
        </w:rPr>
      </w:pPr>
      <w:r>
        <w:rPr>
          <w:rFonts w:ascii="Arial" w:hAnsi="Arial" w:cs="Arial"/>
          <w:i/>
          <w:sz w:val="20"/>
          <w:szCs w:val="20"/>
          <w:highlight w:val="lightGray"/>
        </w:rPr>
        <w:t>Sofern im</w:t>
      </w:r>
      <w:r w:rsidR="007A36D2" w:rsidRPr="00047F52">
        <w:rPr>
          <w:rFonts w:ascii="Arial" w:hAnsi="Arial" w:cs="Arial"/>
          <w:i/>
          <w:sz w:val="20"/>
          <w:szCs w:val="20"/>
          <w:highlight w:val="lightGray"/>
        </w:rPr>
        <w:t xml:space="preserve"> Berichtsjahr i</w:t>
      </w:r>
      <w:r>
        <w:rPr>
          <w:rFonts w:ascii="Arial" w:hAnsi="Arial" w:cs="Arial"/>
          <w:i/>
          <w:sz w:val="20"/>
          <w:szCs w:val="20"/>
          <w:highlight w:val="lightGray"/>
        </w:rPr>
        <w:t>n einem Prüfgebiet bzw. -</w:t>
      </w:r>
      <w:r w:rsidR="007A36D2" w:rsidRPr="00047F52">
        <w:rPr>
          <w:rFonts w:ascii="Arial" w:hAnsi="Arial" w:cs="Arial"/>
          <w:i/>
          <w:sz w:val="20"/>
          <w:szCs w:val="20"/>
          <w:highlight w:val="lightGray"/>
        </w:rPr>
        <w:t xml:space="preserve">feld keine Intervention erfolgte, </w:t>
      </w:r>
      <w:r>
        <w:rPr>
          <w:rFonts w:ascii="Arial" w:hAnsi="Arial" w:cs="Arial"/>
          <w:i/>
          <w:sz w:val="20"/>
          <w:szCs w:val="20"/>
          <w:highlight w:val="lightGray"/>
        </w:rPr>
        <w:t>müssen diese nicht im Bericht aufgeführt werden</w:t>
      </w:r>
      <w:r w:rsidR="00E962D3">
        <w:rPr>
          <w:rFonts w:ascii="Arial" w:hAnsi="Arial" w:cs="Arial"/>
          <w:i/>
          <w:sz w:val="20"/>
          <w:szCs w:val="20"/>
          <w:highlight w:val="lightGray"/>
        </w:rPr>
        <w:t xml:space="preserve">, wobei die entsprechende Berichtsziffer inkl. den Formatvorlagen gelöscht werden </w:t>
      </w:r>
      <w:r w:rsidR="007503C2">
        <w:rPr>
          <w:rFonts w:ascii="Arial" w:hAnsi="Arial" w:cs="Arial"/>
          <w:i/>
          <w:sz w:val="20"/>
          <w:szCs w:val="20"/>
          <w:highlight w:val="lightGray"/>
        </w:rPr>
        <w:t>darf</w:t>
      </w:r>
      <w:r w:rsidR="00E962D3">
        <w:rPr>
          <w:rFonts w:ascii="Arial" w:hAnsi="Arial" w:cs="Arial"/>
          <w:i/>
          <w:sz w:val="20"/>
          <w:szCs w:val="20"/>
          <w:highlight w:val="lightGray"/>
        </w:rPr>
        <w:t>.</w:t>
      </w:r>
    </w:p>
    <w:p w14:paraId="1B7E06EF" w14:textId="77777777" w:rsidR="00EC06B1" w:rsidRDefault="00EC06B1" w:rsidP="00047F52">
      <w:pPr>
        <w:jc w:val="both"/>
        <w:rPr>
          <w:rFonts w:ascii="Arial" w:hAnsi="Arial" w:cs="Arial"/>
          <w:i/>
          <w:sz w:val="20"/>
          <w:szCs w:val="20"/>
          <w:highlight w:val="lightGray"/>
        </w:rPr>
      </w:pPr>
    </w:p>
    <w:p w14:paraId="4CDCCD59" w14:textId="7B4DAEEB" w:rsidR="0030349B" w:rsidRDefault="008C2C78" w:rsidP="00047F52">
      <w:pPr>
        <w:jc w:val="both"/>
        <w:rPr>
          <w:rFonts w:ascii="Arial" w:hAnsi="Arial" w:cs="Arial"/>
          <w:i/>
          <w:sz w:val="20"/>
          <w:szCs w:val="20"/>
          <w:highlight w:val="lightGray"/>
        </w:rPr>
      </w:pPr>
      <w:r>
        <w:rPr>
          <w:rFonts w:ascii="Arial" w:hAnsi="Arial" w:cs="Arial"/>
          <w:i/>
          <w:sz w:val="20"/>
          <w:szCs w:val="20"/>
          <w:highlight w:val="lightGray"/>
        </w:rPr>
        <w:t xml:space="preserve">Für </w:t>
      </w:r>
      <w:r w:rsidR="007503C2">
        <w:rPr>
          <w:rFonts w:ascii="Arial" w:hAnsi="Arial" w:cs="Arial"/>
          <w:i/>
          <w:sz w:val="20"/>
          <w:szCs w:val="20"/>
          <w:highlight w:val="lightGray"/>
        </w:rPr>
        <w:t xml:space="preserve">sämtliche </w:t>
      </w:r>
      <w:r>
        <w:rPr>
          <w:rFonts w:ascii="Arial" w:hAnsi="Arial" w:cs="Arial"/>
          <w:i/>
          <w:sz w:val="20"/>
          <w:szCs w:val="20"/>
          <w:highlight w:val="lightGray"/>
        </w:rPr>
        <w:t xml:space="preserve">Prüfgebiete bzw. </w:t>
      </w:r>
      <w:r w:rsidR="00BF3D88">
        <w:rPr>
          <w:rFonts w:ascii="Arial" w:hAnsi="Arial" w:cs="Arial"/>
          <w:i/>
          <w:sz w:val="20"/>
          <w:szCs w:val="20"/>
          <w:highlight w:val="lightGray"/>
        </w:rPr>
        <w:t>-</w:t>
      </w:r>
      <w:r>
        <w:rPr>
          <w:rFonts w:ascii="Arial" w:hAnsi="Arial" w:cs="Arial"/>
          <w:i/>
          <w:sz w:val="20"/>
          <w:szCs w:val="20"/>
          <w:highlight w:val="lightGray"/>
        </w:rPr>
        <w:t xml:space="preserve">felder, </w:t>
      </w:r>
      <w:r w:rsidR="005C08C6">
        <w:rPr>
          <w:rFonts w:ascii="Arial" w:hAnsi="Arial" w:cs="Arial"/>
          <w:i/>
          <w:sz w:val="20"/>
          <w:szCs w:val="20"/>
          <w:highlight w:val="lightGray"/>
        </w:rPr>
        <w:t>in den Interventionen stattgefunden haben (Detailprüfung oder kritische Beurteilung)</w:t>
      </w:r>
      <w:r>
        <w:rPr>
          <w:rFonts w:ascii="Arial" w:hAnsi="Arial" w:cs="Arial"/>
          <w:i/>
          <w:sz w:val="20"/>
          <w:szCs w:val="20"/>
          <w:highlight w:val="lightGray"/>
        </w:rPr>
        <w:t xml:space="preserve">, sind zwingend </w:t>
      </w:r>
      <w:r w:rsidR="00DD1307">
        <w:rPr>
          <w:rFonts w:ascii="Arial" w:hAnsi="Arial" w:cs="Arial"/>
          <w:i/>
          <w:sz w:val="20"/>
          <w:szCs w:val="20"/>
          <w:highlight w:val="lightGray"/>
        </w:rPr>
        <w:t>aussagekräftige Erläuterungen</w:t>
      </w:r>
      <w:r w:rsidR="00750904">
        <w:rPr>
          <w:rFonts w:ascii="Arial" w:hAnsi="Arial" w:cs="Arial"/>
          <w:i/>
          <w:sz w:val="20"/>
          <w:szCs w:val="20"/>
          <w:highlight w:val="lightGray"/>
        </w:rPr>
        <w:t xml:space="preserve"> </w:t>
      </w:r>
      <w:r w:rsidR="00DD1307">
        <w:rPr>
          <w:rFonts w:ascii="Arial" w:hAnsi="Arial" w:cs="Arial"/>
          <w:i/>
          <w:sz w:val="20"/>
          <w:szCs w:val="20"/>
          <w:highlight w:val="lightGray"/>
        </w:rPr>
        <w:t>aufzuführen.</w:t>
      </w:r>
      <w:r w:rsidR="00750904">
        <w:rPr>
          <w:rFonts w:ascii="Arial" w:hAnsi="Arial" w:cs="Arial"/>
          <w:i/>
          <w:sz w:val="20"/>
          <w:szCs w:val="20"/>
          <w:highlight w:val="lightGray"/>
        </w:rPr>
        <w:t xml:space="preserve"> </w:t>
      </w:r>
    </w:p>
    <w:p w14:paraId="73632D51" w14:textId="77777777" w:rsidR="00750904" w:rsidRDefault="00750904" w:rsidP="00047F52">
      <w:pPr>
        <w:jc w:val="both"/>
        <w:rPr>
          <w:rFonts w:ascii="Arial" w:hAnsi="Arial" w:cs="Arial"/>
          <w:i/>
          <w:sz w:val="20"/>
          <w:szCs w:val="20"/>
          <w:highlight w:val="lightGray"/>
        </w:rPr>
      </w:pPr>
    </w:p>
    <w:p w14:paraId="59815E5B" w14:textId="3E87A6D1" w:rsidR="001E12FA" w:rsidRDefault="00B87775" w:rsidP="00047F52">
      <w:pPr>
        <w:jc w:val="both"/>
        <w:rPr>
          <w:rFonts w:ascii="Arial" w:hAnsi="Arial" w:cs="Arial"/>
          <w:i/>
          <w:sz w:val="20"/>
          <w:szCs w:val="20"/>
          <w:highlight w:val="lightGray"/>
        </w:rPr>
      </w:pPr>
      <w:r>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Pr="00193A84">
        <w:rPr>
          <w:rFonts w:ascii="Arial" w:hAnsi="Arial" w:cs="Arial"/>
          <w:i/>
          <w:sz w:val="20"/>
          <w:szCs w:val="20"/>
          <w:highlight w:val="lightGray"/>
        </w:rPr>
        <w:t xml:space="preserve"> </w:t>
      </w:r>
      <w:r w:rsidR="004F6209">
        <w:rPr>
          <w:rFonts w:ascii="Arial" w:hAnsi="Arial" w:cs="Arial"/>
          <w:i/>
          <w:sz w:val="20"/>
          <w:szCs w:val="20"/>
          <w:highlight w:val="lightGray"/>
        </w:rPr>
        <w:t xml:space="preserve">hat Umfang und Tiefe der Erläuterungen so auszugestalten, dass sich </w:t>
      </w:r>
      <w:r w:rsidR="002E51D3">
        <w:rPr>
          <w:rFonts w:ascii="Arial" w:hAnsi="Arial" w:cs="Arial"/>
          <w:i/>
          <w:sz w:val="20"/>
          <w:szCs w:val="20"/>
          <w:highlight w:val="lightGray"/>
        </w:rPr>
        <w:t xml:space="preserve">der Verwaltungsrat </w:t>
      </w:r>
      <w:r w:rsidR="00795135">
        <w:rPr>
          <w:rFonts w:ascii="Arial" w:hAnsi="Arial" w:cs="Arial"/>
          <w:i/>
          <w:sz w:val="20"/>
          <w:szCs w:val="20"/>
          <w:highlight w:val="lightGray"/>
        </w:rPr>
        <w:t>des Unternehmens</w:t>
      </w:r>
      <w:r w:rsidR="002E51D3">
        <w:rPr>
          <w:rFonts w:ascii="Arial" w:hAnsi="Arial" w:cs="Arial"/>
          <w:i/>
          <w:sz w:val="20"/>
          <w:szCs w:val="20"/>
          <w:highlight w:val="lightGray"/>
        </w:rPr>
        <w:t xml:space="preserve"> bzw. der Gruppe sowie die FMA ein angemessenes Bild über das </w:t>
      </w:r>
      <w:r w:rsidR="00F77736">
        <w:rPr>
          <w:rFonts w:ascii="Arial" w:hAnsi="Arial" w:cs="Arial"/>
          <w:i/>
          <w:sz w:val="20"/>
          <w:szCs w:val="20"/>
          <w:highlight w:val="lightGray"/>
        </w:rPr>
        <w:t xml:space="preserve">abgedeckte Prüffeld </w:t>
      </w:r>
      <w:r w:rsidR="002E51D3">
        <w:rPr>
          <w:rFonts w:ascii="Arial" w:hAnsi="Arial" w:cs="Arial"/>
          <w:i/>
          <w:sz w:val="20"/>
          <w:szCs w:val="20"/>
          <w:highlight w:val="lightGray"/>
        </w:rPr>
        <w:t xml:space="preserve">bilden kann. Die Erläuterungen müssen aussagekräftig sein und Rückschlüsse auf die </w:t>
      </w:r>
      <w:r w:rsidR="001E12FA">
        <w:rPr>
          <w:rFonts w:ascii="Arial" w:hAnsi="Arial" w:cs="Arial"/>
          <w:i/>
          <w:sz w:val="20"/>
          <w:szCs w:val="20"/>
          <w:highlight w:val="lightGray"/>
        </w:rPr>
        <w:t xml:space="preserve">einzelnen </w:t>
      </w:r>
      <w:r w:rsidR="002E51D3">
        <w:rPr>
          <w:rFonts w:ascii="Arial" w:hAnsi="Arial" w:cs="Arial"/>
          <w:i/>
          <w:sz w:val="20"/>
          <w:szCs w:val="20"/>
          <w:highlight w:val="lightGray"/>
        </w:rPr>
        <w:t xml:space="preserve">Mindestprüfinhalte bzw. Prüfelemente geben. </w:t>
      </w:r>
      <w:r w:rsidR="00845076">
        <w:rPr>
          <w:rFonts w:ascii="Arial" w:hAnsi="Arial" w:cs="Arial"/>
          <w:i/>
          <w:sz w:val="20"/>
          <w:szCs w:val="20"/>
          <w:highlight w:val="lightGray"/>
        </w:rPr>
        <w:t>Zudem si</w:t>
      </w:r>
      <w:r w:rsidR="001E12FA">
        <w:rPr>
          <w:rFonts w:ascii="Arial" w:hAnsi="Arial" w:cs="Arial"/>
          <w:i/>
          <w:sz w:val="20"/>
          <w:szCs w:val="20"/>
          <w:highlight w:val="lightGray"/>
        </w:rPr>
        <w:t>nd Erläuterungen zur Stichprobenauswahl und der Stichprobengrösse im Verhältnis zum Gesamtvolumen darzulegen.</w:t>
      </w:r>
    </w:p>
    <w:p w14:paraId="79DCF84D" w14:textId="77777777" w:rsidR="0030349B" w:rsidRDefault="0030349B" w:rsidP="00047F52">
      <w:pPr>
        <w:jc w:val="both"/>
        <w:rPr>
          <w:rFonts w:ascii="Arial" w:hAnsi="Arial" w:cs="Arial"/>
          <w:i/>
          <w:sz w:val="20"/>
          <w:szCs w:val="20"/>
          <w:highlight w:val="lightGray"/>
        </w:rPr>
      </w:pPr>
    </w:p>
    <w:p w14:paraId="51328F39" w14:textId="41B02FB9" w:rsidR="007012E9" w:rsidRDefault="007012E9" w:rsidP="00047F52">
      <w:pPr>
        <w:jc w:val="both"/>
        <w:rPr>
          <w:rFonts w:ascii="Arial" w:hAnsi="Arial" w:cs="Arial"/>
          <w:i/>
          <w:sz w:val="20"/>
          <w:szCs w:val="20"/>
          <w:highlight w:val="lightGray"/>
        </w:rPr>
      </w:pPr>
      <w:r>
        <w:rPr>
          <w:rFonts w:ascii="Arial" w:hAnsi="Arial" w:cs="Arial"/>
          <w:i/>
          <w:sz w:val="20"/>
          <w:szCs w:val="20"/>
          <w:highlight w:val="lightGray"/>
        </w:rPr>
        <w:t xml:space="preserve">Für den Musterbericht und die Module gelten </w:t>
      </w:r>
      <w:r w:rsidR="00DD1307">
        <w:rPr>
          <w:rFonts w:ascii="Arial" w:hAnsi="Arial" w:cs="Arial"/>
          <w:i/>
          <w:sz w:val="20"/>
          <w:szCs w:val="20"/>
          <w:highlight w:val="lightGray"/>
        </w:rPr>
        <w:t>Mindestp</w:t>
      </w:r>
      <w:r w:rsidR="00282891">
        <w:rPr>
          <w:rFonts w:ascii="Arial" w:hAnsi="Arial" w:cs="Arial"/>
          <w:i/>
          <w:sz w:val="20"/>
          <w:szCs w:val="20"/>
          <w:highlight w:val="lightGray"/>
        </w:rPr>
        <w:t>rüfinhalte</w:t>
      </w:r>
      <w:r w:rsidR="00CE3194">
        <w:rPr>
          <w:rFonts w:ascii="Arial" w:hAnsi="Arial" w:cs="Arial"/>
          <w:i/>
          <w:sz w:val="20"/>
          <w:szCs w:val="20"/>
          <w:highlight w:val="lightGray"/>
        </w:rPr>
        <w:t xml:space="preserve"> (jeweils auslegbar auf das zugrundeliegende Prüffeld)</w:t>
      </w:r>
      <w:r w:rsidR="00282891">
        <w:rPr>
          <w:rFonts w:ascii="Arial" w:hAnsi="Arial" w:cs="Arial"/>
          <w:i/>
          <w:sz w:val="20"/>
          <w:szCs w:val="20"/>
          <w:highlight w:val="lightGray"/>
        </w:rPr>
        <w:t xml:space="preserve">, welche durch die Prüfungshandlungen </w:t>
      </w:r>
      <w:r w:rsidR="005D2709">
        <w:rPr>
          <w:rFonts w:ascii="Arial" w:hAnsi="Arial" w:cs="Arial"/>
          <w:i/>
          <w:sz w:val="20"/>
          <w:szCs w:val="20"/>
          <w:highlight w:val="lightGray"/>
        </w:rPr>
        <w:t xml:space="preserve">des </w:t>
      </w:r>
      <w:r w:rsidR="00697F22" w:rsidRPr="00697F22">
        <w:rPr>
          <w:rFonts w:ascii="Arial" w:hAnsi="Arial" w:cs="Arial"/>
          <w:i/>
          <w:sz w:val="20"/>
          <w:szCs w:val="20"/>
          <w:highlight w:val="lightGray"/>
        </w:rPr>
        <w:t>Wirtschaftsprüfer</w:t>
      </w:r>
      <w:r w:rsidR="00697F22">
        <w:rPr>
          <w:rFonts w:ascii="Arial" w:hAnsi="Arial" w:cs="Arial"/>
          <w:i/>
          <w:sz w:val="20"/>
          <w:szCs w:val="20"/>
          <w:highlight w:val="lightGray"/>
        </w:rPr>
        <w:t>s</w:t>
      </w:r>
      <w:r w:rsidR="005D2709" w:rsidRPr="00193A84">
        <w:rPr>
          <w:rFonts w:ascii="Arial" w:hAnsi="Arial" w:cs="Arial"/>
          <w:i/>
          <w:sz w:val="20"/>
          <w:szCs w:val="20"/>
          <w:highlight w:val="lightGray"/>
        </w:rPr>
        <w:t xml:space="preserve"> </w:t>
      </w:r>
      <w:r w:rsidR="00282891">
        <w:rPr>
          <w:rFonts w:ascii="Arial" w:hAnsi="Arial" w:cs="Arial"/>
          <w:i/>
          <w:sz w:val="20"/>
          <w:szCs w:val="20"/>
          <w:highlight w:val="lightGray"/>
        </w:rPr>
        <w:t>für d</w:t>
      </w:r>
      <w:r w:rsidR="002C17F7">
        <w:rPr>
          <w:rFonts w:ascii="Arial" w:hAnsi="Arial" w:cs="Arial"/>
          <w:i/>
          <w:sz w:val="20"/>
          <w:szCs w:val="20"/>
          <w:highlight w:val="lightGray"/>
        </w:rPr>
        <w:t xml:space="preserve">ie </w:t>
      </w:r>
      <w:r w:rsidR="0052155F">
        <w:rPr>
          <w:rFonts w:ascii="Arial" w:hAnsi="Arial" w:cs="Arial"/>
          <w:i/>
          <w:sz w:val="20"/>
          <w:szCs w:val="20"/>
          <w:highlight w:val="lightGray"/>
        </w:rPr>
        <w:t xml:space="preserve">Beurteilung und </w:t>
      </w:r>
      <w:r w:rsidR="002C17F7">
        <w:rPr>
          <w:rFonts w:ascii="Arial" w:hAnsi="Arial" w:cs="Arial"/>
          <w:i/>
          <w:sz w:val="20"/>
          <w:szCs w:val="20"/>
          <w:highlight w:val="lightGray"/>
        </w:rPr>
        <w:t>Abgabe der Prüfbestätigungen</w:t>
      </w:r>
      <w:r w:rsidR="00282891">
        <w:rPr>
          <w:rFonts w:ascii="Arial" w:hAnsi="Arial" w:cs="Arial"/>
          <w:i/>
          <w:sz w:val="20"/>
          <w:szCs w:val="20"/>
          <w:highlight w:val="lightGray"/>
        </w:rPr>
        <w:t xml:space="preserve"> abzudecken sind</w:t>
      </w:r>
      <w:r w:rsidR="00DA500F">
        <w:rPr>
          <w:rFonts w:ascii="Arial" w:hAnsi="Arial" w:cs="Arial"/>
          <w:i/>
          <w:sz w:val="20"/>
          <w:szCs w:val="20"/>
          <w:highlight w:val="lightGray"/>
        </w:rPr>
        <w:t>.</w:t>
      </w:r>
    </w:p>
    <w:p w14:paraId="2D2E8EC5" w14:textId="043005F9" w:rsidR="00282891" w:rsidRDefault="00282891" w:rsidP="00047F52">
      <w:pPr>
        <w:jc w:val="both"/>
        <w:rPr>
          <w:rFonts w:ascii="Arial" w:hAnsi="Arial" w:cs="Arial"/>
          <w:i/>
          <w:sz w:val="20"/>
          <w:szCs w:val="20"/>
          <w:highlight w:val="lightGray"/>
        </w:rPr>
      </w:pPr>
      <w:r>
        <w:rPr>
          <w:rFonts w:ascii="Arial" w:hAnsi="Arial" w:cs="Arial"/>
          <w:i/>
          <w:sz w:val="20"/>
          <w:szCs w:val="20"/>
          <w:highlight w:val="lightGray"/>
        </w:rPr>
        <w:t xml:space="preserve">Es liegt in der Verantwortung </w:t>
      </w:r>
      <w:r w:rsidR="005D2709">
        <w:rPr>
          <w:rFonts w:ascii="Arial" w:hAnsi="Arial" w:cs="Arial"/>
          <w:i/>
          <w:sz w:val="20"/>
          <w:szCs w:val="20"/>
          <w:highlight w:val="lightGray"/>
        </w:rPr>
        <w:t xml:space="preserve">des </w:t>
      </w:r>
      <w:r w:rsidR="00697F22" w:rsidRPr="00697F22">
        <w:rPr>
          <w:rFonts w:ascii="Arial" w:hAnsi="Arial" w:cs="Arial"/>
          <w:i/>
          <w:sz w:val="20"/>
          <w:szCs w:val="20"/>
          <w:highlight w:val="lightGray"/>
        </w:rPr>
        <w:t>Wirtschaftsprüfer</w:t>
      </w:r>
      <w:r w:rsidR="00697F22">
        <w:rPr>
          <w:rFonts w:ascii="Arial" w:hAnsi="Arial" w:cs="Arial"/>
          <w:i/>
          <w:sz w:val="20"/>
          <w:szCs w:val="20"/>
          <w:highlight w:val="lightGray"/>
        </w:rPr>
        <w:t>s</w:t>
      </w:r>
      <w:r w:rsidR="005D2709" w:rsidRPr="00193A84">
        <w:rPr>
          <w:rFonts w:ascii="Arial" w:hAnsi="Arial" w:cs="Arial"/>
          <w:i/>
          <w:sz w:val="20"/>
          <w:szCs w:val="20"/>
          <w:highlight w:val="lightGray"/>
        </w:rPr>
        <w:t xml:space="preserve"> </w:t>
      </w:r>
      <w:r>
        <w:rPr>
          <w:rFonts w:ascii="Arial" w:hAnsi="Arial" w:cs="Arial"/>
          <w:i/>
          <w:sz w:val="20"/>
          <w:szCs w:val="20"/>
          <w:highlight w:val="lightGray"/>
        </w:rPr>
        <w:t xml:space="preserve">die </w:t>
      </w:r>
      <w:r w:rsidR="00DD1307">
        <w:rPr>
          <w:rFonts w:ascii="Arial" w:hAnsi="Arial" w:cs="Arial"/>
          <w:i/>
          <w:sz w:val="20"/>
          <w:szCs w:val="20"/>
          <w:highlight w:val="lightGray"/>
        </w:rPr>
        <w:t>Mindestp</w:t>
      </w:r>
      <w:r>
        <w:rPr>
          <w:rFonts w:ascii="Arial" w:hAnsi="Arial" w:cs="Arial"/>
          <w:i/>
          <w:sz w:val="20"/>
          <w:szCs w:val="20"/>
          <w:highlight w:val="lightGray"/>
        </w:rPr>
        <w:t xml:space="preserve">rüfinhalte an die spezifische Situation </w:t>
      </w:r>
      <w:r w:rsidR="00795135">
        <w:rPr>
          <w:rFonts w:ascii="Arial" w:hAnsi="Arial" w:cs="Arial"/>
          <w:i/>
          <w:sz w:val="20"/>
          <w:szCs w:val="20"/>
          <w:highlight w:val="lightGray"/>
        </w:rPr>
        <w:t>des zu prüfenden Unternehmens</w:t>
      </w:r>
      <w:r>
        <w:rPr>
          <w:rFonts w:ascii="Arial" w:hAnsi="Arial" w:cs="Arial"/>
          <w:i/>
          <w:sz w:val="20"/>
          <w:szCs w:val="20"/>
          <w:highlight w:val="lightGray"/>
        </w:rPr>
        <w:t xml:space="preserve"> bzw. an die Prüftiefe anzupassen</w:t>
      </w:r>
      <w:r w:rsidR="00B13D3A">
        <w:rPr>
          <w:rFonts w:ascii="Arial" w:hAnsi="Arial" w:cs="Arial"/>
          <w:i/>
          <w:sz w:val="20"/>
          <w:szCs w:val="20"/>
          <w:highlight w:val="lightGray"/>
        </w:rPr>
        <w:t xml:space="preserve"> und ggf. auszuweiten</w:t>
      </w:r>
      <w:r>
        <w:rPr>
          <w:rFonts w:ascii="Arial" w:hAnsi="Arial" w:cs="Arial"/>
          <w:i/>
          <w:sz w:val="20"/>
          <w:szCs w:val="20"/>
          <w:highlight w:val="lightGray"/>
        </w:rPr>
        <w:t xml:space="preserve">. Werden die </w:t>
      </w:r>
      <w:r w:rsidR="00DD1307">
        <w:rPr>
          <w:rFonts w:ascii="Arial" w:hAnsi="Arial" w:cs="Arial"/>
          <w:i/>
          <w:sz w:val="20"/>
          <w:szCs w:val="20"/>
          <w:highlight w:val="lightGray"/>
        </w:rPr>
        <w:t>Mindestp</w:t>
      </w:r>
      <w:r>
        <w:rPr>
          <w:rFonts w:ascii="Arial" w:hAnsi="Arial" w:cs="Arial"/>
          <w:i/>
          <w:sz w:val="20"/>
          <w:szCs w:val="20"/>
          <w:highlight w:val="lightGray"/>
        </w:rPr>
        <w:t xml:space="preserve">rüfinhalte durch die durchgeführten Prüfungshandlungen nicht vollständig abgedeckt, ist im Bericht über die </w:t>
      </w:r>
      <w:r w:rsidR="00795135">
        <w:rPr>
          <w:rFonts w:ascii="Arial" w:hAnsi="Arial" w:cs="Arial"/>
          <w:i/>
          <w:sz w:val="20"/>
          <w:szCs w:val="20"/>
          <w:highlight w:val="lightGray"/>
        </w:rPr>
        <w:t>P</w:t>
      </w:r>
      <w:r>
        <w:rPr>
          <w:rFonts w:ascii="Arial" w:hAnsi="Arial" w:cs="Arial"/>
          <w:i/>
          <w:sz w:val="20"/>
          <w:szCs w:val="20"/>
          <w:highlight w:val="lightGray"/>
        </w:rPr>
        <w:t>rüfung darauf hinzuweisen</w:t>
      </w:r>
      <w:r w:rsidR="00227ADB">
        <w:rPr>
          <w:rFonts w:ascii="Arial" w:hAnsi="Arial" w:cs="Arial"/>
          <w:i/>
          <w:sz w:val="20"/>
          <w:szCs w:val="20"/>
          <w:highlight w:val="lightGray"/>
        </w:rPr>
        <w:t xml:space="preserve"> und zu begründen</w:t>
      </w:r>
      <w:r>
        <w:rPr>
          <w:rFonts w:ascii="Arial" w:hAnsi="Arial" w:cs="Arial"/>
          <w:i/>
          <w:sz w:val="20"/>
          <w:szCs w:val="20"/>
          <w:highlight w:val="lightGray"/>
        </w:rPr>
        <w:t xml:space="preserve">. </w:t>
      </w:r>
    </w:p>
    <w:p w14:paraId="6E27EB83" w14:textId="77777777" w:rsidR="002309A6" w:rsidRDefault="002309A6" w:rsidP="00515AB5">
      <w:pPr>
        <w:jc w:val="both"/>
        <w:rPr>
          <w:rFonts w:ascii="Arial" w:hAnsi="Arial" w:cs="Arial"/>
          <w:i/>
          <w:sz w:val="20"/>
          <w:szCs w:val="20"/>
          <w:highlight w:val="lightGray"/>
        </w:rPr>
      </w:pPr>
    </w:p>
    <w:p w14:paraId="5FC49D0D" w14:textId="4C077030" w:rsidR="0012542F" w:rsidRDefault="006819F9" w:rsidP="00C37D08">
      <w:pPr>
        <w:pStyle w:val="FINMAGliederungEbene1"/>
      </w:pPr>
      <w:r>
        <w:br w:type="page"/>
      </w:r>
      <w:bookmarkStart w:id="12" w:name="_Toc147141445"/>
      <w:r w:rsidR="0012542F">
        <w:lastRenderedPageBreak/>
        <w:t>Allgemeiner Teil</w:t>
      </w:r>
      <w:bookmarkEnd w:id="12"/>
    </w:p>
    <w:p w14:paraId="7FF1CB1A" w14:textId="7A09A9D0" w:rsidR="0012542F" w:rsidRPr="0012542F" w:rsidRDefault="0012542F" w:rsidP="0012542F">
      <w:pPr>
        <w:rPr>
          <w:rFonts w:ascii="Arial" w:hAnsi="Arial" w:cs="Arial"/>
          <w:sz w:val="20"/>
          <w:szCs w:val="22"/>
        </w:rPr>
      </w:pPr>
    </w:p>
    <w:p w14:paraId="17AB6A1D" w14:textId="47BDEB6B" w:rsidR="008C30D1" w:rsidRDefault="00D930ED" w:rsidP="00C37D08">
      <w:pPr>
        <w:pStyle w:val="FINMAGliederungEbene2"/>
      </w:pPr>
      <w:bookmarkStart w:id="13" w:name="_Toc147141446"/>
      <w:r>
        <w:t xml:space="preserve">Ausfall- und </w:t>
      </w:r>
      <w:r w:rsidR="008817A9">
        <w:t>Liquidations</w:t>
      </w:r>
      <w:r w:rsidR="00A64A54">
        <w:t>perspektive</w:t>
      </w:r>
      <w:bookmarkEnd w:id="13"/>
    </w:p>
    <w:p w14:paraId="2612AB9C" w14:textId="77777777" w:rsidR="00D146EF" w:rsidRPr="006067FE" w:rsidRDefault="00D146EF" w:rsidP="00D146EF">
      <w:pPr>
        <w:jc w:val="both"/>
      </w:pPr>
    </w:p>
    <w:tbl>
      <w:tblPr>
        <w:tblStyle w:val="Tabellenraster"/>
        <w:tblW w:w="0" w:type="auto"/>
        <w:tblLook w:val="04A0" w:firstRow="1" w:lastRow="0" w:firstColumn="1" w:lastColumn="0" w:noHBand="0" w:noVBand="1"/>
      </w:tblPr>
      <w:tblGrid>
        <w:gridCol w:w="617"/>
        <w:gridCol w:w="1626"/>
        <w:gridCol w:w="2124"/>
        <w:gridCol w:w="2653"/>
        <w:gridCol w:w="2494"/>
      </w:tblGrid>
      <w:tr w:rsidR="009872F3" w:rsidRPr="009872F3" w14:paraId="0B98D3A1" w14:textId="77777777" w:rsidTr="0096765A">
        <w:trPr>
          <w:trHeight w:val="563"/>
        </w:trPr>
        <w:tc>
          <w:tcPr>
            <w:tcW w:w="2243" w:type="dxa"/>
            <w:gridSpan w:val="2"/>
            <w:shd w:val="clear" w:color="auto" w:fill="DBE5F1" w:themeFill="accent1" w:themeFillTint="33"/>
          </w:tcPr>
          <w:p w14:paraId="5AB519C0" w14:textId="77777777" w:rsidR="009872F3" w:rsidRPr="009872F3" w:rsidRDefault="009872F3" w:rsidP="008C30D1">
            <w:pPr>
              <w:jc w:val="both"/>
              <w:rPr>
                <w:rFonts w:ascii="Arial" w:hAnsi="Arial" w:cs="Arial"/>
                <w:sz w:val="18"/>
                <w:szCs w:val="18"/>
              </w:rPr>
            </w:pPr>
            <w:r w:rsidRPr="009872F3">
              <w:rPr>
                <w:rFonts w:ascii="Arial" w:hAnsi="Arial" w:cs="Arial"/>
                <w:sz w:val="18"/>
                <w:szCs w:val="18"/>
              </w:rPr>
              <w:t>Nettorisiko</w:t>
            </w:r>
          </w:p>
        </w:tc>
        <w:tc>
          <w:tcPr>
            <w:tcW w:w="2124" w:type="dxa"/>
            <w:shd w:val="clear" w:color="auto" w:fill="DBE5F1" w:themeFill="accent1" w:themeFillTint="33"/>
          </w:tcPr>
          <w:p w14:paraId="70A9C2E6" w14:textId="77777777" w:rsidR="009872F3" w:rsidRPr="009872F3" w:rsidRDefault="009872F3" w:rsidP="008C30D1">
            <w:pPr>
              <w:jc w:val="both"/>
              <w:rPr>
                <w:rFonts w:ascii="Arial" w:hAnsi="Arial" w:cs="Arial"/>
                <w:sz w:val="18"/>
                <w:szCs w:val="18"/>
              </w:rPr>
            </w:pPr>
            <w:r w:rsidRPr="009872F3">
              <w:rPr>
                <w:rFonts w:ascii="Arial" w:hAnsi="Arial" w:cs="Arial"/>
                <w:sz w:val="18"/>
                <w:szCs w:val="18"/>
              </w:rPr>
              <w:t>Intervention Berichtsjahr:</w:t>
            </w:r>
          </w:p>
        </w:tc>
        <w:tc>
          <w:tcPr>
            <w:tcW w:w="5147" w:type="dxa"/>
            <w:gridSpan w:val="2"/>
            <w:shd w:val="clear" w:color="auto" w:fill="DBE5F1" w:themeFill="accent1" w:themeFillTint="33"/>
          </w:tcPr>
          <w:p w14:paraId="3BA6DDD4" w14:textId="77777777" w:rsidR="009872F3" w:rsidRPr="009872F3" w:rsidRDefault="009872F3" w:rsidP="008C30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9872F3" w:rsidRPr="009872F3" w14:paraId="1B1D3C34" w14:textId="77777777" w:rsidTr="0096765A">
        <w:trPr>
          <w:trHeight w:val="698"/>
        </w:trPr>
        <w:tc>
          <w:tcPr>
            <w:tcW w:w="2243" w:type="dxa"/>
            <w:gridSpan w:val="2"/>
            <w:shd w:val="clear" w:color="auto" w:fill="DBE5F1" w:themeFill="accent1" w:themeFillTint="33"/>
          </w:tcPr>
          <w:p w14:paraId="00FB7127" w14:textId="2C9CE3F3" w:rsidR="009872F3" w:rsidRPr="006749F0" w:rsidRDefault="009872F3" w:rsidP="00F60909">
            <w:pPr>
              <w:jc w:val="both"/>
              <w:rPr>
                <w:rFonts w:ascii="Arial" w:hAnsi="Arial" w:cs="Arial"/>
                <w:i/>
                <w:sz w:val="18"/>
                <w:szCs w:val="18"/>
                <w:highlight w:val="green"/>
              </w:rPr>
            </w:pPr>
            <w:r w:rsidRPr="006749F0">
              <w:rPr>
                <w:rFonts w:ascii="Arial" w:hAnsi="Arial" w:cs="Arial"/>
                <w:i/>
                <w:sz w:val="18"/>
                <w:szCs w:val="18"/>
                <w:highlight w:val="yellow"/>
              </w:rPr>
              <w:t>niedrig</w:t>
            </w:r>
            <w:r w:rsidR="00F60909">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24" w:type="dxa"/>
            <w:shd w:val="clear" w:color="auto" w:fill="DBE5F1" w:themeFill="accent1" w:themeFillTint="33"/>
          </w:tcPr>
          <w:p w14:paraId="49309858" w14:textId="77777777" w:rsidR="009872F3" w:rsidRPr="006749F0" w:rsidRDefault="009872F3" w:rsidP="008C30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2653" w:type="dxa"/>
            <w:shd w:val="clear" w:color="auto" w:fill="DBE5F1" w:themeFill="accent1" w:themeFillTint="33"/>
          </w:tcPr>
          <w:p w14:paraId="68514421" w14:textId="77777777" w:rsidR="009872F3" w:rsidRPr="009872F3" w:rsidRDefault="009872F3" w:rsidP="006749F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006749F0" w:rsidRPr="006749F0">
              <w:rPr>
                <w:rFonts w:ascii="Arial" w:hAnsi="Arial" w:cs="Arial"/>
                <w:i/>
                <w:sz w:val="18"/>
                <w:szCs w:val="18"/>
                <w:highlight w:val="yellow"/>
              </w:rPr>
              <w:t>Jahr</w:t>
            </w:r>
          </w:p>
        </w:tc>
        <w:tc>
          <w:tcPr>
            <w:tcW w:w="2494" w:type="dxa"/>
            <w:shd w:val="clear" w:color="auto" w:fill="DBE5F1" w:themeFill="accent1" w:themeFillTint="33"/>
          </w:tcPr>
          <w:p w14:paraId="10AF9B54" w14:textId="77777777" w:rsidR="006749F0" w:rsidRDefault="009872F3" w:rsidP="006749F0">
            <w:pPr>
              <w:jc w:val="both"/>
              <w:rPr>
                <w:rFonts w:ascii="Arial" w:hAnsi="Arial" w:cs="Arial"/>
                <w:sz w:val="18"/>
                <w:szCs w:val="18"/>
                <w:highlight w:val="yellow"/>
              </w:rPr>
            </w:pPr>
            <w:r w:rsidRPr="009872F3">
              <w:rPr>
                <w:rFonts w:ascii="Arial" w:hAnsi="Arial" w:cs="Arial"/>
                <w:sz w:val="18"/>
                <w:szCs w:val="18"/>
              </w:rPr>
              <w:t>Kritische Beurteilung</w:t>
            </w:r>
            <w:r w:rsidR="006749F0">
              <w:rPr>
                <w:rFonts w:ascii="Arial" w:hAnsi="Arial" w:cs="Arial"/>
                <w:sz w:val="18"/>
                <w:szCs w:val="18"/>
              </w:rPr>
              <w:t>:</w:t>
            </w:r>
            <w:r w:rsidRPr="006749F0">
              <w:rPr>
                <w:rFonts w:ascii="Arial" w:hAnsi="Arial" w:cs="Arial"/>
                <w:sz w:val="18"/>
                <w:szCs w:val="18"/>
                <w:highlight w:val="yellow"/>
              </w:rPr>
              <w:t xml:space="preserve"> </w:t>
            </w:r>
          </w:p>
          <w:p w14:paraId="3BE6AA3A" w14:textId="77777777" w:rsidR="009872F3" w:rsidRPr="006749F0" w:rsidRDefault="009872F3" w:rsidP="006749F0">
            <w:pPr>
              <w:jc w:val="both"/>
              <w:rPr>
                <w:rFonts w:ascii="Arial" w:hAnsi="Arial" w:cs="Arial"/>
                <w:i/>
                <w:sz w:val="18"/>
                <w:szCs w:val="18"/>
              </w:rPr>
            </w:pPr>
            <w:r w:rsidRPr="006749F0">
              <w:rPr>
                <w:rFonts w:ascii="Arial" w:hAnsi="Arial" w:cs="Arial"/>
                <w:i/>
                <w:sz w:val="18"/>
                <w:szCs w:val="18"/>
                <w:highlight w:val="yellow"/>
              </w:rPr>
              <w:t>Jahr</w:t>
            </w:r>
          </w:p>
        </w:tc>
      </w:tr>
      <w:tr w:rsidR="009872F3" w:rsidRPr="009872F3" w14:paraId="5A40FC93" w14:textId="77777777" w:rsidTr="003C6896">
        <w:trPr>
          <w:trHeight w:val="636"/>
        </w:trPr>
        <w:tc>
          <w:tcPr>
            <w:tcW w:w="9514" w:type="dxa"/>
            <w:gridSpan w:val="5"/>
            <w:shd w:val="clear" w:color="auto" w:fill="DBE5F1" w:themeFill="accent1" w:themeFillTint="33"/>
          </w:tcPr>
          <w:p w14:paraId="141FB123" w14:textId="77777777" w:rsidR="00D32831" w:rsidRPr="002B5AD4" w:rsidRDefault="00D32831" w:rsidP="00D32831">
            <w:pPr>
              <w:jc w:val="both"/>
              <w:rPr>
                <w:rFonts w:ascii="Arial" w:hAnsi="Arial" w:cs="Arial"/>
                <w:i/>
                <w:sz w:val="18"/>
                <w:szCs w:val="18"/>
              </w:rPr>
            </w:pPr>
            <w:r w:rsidRPr="002B5AD4">
              <w:rPr>
                <w:rFonts w:ascii="Arial" w:hAnsi="Arial" w:cs="Arial"/>
                <w:i/>
                <w:sz w:val="18"/>
                <w:szCs w:val="18"/>
              </w:rPr>
              <w:t xml:space="preserve">Referenzen (demonstrativ): </w:t>
            </w:r>
          </w:p>
          <w:p w14:paraId="0107BD1E" w14:textId="760B31D0" w:rsidR="005462CE" w:rsidRPr="002B5AD4" w:rsidRDefault="005462CE" w:rsidP="00C37D08">
            <w:pPr>
              <w:pStyle w:val="Listenabsatz"/>
              <w:numPr>
                <w:ilvl w:val="0"/>
                <w:numId w:val="9"/>
              </w:numPr>
              <w:ind w:left="308"/>
              <w:jc w:val="both"/>
              <w:rPr>
                <w:rFonts w:cs="Arial"/>
                <w:sz w:val="18"/>
                <w:szCs w:val="18"/>
              </w:rPr>
            </w:pPr>
            <w:r>
              <w:rPr>
                <w:rFonts w:cs="Arial"/>
                <w:sz w:val="18"/>
                <w:szCs w:val="18"/>
              </w:rPr>
              <w:t xml:space="preserve">Art. 39 und </w:t>
            </w:r>
            <w:r w:rsidR="005728E4" w:rsidRPr="002B5AD4">
              <w:rPr>
                <w:rFonts w:cs="Arial"/>
                <w:sz w:val="18"/>
                <w:szCs w:val="18"/>
              </w:rPr>
              <w:t>100</w:t>
            </w:r>
            <w:r w:rsidR="00D32831" w:rsidRPr="002B5AD4">
              <w:rPr>
                <w:rFonts w:cs="Arial"/>
                <w:sz w:val="18"/>
                <w:szCs w:val="18"/>
              </w:rPr>
              <w:t xml:space="preserve"> SAG</w:t>
            </w:r>
          </w:p>
          <w:p w14:paraId="11079986" w14:textId="1F848A9D" w:rsidR="004645FA" w:rsidRDefault="004645FA" w:rsidP="004645FA">
            <w:pPr>
              <w:pStyle w:val="Listenabsatz"/>
              <w:numPr>
                <w:ilvl w:val="0"/>
                <w:numId w:val="9"/>
              </w:numPr>
              <w:ind w:left="308"/>
              <w:jc w:val="both"/>
              <w:rPr>
                <w:rFonts w:cs="Arial"/>
                <w:sz w:val="18"/>
                <w:szCs w:val="18"/>
              </w:rPr>
            </w:pPr>
            <w:r w:rsidRPr="008165F5">
              <w:rPr>
                <w:rFonts w:cs="Arial"/>
                <w:sz w:val="18"/>
                <w:szCs w:val="18"/>
              </w:rPr>
              <w:t>Delegierte Verordnung (EU) 2016/1401 im Hinblick auf technische Regulierungsstandards für Methoden und Grundsätze der Bewertung von aus Derivaten entstehenden Verbindlichkeiten</w:t>
            </w:r>
            <w:r>
              <w:rPr>
                <w:rFonts w:cs="Arial"/>
                <w:sz w:val="18"/>
                <w:szCs w:val="18"/>
              </w:rPr>
              <w:t xml:space="preserve"> (</w:t>
            </w:r>
            <w:proofErr w:type="spellStart"/>
            <w:r w:rsidR="00BE3FD1">
              <w:rPr>
                <w:rFonts w:cs="Arial"/>
                <w:sz w:val="18"/>
                <w:szCs w:val="18"/>
              </w:rPr>
              <w:t>d</w:t>
            </w:r>
            <w:r>
              <w:rPr>
                <w:rFonts w:cs="Arial"/>
                <w:sz w:val="18"/>
                <w:szCs w:val="18"/>
              </w:rPr>
              <w:t>elVO</w:t>
            </w:r>
            <w:proofErr w:type="spellEnd"/>
            <w:r>
              <w:rPr>
                <w:rFonts w:cs="Arial"/>
                <w:sz w:val="18"/>
                <w:szCs w:val="18"/>
              </w:rPr>
              <w:t xml:space="preserve"> Derivate)</w:t>
            </w:r>
          </w:p>
          <w:p w14:paraId="475CCD3F" w14:textId="64E7DD87" w:rsidR="00355AD3" w:rsidRPr="002B5AD4" w:rsidRDefault="00355AD3" w:rsidP="00355AD3">
            <w:pPr>
              <w:pStyle w:val="Listenabsatz"/>
              <w:numPr>
                <w:ilvl w:val="0"/>
                <w:numId w:val="9"/>
              </w:numPr>
              <w:ind w:left="308"/>
              <w:jc w:val="both"/>
              <w:rPr>
                <w:rFonts w:cs="Arial"/>
                <w:sz w:val="18"/>
                <w:szCs w:val="18"/>
              </w:rPr>
            </w:pPr>
            <w:r w:rsidRPr="002B5AD4">
              <w:rPr>
                <w:rFonts w:cs="Arial"/>
                <w:sz w:val="18"/>
                <w:szCs w:val="18"/>
              </w:rPr>
              <w:t>Delegierte Verordnung (EU) 2018/344 der Kommission vom 14. November 2017 zur Ergänzung der Richtlinie 2014/59/EU des Europäischen Parlaments und des Rates im Hinblick auf technische Regulierungsstandards zur Festlegung der Kriterien für die Methoden zur Bewertung einer unterschiedlichen Behandlung bei der Abwicklung</w:t>
            </w:r>
            <w:r w:rsidR="004D2B47" w:rsidRPr="002B5AD4">
              <w:rPr>
                <w:rFonts w:cs="Arial"/>
                <w:sz w:val="18"/>
                <w:szCs w:val="18"/>
              </w:rPr>
              <w:t xml:space="preserve"> («delV</w:t>
            </w:r>
            <w:r w:rsidR="00355A55">
              <w:rPr>
                <w:rFonts w:cs="Arial"/>
                <w:sz w:val="18"/>
                <w:szCs w:val="18"/>
              </w:rPr>
              <w:t>O</w:t>
            </w:r>
            <w:r w:rsidR="004D2B47" w:rsidRPr="002B5AD4">
              <w:rPr>
                <w:rFonts w:cs="Arial"/>
                <w:sz w:val="18"/>
                <w:szCs w:val="18"/>
              </w:rPr>
              <w:t xml:space="preserve"> Bewertung»)</w:t>
            </w:r>
          </w:p>
          <w:p w14:paraId="1BCB43B2" w14:textId="44E247B2" w:rsidR="00EC4E7A" w:rsidRPr="002B5AD4" w:rsidRDefault="00EC4E7A" w:rsidP="00355AD3">
            <w:pPr>
              <w:pStyle w:val="Listenabsatz"/>
              <w:numPr>
                <w:ilvl w:val="0"/>
                <w:numId w:val="9"/>
              </w:numPr>
              <w:ind w:left="308"/>
              <w:jc w:val="both"/>
              <w:rPr>
                <w:rFonts w:cs="Arial"/>
                <w:sz w:val="18"/>
                <w:szCs w:val="18"/>
              </w:rPr>
            </w:pPr>
            <w:r w:rsidRPr="002B5AD4">
              <w:rPr>
                <w:rFonts w:cs="Arial"/>
                <w:sz w:val="18"/>
                <w:szCs w:val="18"/>
              </w:rPr>
              <w:t>Delegierte Verordnung (EU) 2018/345 der Kommission vom 14. November 2017 zur Ergänzung der Richtlinie 2014/59/EU des Europäischen Parlaments und des Rates durch technische Regulierungsstandards zur Präzisierung der Kriterien im Zusammenhang mit der Methode zur Bewertung der Vermögenswerte und Verbindlichkeiten von Instituten oder Unternehmen («delV</w:t>
            </w:r>
            <w:r w:rsidR="007924E5">
              <w:rPr>
                <w:rFonts w:cs="Arial"/>
                <w:sz w:val="18"/>
                <w:szCs w:val="18"/>
              </w:rPr>
              <w:t>O</w:t>
            </w:r>
            <w:r w:rsidRPr="002B5AD4">
              <w:rPr>
                <w:rFonts w:cs="Arial"/>
                <w:sz w:val="18"/>
                <w:szCs w:val="18"/>
              </w:rPr>
              <w:t xml:space="preserve"> Bewertung A/L»)</w:t>
            </w:r>
          </w:p>
          <w:p w14:paraId="30B63CA3" w14:textId="4FE86376" w:rsidR="002B5AD4" w:rsidRPr="0096765A" w:rsidRDefault="002B5AD4">
            <w:pPr>
              <w:pStyle w:val="Listenabsatz"/>
              <w:numPr>
                <w:ilvl w:val="0"/>
                <w:numId w:val="9"/>
              </w:numPr>
              <w:ind w:left="308"/>
              <w:jc w:val="both"/>
              <w:rPr>
                <w:rFonts w:cs="Arial"/>
                <w:sz w:val="18"/>
                <w:szCs w:val="18"/>
              </w:rPr>
            </w:pPr>
            <w:r w:rsidRPr="002B5AD4">
              <w:rPr>
                <w:rFonts w:cs="Arial"/>
                <w:sz w:val="18"/>
                <w:szCs w:val="18"/>
              </w:rPr>
              <w:t>FMA-Mitteilung 2022/02 betreffend die Festlegung der Mindestanforderung an Eigenmittel und berücksichtigungsfähige Verbindlichkeiten und entsprechender Schnittstellen zur Abwicklungsplanung für Banken und Wertpapierfirmen («MREL-Policy»)</w:t>
            </w:r>
          </w:p>
        </w:tc>
      </w:tr>
      <w:tr w:rsidR="009872F3" w:rsidRPr="009872F3" w14:paraId="00EBC1AC" w14:textId="77777777" w:rsidTr="003C6896">
        <w:trPr>
          <w:trHeight w:val="294"/>
        </w:trPr>
        <w:tc>
          <w:tcPr>
            <w:tcW w:w="9514" w:type="dxa"/>
            <w:gridSpan w:val="5"/>
          </w:tcPr>
          <w:p w14:paraId="0A26788F" w14:textId="77777777" w:rsidR="009872F3" w:rsidRPr="002B5AD4" w:rsidRDefault="009872F3" w:rsidP="008C30D1">
            <w:pPr>
              <w:jc w:val="both"/>
              <w:rPr>
                <w:rFonts w:ascii="Arial" w:hAnsi="Arial" w:cs="Arial"/>
                <w:sz w:val="18"/>
                <w:szCs w:val="18"/>
              </w:rPr>
            </w:pPr>
          </w:p>
        </w:tc>
      </w:tr>
      <w:tr w:rsidR="00464587" w:rsidRPr="009872F3" w14:paraId="6001E7F1" w14:textId="77777777" w:rsidTr="0096765A">
        <w:trPr>
          <w:trHeight w:val="294"/>
        </w:trPr>
        <w:tc>
          <w:tcPr>
            <w:tcW w:w="617" w:type="dxa"/>
          </w:tcPr>
          <w:p w14:paraId="0FAE723A" w14:textId="354FBEEE" w:rsidR="00464587" w:rsidRPr="009872F3" w:rsidRDefault="00464587" w:rsidP="00464587">
            <w:pPr>
              <w:jc w:val="both"/>
              <w:rPr>
                <w:rFonts w:ascii="Arial" w:hAnsi="Arial" w:cs="Arial"/>
                <w:sz w:val="18"/>
                <w:szCs w:val="18"/>
              </w:rPr>
            </w:pPr>
            <w:r>
              <w:rPr>
                <w:rFonts w:ascii="Arial" w:hAnsi="Arial" w:cs="Arial"/>
                <w:sz w:val="18"/>
                <w:szCs w:val="18"/>
              </w:rPr>
              <w:t>1</w:t>
            </w:r>
          </w:p>
        </w:tc>
        <w:tc>
          <w:tcPr>
            <w:tcW w:w="6403" w:type="dxa"/>
            <w:gridSpan w:val="3"/>
          </w:tcPr>
          <w:p w14:paraId="3260C901" w14:textId="6434A5CB" w:rsidR="00464587" w:rsidRPr="002B5AD4" w:rsidRDefault="00464587" w:rsidP="00464587">
            <w:pPr>
              <w:jc w:val="both"/>
              <w:rPr>
                <w:rFonts w:ascii="Arial" w:hAnsi="Arial" w:cs="Arial"/>
                <w:sz w:val="18"/>
                <w:szCs w:val="18"/>
              </w:rPr>
            </w:pPr>
            <w:r w:rsidRPr="002B5AD4">
              <w:rPr>
                <w:rFonts w:ascii="Arial" w:hAnsi="Arial" w:cs="Arial"/>
                <w:sz w:val="18"/>
                <w:szCs w:val="18"/>
              </w:rPr>
              <w:t xml:space="preserve">Bestätigung, dass die internen Verfahren </w:t>
            </w:r>
            <w:r w:rsidR="00BD04AD" w:rsidRPr="002B5AD4">
              <w:rPr>
                <w:rFonts w:ascii="Arial" w:hAnsi="Arial" w:cs="Arial"/>
                <w:sz w:val="18"/>
                <w:szCs w:val="18"/>
              </w:rPr>
              <w:t xml:space="preserve">Mechanismen vorsehen, um </w:t>
            </w:r>
            <w:r w:rsidR="001E1439" w:rsidRPr="002B5AD4">
              <w:rPr>
                <w:rFonts w:ascii="Arial" w:hAnsi="Arial" w:cs="Arial"/>
                <w:sz w:val="18"/>
                <w:szCs w:val="18"/>
              </w:rPr>
              <w:t xml:space="preserve">im Bedarfsfall </w:t>
            </w:r>
            <w:r w:rsidR="00BD04AD" w:rsidRPr="002B5AD4">
              <w:rPr>
                <w:rFonts w:ascii="Arial" w:hAnsi="Arial" w:cs="Arial"/>
                <w:sz w:val="18"/>
                <w:szCs w:val="18"/>
              </w:rPr>
              <w:t>einen</w:t>
            </w:r>
            <w:r w:rsidR="00282A38" w:rsidRPr="002B5AD4">
              <w:rPr>
                <w:rFonts w:ascii="Arial" w:hAnsi="Arial" w:cs="Arial"/>
                <w:sz w:val="18"/>
                <w:szCs w:val="18"/>
              </w:rPr>
              <w:t xml:space="preserve"> </w:t>
            </w:r>
            <w:r w:rsidRPr="002B5AD4">
              <w:rPr>
                <w:rFonts w:ascii="Arial" w:hAnsi="Arial" w:cs="Arial"/>
                <w:sz w:val="18"/>
                <w:szCs w:val="18"/>
              </w:rPr>
              <w:t xml:space="preserve">Ausfall oder wahrscheinlichen Ausfall des Unternehmens nach Art. 39 SAG </w:t>
            </w:r>
            <w:r w:rsidR="00282A38" w:rsidRPr="002B5AD4">
              <w:rPr>
                <w:rFonts w:ascii="Arial" w:hAnsi="Arial" w:cs="Arial"/>
                <w:sz w:val="18"/>
                <w:szCs w:val="18"/>
              </w:rPr>
              <w:t>zu identifizieren</w:t>
            </w:r>
            <w:r w:rsidR="00AA0EBD" w:rsidRPr="002B5AD4">
              <w:rPr>
                <w:rFonts w:ascii="Arial" w:hAnsi="Arial" w:cs="Arial"/>
                <w:sz w:val="18"/>
                <w:szCs w:val="18"/>
              </w:rPr>
              <w:t xml:space="preserve"> und eine</w:t>
            </w:r>
            <w:r w:rsidRPr="002B5AD4">
              <w:rPr>
                <w:rFonts w:ascii="Arial" w:hAnsi="Arial" w:cs="Arial"/>
                <w:sz w:val="18"/>
                <w:szCs w:val="18"/>
              </w:rPr>
              <w:t xml:space="preserve"> unverzügliche Anzeige an die FMA </w:t>
            </w:r>
            <w:r w:rsidR="00D852F8" w:rsidRPr="002B5AD4">
              <w:rPr>
                <w:rFonts w:ascii="Arial" w:hAnsi="Arial" w:cs="Arial"/>
                <w:sz w:val="18"/>
                <w:szCs w:val="18"/>
              </w:rPr>
              <w:t xml:space="preserve">zu </w:t>
            </w:r>
            <w:r w:rsidR="009A4282" w:rsidRPr="002B5AD4">
              <w:rPr>
                <w:rFonts w:ascii="Arial" w:hAnsi="Arial" w:cs="Arial"/>
                <w:sz w:val="18"/>
                <w:szCs w:val="18"/>
              </w:rPr>
              <w:t>ermöglichen</w:t>
            </w:r>
            <w:r w:rsidR="00D75EF2" w:rsidRPr="002B5AD4">
              <w:rPr>
                <w:rFonts w:ascii="Arial" w:hAnsi="Arial" w:cs="Arial"/>
                <w:sz w:val="18"/>
                <w:szCs w:val="18"/>
              </w:rPr>
              <w:t xml:space="preserve"> </w:t>
            </w:r>
            <w:r w:rsidRPr="002B5AD4">
              <w:rPr>
                <w:rFonts w:ascii="Arial" w:hAnsi="Arial" w:cs="Arial"/>
                <w:sz w:val="18"/>
                <w:szCs w:val="18"/>
              </w:rPr>
              <w:t xml:space="preserve">(Art. 100 Abs. 1 SAG).   </w:t>
            </w:r>
          </w:p>
        </w:tc>
        <w:tc>
          <w:tcPr>
            <w:tcW w:w="2494" w:type="dxa"/>
          </w:tcPr>
          <w:p w14:paraId="2B9075BF" w14:textId="206D8DB2" w:rsidR="00464587" w:rsidRPr="009872F3" w:rsidRDefault="00464587" w:rsidP="00464587">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C6896" w:rsidRPr="009872F3" w14:paraId="602D803F" w14:textId="77777777" w:rsidTr="0096765A">
        <w:trPr>
          <w:trHeight w:val="294"/>
        </w:trPr>
        <w:tc>
          <w:tcPr>
            <w:tcW w:w="617" w:type="dxa"/>
          </w:tcPr>
          <w:p w14:paraId="061EBDBB" w14:textId="5A282B4E" w:rsidR="003C6896" w:rsidRPr="009872F3" w:rsidRDefault="003C6896" w:rsidP="003C6896">
            <w:pPr>
              <w:jc w:val="both"/>
              <w:rPr>
                <w:rFonts w:ascii="Arial" w:hAnsi="Arial" w:cs="Arial"/>
                <w:sz w:val="18"/>
                <w:szCs w:val="18"/>
              </w:rPr>
            </w:pPr>
            <w:r>
              <w:rPr>
                <w:rFonts w:ascii="Arial" w:hAnsi="Arial" w:cs="Arial"/>
                <w:sz w:val="18"/>
                <w:szCs w:val="18"/>
              </w:rPr>
              <w:t>2</w:t>
            </w:r>
          </w:p>
        </w:tc>
        <w:tc>
          <w:tcPr>
            <w:tcW w:w="6403" w:type="dxa"/>
            <w:gridSpan w:val="3"/>
          </w:tcPr>
          <w:p w14:paraId="6461561F" w14:textId="4356FB2B" w:rsidR="003C6896" w:rsidRPr="009872F3" w:rsidRDefault="003C6896" w:rsidP="003C6896">
            <w:pPr>
              <w:jc w:val="both"/>
              <w:rPr>
                <w:rFonts w:ascii="Arial" w:hAnsi="Arial" w:cs="Arial"/>
                <w:sz w:val="18"/>
                <w:szCs w:val="18"/>
              </w:rPr>
            </w:pPr>
            <w:r w:rsidRPr="008817A9">
              <w:rPr>
                <w:rFonts w:ascii="Arial" w:hAnsi="Arial" w:cs="Arial"/>
                <w:sz w:val="18"/>
                <w:szCs w:val="18"/>
              </w:rPr>
              <w:t>Bestätigung, dass die internen Verfahren</w:t>
            </w:r>
            <w:r>
              <w:rPr>
                <w:rFonts w:ascii="Arial" w:hAnsi="Arial" w:cs="Arial"/>
                <w:sz w:val="18"/>
                <w:szCs w:val="18"/>
              </w:rPr>
              <w:t xml:space="preserve"> eine Bewertung </w:t>
            </w:r>
            <w:r w:rsidR="00C93AFC">
              <w:rPr>
                <w:rFonts w:ascii="Arial" w:hAnsi="Arial" w:cs="Arial"/>
                <w:sz w:val="18"/>
                <w:szCs w:val="18"/>
              </w:rPr>
              <w:t xml:space="preserve">aller </w:t>
            </w:r>
            <w:r>
              <w:rPr>
                <w:rFonts w:ascii="Arial" w:hAnsi="Arial" w:cs="Arial"/>
                <w:sz w:val="18"/>
                <w:szCs w:val="18"/>
              </w:rPr>
              <w:t>Bilanzposten nach Liquidationswerten</w:t>
            </w:r>
            <w:r w:rsidR="00DA2155">
              <w:rPr>
                <w:rFonts w:ascii="Arial" w:hAnsi="Arial" w:cs="Arial"/>
                <w:sz w:val="18"/>
                <w:szCs w:val="18"/>
              </w:rPr>
              <w:t>, einschliesslich Rangfolge in der Insolvenz, Saldierungsoptionen (Netting) und etwaiger Aussonderungs- und Absonderungsrechte</w:t>
            </w:r>
            <w:r w:rsidR="00C93AFC">
              <w:rPr>
                <w:rFonts w:ascii="Arial" w:hAnsi="Arial" w:cs="Arial"/>
                <w:sz w:val="18"/>
                <w:szCs w:val="18"/>
              </w:rPr>
              <w:t>,</w:t>
            </w:r>
            <w:r>
              <w:rPr>
                <w:rFonts w:ascii="Arial" w:hAnsi="Arial" w:cs="Arial"/>
                <w:sz w:val="18"/>
                <w:szCs w:val="18"/>
              </w:rPr>
              <w:t xml:space="preserve"> insbesondere aufgeschlüsselt nach Werthaltigkeit und Liquidierbarkeit, ermöglichen.</w:t>
            </w:r>
          </w:p>
        </w:tc>
        <w:tc>
          <w:tcPr>
            <w:tcW w:w="2494" w:type="dxa"/>
          </w:tcPr>
          <w:p w14:paraId="0531BD08" w14:textId="33F7E049" w:rsidR="003C6896" w:rsidRPr="009872F3" w:rsidRDefault="003C6896" w:rsidP="003C6896">
            <w:pPr>
              <w:jc w:val="both"/>
              <w:rPr>
                <w:rFonts w:ascii="Arial" w:hAnsi="Arial" w:cs="Arial"/>
                <w:sz w:val="18"/>
                <w:szCs w:val="18"/>
              </w:rPr>
            </w:pPr>
            <w:r w:rsidRPr="009A4282">
              <w:rPr>
                <w:rFonts w:ascii="Arial" w:hAnsi="Arial" w:cs="Arial"/>
                <w:i/>
                <w:sz w:val="18"/>
                <w:szCs w:val="18"/>
                <w:highlight w:val="yellow"/>
              </w:rPr>
              <w:t>Ja (Detailprüfung / Kritische Beurteilung) / Nein</w:t>
            </w:r>
          </w:p>
        </w:tc>
      </w:tr>
      <w:tr w:rsidR="003C6896" w:rsidRPr="009872F3" w14:paraId="6A7F16DA" w14:textId="77777777" w:rsidTr="0096765A">
        <w:trPr>
          <w:trHeight w:val="294"/>
        </w:trPr>
        <w:tc>
          <w:tcPr>
            <w:tcW w:w="617" w:type="dxa"/>
          </w:tcPr>
          <w:p w14:paraId="27C4A845" w14:textId="2B9A5E7F" w:rsidR="003C6896" w:rsidRPr="009872F3" w:rsidRDefault="00DA2155" w:rsidP="003C6896">
            <w:pPr>
              <w:jc w:val="both"/>
              <w:rPr>
                <w:rFonts w:ascii="Arial" w:hAnsi="Arial" w:cs="Arial"/>
                <w:sz w:val="18"/>
                <w:szCs w:val="18"/>
              </w:rPr>
            </w:pPr>
            <w:r>
              <w:rPr>
                <w:rFonts w:ascii="Arial" w:hAnsi="Arial" w:cs="Arial"/>
                <w:sz w:val="18"/>
                <w:szCs w:val="18"/>
              </w:rPr>
              <w:t>3</w:t>
            </w:r>
          </w:p>
        </w:tc>
        <w:tc>
          <w:tcPr>
            <w:tcW w:w="6403" w:type="dxa"/>
            <w:gridSpan w:val="3"/>
          </w:tcPr>
          <w:p w14:paraId="3E782CB1" w14:textId="597CCEF3" w:rsidR="003C6896" w:rsidRPr="009872F3" w:rsidRDefault="003C6896" w:rsidP="003C6896">
            <w:pPr>
              <w:jc w:val="both"/>
              <w:rPr>
                <w:rFonts w:ascii="Arial" w:hAnsi="Arial" w:cs="Arial"/>
                <w:sz w:val="18"/>
                <w:szCs w:val="18"/>
              </w:rPr>
            </w:pPr>
            <w:r w:rsidRPr="008817A9">
              <w:rPr>
                <w:rFonts w:ascii="Arial" w:hAnsi="Arial" w:cs="Arial"/>
                <w:sz w:val="18"/>
                <w:szCs w:val="18"/>
              </w:rPr>
              <w:t xml:space="preserve">Bestätigung, dass die internen Verfahren </w:t>
            </w:r>
            <w:r>
              <w:rPr>
                <w:rFonts w:ascii="Arial" w:hAnsi="Arial" w:cs="Arial"/>
                <w:sz w:val="18"/>
                <w:szCs w:val="18"/>
              </w:rPr>
              <w:t xml:space="preserve">im Bedarfsfall eine </w:t>
            </w:r>
            <w:r w:rsidRPr="00C153E2">
              <w:rPr>
                <w:rFonts w:ascii="Arial" w:hAnsi="Arial" w:cs="Arial"/>
                <w:sz w:val="18"/>
                <w:szCs w:val="18"/>
              </w:rPr>
              <w:t>Schätzung von Insolvenzkosten nach unterschiedlichen Szenarien</w:t>
            </w:r>
            <w:r>
              <w:rPr>
                <w:rFonts w:ascii="Arial" w:hAnsi="Arial" w:cs="Arial"/>
                <w:sz w:val="18"/>
                <w:szCs w:val="18"/>
              </w:rPr>
              <w:t xml:space="preserve"> ermöglichen.</w:t>
            </w:r>
          </w:p>
        </w:tc>
        <w:tc>
          <w:tcPr>
            <w:tcW w:w="2494" w:type="dxa"/>
          </w:tcPr>
          <w:p w14:paraId="23576309" w14:textId="66C55334" w:rsidR="003C6896" w:rsidRPr="009872F3" w:rsidRDefault="003C6896" w:rsidP="003C689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0D43A34" w14:textId="003F0763" w:rsidR="0068698D" w:rsidRDefault="0068698D" w:rsidP="00A243A0">
      <w:pPr>
        <w:jc w:val="both"/>
        <w:rPr>
          <w:rFonts w:ascii="Arial" w:hAnsi="Arial" w:cs="Arial"/>
          <w:i/>
          <w:sz w:val="20"/>
          <w:szCs w:val="20"/>
        </w:rPr>
      </w:pPr>
    </w:p>
    <w:tbl>
      <w:tblPr>
        <w:tblStyle w:val="Tabellenraster"/>
        <w:tblW w:w="0" w:type="auto"/>
        <w:tblLayout w:type="fixed"/>
        <w:tblLook w:val="04A0" w:firstRow="1" w:lastRow="0" w:firstColumn="1" w:lastColumn="0" w:noHBand="0" w:noVBand="1"/>
      </w:tblPr>
      <w:tblGrid>
        <w:gridCol w:w="2655"/>
        <w:gridCol w:w="6833"/>
      </w:tblGrid>
      <w:tr w:rsidR="00985F22" w:rsidRPr="002D0096" w14:paraId="198330B4"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32F111CD" w14:textId="77777777" w:rsidR="00985F22" w:rsidRPr="002D0096" w:rsidRDefault="00985F22" w:rsidP="00387D17">
            <w:pPr>
              <w:jc w:val="both"/>
              <w:rPr>
                <w:rFonts w:ascii="Arial" w:eastAsia="Arial" w:hAnsi="Arial" w:cs="Arial"/>
                <w:b/>
                <w:bCs/>
                <w:i/>
                <w:iCs/>
                <w:sz w:val="18"/>
                <w:szCs w:val="18"/>
              </w:rPr>
            </w:pPr>
            <w:r w:rsidRPr="002D0096">
              <w:rPr>
                <w:rFonts w:ascii="Arial" w:eastAsia="Arial" w:hAnsi="Arial" w:cs="Arial"/>
                <w:b/>
                <w:bCs/>
                <w:i/>
                <w:iCs/>
                <w:sz w:val="18"/>
                <w:szCs w:val="18"/>
              </w:rPr>
              <w:t>Prüfelemente</w:t>
            </w:r>
          </w:p>
        </w:tc>
        <w:tc>
          <w:tcPr>
            <w:tcW w:w="6833" w:type="dxa"/>
            <w:tcBorders>
              <w:top w:val="single" w:sz="8" w:space="0" w:color="auto"/>
              <w:left w:val="single" w:sz="8" w:space="0" w:color="auto"/>
              <w:bottom w:val="single" w:sz="8" w:space="0" w:color="auto"/>
              <w:right w:val="single" w:sz="8" w:space="0" w:color="auto"/>
            </w:tcBorders>
            <w:tcMar>
              <w:left w:w="108" w:type="dxa"/>
              <w:right w:w="108" w:type="dxa"/>
            </w:tcMar>
          </w:tcPr>
          <w:p w14:paraId="6544BFE9" w14:textId="77777777" w:rsidR="00985F22" w:rsidRPr="002D0096" w:rsidRDefault="00985F22" w:rsidP="00387D17">
            <w:pPr>
              <w:jc w:val="both"/>
              <w:rPr>
                <w:rFonts w:ascii="Arial" w:eastAsia="Arial" w:hAnsi="Arial" w:cs="Arial"/>
                <w:b/>
                <w:bCs/>
                <w:i/>
                <w:iCs/>
                <w:sz w:val="18"/>
                <w:szCs w:val="18"/>
              </w:rPr>
            </w:pPr>
            <w:r w:rsidRPr="002D0096">
              <w:rPr>
                <w:rFonts w:ascii="Arial" w:eastAsia="Arial" w:hAnsi="Arial" w:cs="Arial"/>
                <w:b/>
                <w:bCs/>
                <w:i/>
                <w:iCs/>
                <w:sz w:val="18"/>
                <w:szCs w:val="18"/>
              </w:rPr>
              <w:t>Mindestprüfinhalt</w:t>
            </w:r>
            <w:r w:rsidRPr="002D0096">
              <w:rPr>
                <w:rFonts w:ascii="Arial" w:hAnsi="Arial" w:cs="Arial"/>
                <w:b/>
                <w:bCs/>
                <w:i/>
                <w:iCs/>
                <w:sz w:val="18"/>
                <w:szCs w:val="18"/>
              </w:rPr>
              <w:t>e («Muster»)</w:t>
            </w:r>
          </w:p>
        </w:tc>
      </w:tr>
      <w:tr w:rsidR="00985F22" w:rsidRPr="002D0096" w14:paraId="3611E952"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58F021CF" w14:textId="54A3411E" w:rsidR="00985F22" w:rsidRPr="002D0096" w:rsidRDefault="002300D9" w:rsidP="00387D17">
            <w:pPr>
              <w:jc w:val="both"/>
              <w:rPr>
                <w:rFonts w:ascii="Arial" w:eastAsia="Arial" w:hAnsi="Arial" w:cs="Arial"/>
                <w:i/>
                <w:iCs/>
                <w:sz w:val="18"/>
                <w:szCs w:val="18"/>
              </w:rPr>
            </w:pPr>
            <w:r>
              <w:rPr>
                <w:rFonts w:ascii="Arial" w:eastAsia="Arial" w:hAnsi="Arial" w:cs="Arial"/>
                <w:i/>
                <w:iCs/>
                <w:sz w:val="18"/>
                <w:szCs w:val="18"/>
              </w:rPr>
              <w:t xml:space="preserve">Interne Organisation </w:t>
            </w:r>
          </w:p>
        </w:tc>
        <w:tc>
          <w:tcPr>
            <w:tcW w:w="6833" w:type="dxa"/>
            <w:tcBorders>
              <w:top w:val="single" w:sz="8" w:space="0" w:color="auto"/>
              <w:left w:val="single" w:sz="8" w:space="0" w:color="auto"/>
              <w:bottom w:val="single" w:sz="8" w:space="0" w:color="auto"/>
              <w:right w:val="single" w:sz="8" w:space="0" w:color="auto"/>
            </w:tcBorders>
            <w:tcMar>
              <w:left w:w="108" w:type="dxa"/>
              <w:right w:w="108" w:type="dxa"/>
            </w:tcMar>
          </w:tcPr>
          <w:p w14:paraId="3D7469F6" w14:textId="58CC9572" w:rsidR="000E0C2B" w:rsidRPr="00387D17" w:rsidRDefault="00A011ED" w:rsidP="00C37D08">
            <w:pPr>
              <w:pStyle w:val="Listenabsatz"/>
              <w:numPr>
                <w:ilvl w:val="1"/>
                <w:numId w:val="10"/>
              </w:numPr>
              <w:spacing w:line="259" w:lineRule="auto"/>
              <w:ind w:left="317" w:hanging="283"/>
              <w:jc w:val="both"/>
              <w:rPr>
                <w:rFonts w:cs="Arial"/>
                <w:i/>
                <w:iCs/>
                <w:sz w:val="18"/>
                <w:szCs w:val="18"/>
              </w:rPr>
            </w:pPr>
            <w:r w:rsidRPr="00C3378F">
              <w:rPr>
                <w:rFonts w:cs="Arial"/>
                <w:i/>
                <w:iCs/>
                <w:sz w:val="18"/>
                <w:szCs w:val="18"/>
              </w:rPr>
              <w:t xml:space="preserve">Die interne Organisationsstruktur </w:t>
            </w:r>
            <w:r w:rsidR="00477FD9" w:rsidRPr="00C3378F">
              <w:rPr>
                <w:rFonts w:cs="Arial"/>
                <w:i/>
                <w:iCs/>
                <w:sz w:val="18"/>
                <w:szCs w:val="18"/>
              </w:rPr>
              <w:t>(</w:t>
            </w:r>
            <w:r w:rsidR="005B1BC4" w:rsidRPr="00C3378F">
              <w:rPr>
                <w:rFonts w:cs="Arial"/>
                <w:i/>
                <w:iCs/>
                <w:sz w:val="18"/>
                <w:szCs w:val="18"/>
              </w:rPr>
              <w:t xml:space="preserve">z.B. </w:t>
            </w:r>
            <w:r w:rsidR="00477FD9" w:rsidRPr="00C3378F">
              <w:rPr>
                <w:rFonts w:cs="Arial"/>
                <w:i/>
                <w:iCs/>
                <w:sz w:val="18"/>
                <w:szCs w:val="18"/>
              </w:rPr>
              <w:t xml:space="preserve">Weisungswesen, </w:t>
            </w:r>
            <w:r w:rsidR="005B1BC4" w:rsidRPr="00E40100">
              <w:rPr>
                <w:rFonts w:cs="Arial"/>
                <w:i/>
                <w:iCs/>
                <w:sz w:val="18"/>
                <w:szCs w:val="18"/>
              </w:rPr>
              <w:t>technische</w:t>
            </w:r>
            <w:r w:rsidR="00312707">
              <w:rPr>
                <w:rFonts w:cs="Arial"/>
                <w:i/>
                <w:iCs/>
                <w:sz w:val="18"/>
                <w:szCs w:val="18"/>
              </w:rPr>
              <w:t xml:space="preserve">, </w:t>
            </w:r>
            <w:r w:rsidR="005B1BC4" w:rsidRPr="00501D7B">
              <w:rPr>
                <w:rFonts w:cs="Arial"/>
                <w:i/>
                <w:iCs/>
                <w:sz w:val="18"/>
                <w:szCs w:val="18"/>
              </w:rPr>
              <w:t xml:space="preserve">personelle </w:t>
            </w:r>
            <w:r w:rsidR="00124FF6" w:rsidRPr="00E40100">
              <w:rPr>
                <w:rFonts w:cs="Arial"/>
                <w:i/>
                <w:iCs/>
                <w:sz w:val="18"/>
                <w:szCs w:val="18"/>
              </w:rPr>
              <w:t xml:space="preserve">und fachliche </w:t>
            </w:r>
            <w:r w:rsidR="005B1BC4" w:rsidRPr="00E40100">
              <w:rPr>
                <w:rFonts w:cs="Arial"/>
                <w:i/>
                <w:iCs/>
                <w:sz w:val="18"/>
                <w:szCs w:val="18"/>
              </w:rPr>
              <w:t>Ressourcen) stell</w:t>
            </w:r>
            <w:r w:rsidR="006813DD">
              <w:rPr>
                <w:rFonts w:cs="Arial"/>
                <w:i/>
                <w:iCs/>
                <w:sz w:val="18"/>
                <w:szCs w:val="18"/>
              </w:rPr>
              <w:t>t</w:t>
            </w:r>
            <w:r w:rsidR="005B1BC4" w:rsidRPr="00387D17">
              <w:rPr>
                <w:rFonts w:cs="Arial"/>
                <w:i/>
                <w:iCs/>
                <w:sz w:val="18"/>
                <w:szCs w:val="18"/>
              </w:rPr>
              <w:t xml:space="preserve"> </w:t>
            </w:r>
            <w:r w:rsidRPr="00387D17">
              <w:rPr>
                <w:rFonts w:cs="Arial"/>
                <w:i/>
                <w:iCs/>
                <w:sz w:val="18"/>
                <w:szCs w:val="18"/>
              </w:rPr>
              <w:t xml:space="preserve">sicher, dass Verfahren existieren, welche </w:t>
            </w:r>
            <w:r w:rsidR="00985F22" w:rsidRPr="00387D17">
              <w:rPr>
                <w:rFonts w:cs="Arial"/>
                <w:i/>
                <w:iCs/>
                <w:sz w:val="18"/>
                <w:szCs w:val="18"/>
              </w:rPr>
              <w:t>einen Ausfall oder wahrscheinlichen Ausfall identifizieren</w:t>
            </w:r>
          </w:p>
        </w:tc>
      </w:tr>
      <w:tr w:rsidR="00985F22" w:rsidRPr="002D0096" w14:paraId="1569C41F"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6830B84B" w14:textId="3B8E1EB7" w:rsidR="00985F22" w:rsidRPr="00B3666B" w:rsidRDefault="00CF2E9C" w:rsidP="00387D17">
            <w:pPr>
              <w:jc w:val="both"/>
              <w:rPr>
                <w:rFonts w:ascii="Arial" w:eastAsia="Arial" w:hAnsi="Arial" w:cs="Arial"/>
                <w:i/>
                <w:iCs/>
                <w:sz w:val="18"/>
                <w:szCs w:val="18"/>
              </w:rPr>
            </w:pPr>
            <w:r w:rsidRPr="00B3666B">
              <w:rPr>
                <w:rFonts w:ascii="Arial" w:eastAsia="Arial" w:hAnsi="Arial" w:cs="Arial"/>
                <w:i/>
                <w:iCs/>
                <w:sz w:val="18"/>
                <w:szCs w:val="18"/>
              </w:rPr>
              <w:t>Internes Kontrollsystem</w:t>
            </w:r>
            <w:r w:rsidR="005629EF" w:rsidRPr="00B3666B">
              <w:rPr>
                <w:rFonts w:ascii="Arial" w:eastAsia="Arial" w:hAnsi="Arial" w:cs="Arial"/>
                <w:i/>
                <w:iCs/>
                <w:sz w:val="18"/>
                <w:szCs w:val="18"/>
              </w:rPr>
              <w:t>, Prozesse und Berichterstattung</w:t>
            </w:r>
          </w:p>
        </w:tc>
        <w:tc>
          <w:tcPr>
            <w:tcW w:w="6833" w:type="dxa"/>
            <w:tcBorders>
              <w:top w:val="single" w:sz="8" w:space="0" w:color="auto"/>
              <w:left w:val="single" w:sz="8" w:space="0" w:color="auto"/>
              <w:bottom w:val="single" w:sz="8" w:space="0" w:color="auto"/>
              <w:right w:val="single" w:sz="8" w:space="0" w:color="auto"/>
            </w:tcBorders>
            <w:tcMar>
              <w:left w:w="108" w:type="dxa"/>
              <w:right w:w="108" w:type="dxa"/>
            </w:tcMar>
          </w:tcPr>
          <w:p w14:paraId="6DC3DA9A" w14:textId="03688AB9" w:rsidR="000E0C2B" w:rsidRPr="00B3666B" w:rsidRDefault="000E0C2B" w:rsidP="00C37D08">
            <w:pPr>
              <w:pStyle w:val="Listenabsatz"/>
              <w:numPr>
                <w:ilvl w:val="1"/>
                <w:numId w:val="10"/>
              </w:numPr>
              <w:spacing w:line="259" w:lineRule="auto"/>
              <w:ind w:left="317" w:hanging="283"/>
              <w:jc w:val="both"/>
              <w:rPr>
                <w:i/>
                <w:iCs/>
                <w:sz w:val="18"/>
                <w:szCs w:val="18"/>
              </w:rPr>
            </w:pPr>
            <w:r w:rsidRPr="00B3666B">
              <w:rPr>
                <w:i/>
                <w:iCs/>
                <w:sz w:val="18"/>
                <w:szCs w:val="18"/>
              </w:rPr>
              <w:t xml:space="preserve">Die internen Verfahren sehen die Anwendung des 4-Augen-Prinzips </w:t>
            </w:r>
            <w:r w:rsidR="000C78B0">
              <w:rPr>
                <w:i/>
                <w:iCs/>
                <w:sz w:val="18"/>
                <w:szCs w:val="18"/>
              </w:rPr>
              <w:t>bzw.</w:t>
            </w:r>
            <w:r w:rsidR="000C78B0" w:rsidRPr="00B3666B">
              <w:rPr>
                <w:i/>
                <w:iCs/>
                <w:sz w:val="18"/>
                <w:szCs w:val="18"/>
              </w:rPr>
              <w:t xml:space="preserve"> </w:t>
            </w:r>
            <w:r w:rsidRPr="00B3666B">
              <w:rPr>
                <w:i/>
                <w:iCs/>
                <w:sz w:val="18"/>
                <w:szCs w:val="18"/>
              </w:rPr>
              <w:t>Funktionstrennung bei Schlüsselkontrollen vor</w:t>
            </w:r>
          </w:p>
          <w:p w14:paraId="139EB7B8" w14:textId="77777777" w:rsidR="00282794" w:rsidRPr="00B3666B" w:rsidRDefault="00282794" w:rsidP="00282794">
            <w:pPr>
              <w:pStyle w:val="Listenabsatz"/>
              <w:numPr>
                <w:ilvl w:val="1"/>
                <w:numId w:val="10"/>
              </w:numPr>
              <w:spacing w:line="259" w:lineRule="auto"/>
              <w:ind w:left="317" w:hanging="283"/>
              <w:jc w:val="both"/>
              <w:rPr>
                <w:i/>
                <w:iCs/>
                <w:sz w:val="18"/>
                <w:szCs w:val="18"/>
              </w:rPr>
            </w:pPr>
            <w:r>
              <w:rPr>
                <w:i/>
                <w:iCs/>
                <w:sz w:val="18"/>
                <w:szCs w:val="18"/>
              </w:rPr>
              <w:t>D</w:t>
            </w:r>
            <w:r w:rsidRPr="00B3666B">
              <w:rPr>
                <w:i/>
                <w:iCs/>
                <w:sz w:val="18"/>
                <w:szCs w:val="18"/>
              </w:rPr>
              <w:t xml:space="preserve">atenqualitätssichernde </w:t>
            </w:r>
            <w:r>
              <w:rPr>
                <w:i/>
                <w:iCs/>
                <w:sz w:val="18"/>
                <w:szCs w:val="18"/>
              </w:rPr>
              <w:t>Kontrollen</w:t>
            </w:r>
            <w:r w:rsidRPr="00B3666B">
              <w:rPr>
                <w:i/>
                <w:iCs/>
                <w:sz w:val="18"/>
                <w:szCs w:val="18"/>
              </w:rPr>
              <w:t xml:space="preserve"> </w:t>
            </w:r>
            <w:r>
              <w:rPr>
                <w:i/>
                <w:iCs/>
                <w:sz w:val="18"/>
                <w:szCs w:val="18"/>
              </w:rPr>
              <w:t>sind definiert</w:t>
            </w:r>
          </w:p>
          <w:p w14:paraId="17B5A864" w14:textId="75C3C4B3" w:rsidR="008275D4" w:rsidRPr="00B3666B" w:rsidRDefault="00C91A36" w:rsidP="00C37D08">
            <w:pPr>
              <w:pStyle w:val="Listenabsatz"/>
              <w:numPr>
                <w:ilvl w:val="1"/>
                <w:numId w:val="10"/>
              </w:numPr>
              <w:spacing w:line="259" w:lineRule="auto"/>
              <w:ind w:left="317" w:hanging="283"/>
              <w:jc w:val="both"/>
              <w:rPr>
                <w:rFonts w:cs="Arial"/>
                <w:i/>
                <w:iCs/>
                <w:sz w:val="18"/>
                <w:szCs w:val="18"/>
              </w:rPr>
            </w:pPr>
            <w:r w:rsidRPr="00B3666B">
              <w:rPr>
                <w:rFonts w:cs="Arial"/>
                <w:i/>
                <w:iCs/>
                <w:sz w:val="18"/>
                <w:szCs w:val="18"/>
              </w:rPr>
              <w:t xml:space="preserve">Die internen Strukturen sehen bei einem Ausfall oder wahrscheinlichen Ausfall eine zeitnahe Anzeige an die FMA vor </w:t>
            </w:r>
          </w:p>
          <w:p w14:paraId="301AF65B" w14:textId="1A1E75F1" w:rsidR="0030462C" w:rsidRPr="00C37D08" w:rsidRDefault="00C91A36" w:rsidP="00C153E2">
            <w:pPr>
              <w:pStyle w:val="Listenabsatz"/>
              <w:numPr>
                <w:ilvl w:val="1"/>
                <w:numId w:val="10"/>
              </w:numPr>
              <w:spacing w:line="259" w:lineRule="auto"/>
              <w:ind w:left="317" w:hanging="283"/>
              <w:jc w:val="both"/>
              <w:rPr>
                <w:rFonts w:cs="Arial"/>
              </w:rPr>
            </w:pPr>
            <w:r w:rsidRPr="00B3666B">
              <w:rPr>
                <w:i/>
                <w:iCs/>
                <w:sz w:val="18"/>
                <w:szCs w:val="18"/>
              </w:rPr>
              <w:t>Interne Verfahren sehen die Schätzung von Insolvenzkosten nach unterschiedlichen Szenarien sowie des Unternehmenswerts vor</w:t>
            </w:r>
          </w:p>
        </w:tc>
      </w:tr>
    </w:tbl>
    <w:p w14:paraId="17E97DEA" w14:textId="4A8C6C3A" w:rsidR="105E438B" w:rsidRDefault="105E438B" w:rsidP="105E438B">
      <w:pPr>
        <w:jc w:val="both"/>
        <w:rPr>
          <w:rFonts w:ascii="Arial" w:hAnsi="Arial" w:cs="Arial"/>
          <w:i/>
          <w:iCs/>
          <w:sz w:val="20"/>
          <w:szCs w:val="20"/>
        </w:rPr>
      </w:pPr>
    </w:p>
    <w:p w14:paraId="5BA4CC53" w14:textId="247E9993" w:rsidR="00E3235F" w:rsidRDefault="00E3235F" w:rsidP="00C37D08">
      <w:pPr>
        <w:pStyle w:val="FINMAGliederungEbene2"/>
      </w:pPr>
      <w:bookmarkStart w:id="14" w:name="_Toc147141447"/>
      <w:r w:rsidRPr="00E3235F">
        <w:t>Zahlungsmoratorium</w:t>
      </w:r>
      <w:bookmarkEnd w:id="14"/>
    </w:p>
    <w:p w14:paraId="27D65679" w14:textId="77777777" w:rsidR="00E3235F" w:rsidRPr="006067FE" w:rsidRDefault="00E3235F" w:rsidP="00E3235F">
      <w:pPr>
        <w:pStyle w:val="FINMAGliederungEbene2"/>
        <w:numPr>
          <w:ilvl w:val="0"/>
          <w:numId w:val="0"/>
        </w:numPr>
        <w:ind w:left="576"/>
      </w:pPr>
    </w:p>
    <w:tbl>
      <w:tblPr>
        <w:tblStyle w:val="Tabellenraster"/>
        <w:tblW w:w="0" w:type="auto"/>
        <w:tblLook w:val="04A0" w:firstRow="1" w:lastRow="0" w:firstColumn="1" w:lastColumn="0" w:noHBand="0" w:noVBand="1"/>
      </w:tblPr>
      <w:tblGrid>
        <w:gridCol w:w="417"/>
        <w:gridCol w:w="1653"/>
        <w:gridCol w:w="2145"/>
        <w:gridCol w:w="1721"/>
        <w:gridCol w:w="860"/>
        <w:gridCol w:w="2522"/>
      </w:tblGrid>
      <w:tr w:rsidR="00E3235F" w:rsidRPr="009872F3" w14:paraId="6BD95830" w14:textId="77777777" w:rsidTr="0096765A">
        <w:trPr>
          <w:trHeight w:val="563"/>
        </w:trPr>
        <w:tc>
          <w:tcPr>
            <w:tcW w:w="2070" w:type="dxa"/>
            <w:gridSpan w:val="2"/>
            <w:shd w:val="clear" w:color="auto" w:fill="DBE5F1" w:themeFill="accent1" w:themeFillTint="33"/>
          </w:tcPr>
          <w:p w14:paraId="348E7F39" w14:textId="77777777" w:rsidR="00E3235F" w:rsidRPr="009872F3" w:rsidRDefault="00E3235F" w:rsidP="00C747F0">
            <w:pPr>
              <w:jc w:val="both"/>
              <w:rPr>
                <w:rFonts w:ascii="Arial" w:hAnsi="Arial" w:cs="Arial"/>
                <w:sz w:val="18"/>
                <w:szCs w:val="18"/>
              </w:rPr>
            </w:pPr>
            <w:r w:rsidRPr="009872F3">
              <w:rPr>
                <w:rFonts w:ascii="Arial" w:hAnsi="Arial" w:cs="Arial"/>
                <w:sz w:val="18"/>
                <w:szCs w:val="18"/>
              </w:rPr>
              <w:lastRenderedPageBreak/>
              <w:t>Nettorisiko</w:t>
            </w:r>
          </w:p>
        </w:tc>
        <w:tc>
          <w:tcPr>
            <w:tcW w:w="2145" w:type="dxa"/>
            <w:shd w:val="clear" w:color="auto" w:fill="DBE5F1" w:themeFill="accent1" w:themeFillTint="33"/>
          </w:tcPr>
          <w:p w14:paraId="59B372B7" w14:textId="77777777" w:rsidR="00E3235F" w:rsidRPr="009872F3" w:rsidRDefault="00E3235F" w:rsidP="00C747F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3"/>
            <w:shd w:val="clear" w:color="auto" w:fill="DBE5F1" w:themeFill="accent1" w:themeFillTint="33"/>
          </w:tcPr>
          <w:p w14:paraId="5444BB7C" w14:textId="77777777" w:rsidR="00E3235F" w:rsidRPr="009872F3" w:rsidRDefault="00E3235F" w:rsidP="00C747F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3235F" w:rsidRPr="009872F3" w14:paraId="7E5D4669" w14:textId="77777777" w:rsidTr="0096765A">
        <w:trPr>
          <w:trHeight w:val="698"/>
        </w:trPr>
        <w:tc>
          <w:tcPr>
            <w:tcW w:w="2070" w:type="dxa"/>
            <w:gridSpan w:val="2"/>
            <w:shd w:val="clear" w:color="auto" w:fill="DBE5F1" w:themeFill="accent1" w:themeFillTint="33"/>
          </w:tcPr>
          <w:p w14:paraId="0C1928F8" w14:textId="77777777" w:rsidR="00E3235F" w:rsidRPr="006749F0" w:rsidRDefault="00E3235F" w:rsidP="00C747F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shd w:val="clear" w:color="auto" w:fill="DBE5F1" w:themeFill="accent1" w:themeFillTint="33"/>
          </w:tcPr>
          <w:p w14:paraId="3C456B90" w14:textId="77777777" w:rsidR="00E3235F" w:rsidRPr="006749F0" w:rsidRDefault="00E3235F" w:rsidP="00C747F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shd w:val="clear" w:color="auto" w:fill="DBE5F1" w:themeFill="accent1" w:themeFillTint="33"/>
          </w:tcPr>
          <w:p w14:paraId="4E3C595D" w14:textId="77777777" w:rsidR="00E3235F" w:rsidRPr="009872F3" w:rsidRDefault="00E3235F" w:rsidP="00C747F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gridSpan w:val="2"/>
            <w:shd w:val="clear" w:color="auto" w:fill="DBE5F1" w:themeFill="accent1" w:themeFillTint="33"/>
          </w:tcPr>
          <w:p w14:paraId="7C3D2DC2" w14:textId="77777777" w:rsidR="00E3235F" w:rsidRDefault="00E3235F" w:rsidP="00C747F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21157AC" w14:textId="77777777" w:rsidR="00E3235F" w:rsidRPr="006749F0" w:rsidRDefault="00E3235F" w:rsidP="00C747F0">
            <w:pPr>
              <w:jc w:val="both"/>
              <w:rPr>
                <w:rFonts w:ascii="Arial" w:hAnsi="Arial" w:cs="Arial"/>
                <w:i/>
                <w:sz w:val="18"/>
                <w:szCs w:val="18"/>
              </w:rPr>
            </w:pPr>
            <w:r w:rsidRPr="006749F0">
              <w:rPr>
                <w:rFonts w:ascii="Arial" w:hAnsi="Arial" w:cs="Arial"/>
                <w:i/>
                <w:sz w:val="18"/>
                <w:szCs w:val="18"/>
                <w:highlight w:val="yellow"/>
              </w:rPr>
              <w:t>Jahr</w:t>
            </w:r>
          </w:p>
        </w:tc>
      </w:tr>
      <w:tr w:rsidR="00E3235F" w:rsidRPr="009872F3" w14:paraId="674126A5" w14:textId="77777777" w:rsidTr="0096765A">
        <w:trPr>
          <w:trHeight w:val="636"/>
        </w:trPr>
        <w:tc>
          <w:tcPr>
            <w:tcW w:w="9318" w:type="dxa"/>
            <w:gridSpan w:val="6"/>
            <w:shd w:val="clear" w:color="auto" w:fill="DBE5F1" w:themeFill="accent1" w:themeFillTint="33"/>
          </w:tcPr>
          <w:p w14:paraId="611B65B5" w14:textId="01F0AE64" w:rsidR="00D32831" w:rsidRPr="00D32831" w:rsidRDefault="00D32831" w:rsidP="00D32831">
            <w:pPr>
              <w:jc w:val="both"/>
              <w:rPr>
                <w:rFonts w:ascii="Arial" w:hAnsi="Arial" w:cs="Arial"/>
                <w:i/>
                <w:sz w:val="18"/>
                <w:szCs w:val="18"/>
              </w:rPr>
            </w:pPr>
            <w:r w:rsidRPr="00D32831">
              <w:rPr>
                <w:rFonts w:ascii="Arial" w:hAnsi="Arial" w:cs="Arial"/>
                <w:i/>
                <w:sz w:val="18"/>
                <w:szCs w:val="18"/>
              </w:rPr>
              <w:t xml:space="preserve">Referenz (demonstrativ): </w:t>
            </w:r>
          </w:p>
          <w:p w14:paraId="6E8108F2" w14:textId="3D1F3EF5" w:rsidR="00E3235F" w:rsidRPr="009872F3" w:rsidRDefault="00D32831" w:rsidP="00C37D08">
            <w:pPr>
              <w:pStyle w:val="Listenabsatz"/>
              <w:numPr>
                <w:ilvl w:val="0"/>
                <w:numId w:val="9"/>
              </w:numPr>
              <w:ind w:left="308"/>
              <w:jc w:val="both"/>
              <w:rPr>
                <w:rFonts w:cs="Arial"/>
                <w:sz w:val="18"/>
                <w:szCs w:val="18"/>
              </w:rPr>
            </w:pPr>
            <w:r w:rsidRPr="002176A6">
              <w:rPr>
                <w:rFonts w:cs="Arial"/>
                <w:sz w:val="18"/>
                <w:szCs w:val="18"/>
              </w:rPr>
              <w:t>FMA-Mitteilung 2022/02 betreffend die Festlegung der Mindestanforderung an Eigenmittel und berücksichtigungsfähige Verbindlichkeiten und entsprechender Schnittstellen zur Abwicklungsplanung für Banken und Wertpapierfirmen («MREL-Policy»)</w:t>
            </w:r>
          </w:p>
        </w:tc>
      </w:tr>
      <w:tr w:rsidR="00E3235F" w:rsidRPr="009872F3" w14:paraId="13E5E428" w14:textId="77777777" w:rsidTr="0096765A">
        <w:trPr>
          <w:trHeight w:val="294"/>
        </w:trPr>
        <w:tc>
          <w:tcPr>
            <w:tcW w:w="9318" w:type="dxa"/>
            <w:gridSpan w:val="6"/>
          </w:tcPr>
          <w:p w14:paraId="49747629" w14:textId="77777777" w:rsidR="00E3235F" w:rsidRPr="009872F3" w:rsidRDefault="00E3235F" w:rsidP="00C747F0">
            <w:pPr>
              <w:jc w:val="both"/>
              <w:rPr>
                <w:rFonts w:ascii="Arial" w:hAnsi="Arial" w:cs="Arial"/>
                <w:sz w:val="18"/>
                <w:szCs w:val="18"/>
              </w:rPr>
            </w:pPr>
          </w:p>
        </w:tc>
      </w:tr>
      <w:tr w:rsidR="00BE5E39" w:rsidRPr="009872F3" w14:paraId="2D942F85" w14:textId="77777777" w:rsidTr="0096765A">
        <w:trPr>
          <w:trHeight w:val="294"/>
        </w:trPr>
        <w:tc>
          <w:tcPr>
            <w:tcW w:w="417" w:type="dxa"/>
          </w:tcPr>
          <w:p w14:paraId="5C793AE2" w14:textId="282E4639" w:rsidR="00BE5E39" w:rsidRPr="009872F3" w:rsidRDefault="00BE5E39" w:rsidP="00C747F0">
            <w:pPr>
              <w:jc w:val="both"/>
              <w:rPr>
                <w:rFonts w:ascii="Arial" w:hAnsi="Arial" w:cs="Arial"/>
                <w:sz w:val="18"/>
                <w:szCs w:val="18"/>
              </w:rPr>
            </w:pPr>
            <w:r>
              <w:rPr>
                <w:rFonts w:ascii="Arial" w:hAnsi="Arial" w:cs="Arial"/>
                <w:sz w:val="18"/>
                <w:szCs w:val="18"/>
              </w:rPr>
              <w:t>1</w:t>
            </w:r>
          </w:p>
        </w:tc>
        <w:tc>
          <w:tcPr>
            <w:tcW w:w="6379" w:type="dxa"/>
            <w:gridSpan w:val="4"/>
          </w:tcPr>
          <w:p w14:paraId="31D4E8E3" w14:textId="79A32811" w:rsidR="00BE5E39" w:rsidRPr="009872F3" w:rsidRDefault="00972C11" w:rsidP="00C747F0">
            <w:pPr>
              <w:jc w:val="both"/>
              <w:rPr>
                <w:rFonts w:ascii="Arial" w:hAnsi="Arial" w:cs="Arial"/>
                <w:sz w:val="18"/>
                <w:szCs w:val="18"/>
              </w:rPr>
            </w:pPr>
            <w:r w:rsidRPr="00E3235F">
              <w:rPr>
                <w:rFonts w:ascii="Arial" w:hAnsi="Arial" w:cs="Arial"/>
                <w:sz w:val="18"/>
                <w:szCs w:val="18"/>
              </w:rPr>
              <w:t xml:space="preserve">Bestätigung, dass die internen Verfahren </w:t>
            </w:r>
            <w:r w:rsidRPr="00D440BC">
              <w:rPr>
                <w:rFonts w:ascii="Arial" w:hAnsi="Arial" w:cs="Arial"/>
                <w:sz w:val="18"/>
                <w:szCs w:val="18"/>
              </w:rPr>
              <w:t>Mechanismen vorsehen</w:t>
            </w:r>
            <w:r w:rsidRPr="00E3235F">
              <w:rPr>
                <w:rFonts w:ascii="Arial" w:hAnsi="Arial" w:cs="Arial"/>
                <w:sz w:val="18"/>
                <w:szCs w:val="18"/>
              </w:rPr>
              <w:t xml:space="preserve"> </w:t>
            </w:r>
            <w:r>
              <w:rPr>
                <w:rFonts w:ascii="Arial" w:hAnsi="Arial" w:cs="Arial"/>
                <w:sz w:val="18"/>
                <w:szCs w:val="18"/>
              </w:rPr>
              <w:t>welche im Bedarfsfall die</w:t>
            </w:r>
            <w:r w:rsidR="00BE5E39" w:rsidRPr="00E3235F">
              <w:rPr>
                <w:rFonts w:ascii="Arial" w:hAnsi="Arial" w:cs="Arial"/>
                <w:sz w:val="18"/>
                <w:szCs w:val="18"/>
              </w:rPr>
              <w:t xml:space="preserve"> Durchführung</w:t>
            </w:r>
            <w:r w:rsidR="000B1E8D">
              <w:rPr>
                <w:rFonts w:ascii="Arial" w:hAnsi="Arial" w:cs="Arial"/>
                <w:sz w:val="18"/>
                <w:szCs w:val="18"/>
              </w:rPr>
              <w:t xml:space="preserve"> sowie die interne und externe Kommunikation</w:t>
            </w:r>
            <w:r w:rsidR="00BE5E39" w:rsidRPr="00E3235F">
              <w:rPr>
                <w:rFonts w:ascii="Arial" w:hAnsi="Arial" w:cs="Arial"/>
                <w:sz w:val="18"/>
                <w:szCs w:val="18"/>
              </w:rPr>
              <w:t xml:space="preserve"> eines Moratoriums nach Art. 36a SAG sowie sonstiger vergleichbarer aufsichtlicher Massnahmen, die zur (teilweisen) Einstellung des Betriebs wie die Aussetzung von Kündigungsrechten sowie Zahlungs- und Lieferverpflichtungen</w:t>
            </w:r>
            <w:r w:rsidR="000950CF">
              <w:rPr>
                <w:rFonts w:ascii="Arial" w:hAnsi="Arial" w:cs="Arial"/>
                <w:sz w:val="18"/>
                <w:szCs w:val="18"/>
              </w:rPr>
              <w:t>, einschliesslich der Verhinderung interner Umbuchungen (z.B. in ein Wertpapierdepot),</w:t>
            </w:r>
            <w:r w:rsidR="00BE5E39" w:rsidRPr="00E3235F">
              <w:rPr>
                <w:rFonts w:ascii="Arial" w:hAnsi="Arial" w:cs="Arial"/>
                <w:sz w:val="18"/>
                <w:szCs w:val="18"/>
              </w:rPr>
              <w:t xml:space="preserve"> führen</w:t>
            </w:r>
            <w:r w:rsidR="00BE5E39">
              <w:rPr>
                <w:rFonts w:ascii="Arial" w:hAnsi="Arial" w:cs="Arial"/>
                <w:sz w:val="18"/>
                <w:szCs w:val="18"/>
              </w:rPr>
              <w:t xml:space="preserve"> («Zahlungsmoratorium»)</w:t>
            </w:r>
            <w:r w:rsidR="00BE5E39" w:rsidRPr="00E3235F">
              <w:rPr>
                <w:rFonts w:ascii="Arial" w:hAnsi="Arial" w:cs="Arial"/>
                <w:sz w:val="18"/>
                <w:szCs w:val="18"/>
              </w:rPr>
              <w:t xml:space="preserve">, </w:t>
            </w:r>
            <w:r w:rsidR="000B1E8D">
              <w:rPr>
                <w:rFonts w:ascii="Arial" w:hAnsi="Arial" w:cs="Arial"/>
                <w:sz w:val="18"/>
                <w:szCs w:val="18"/>
              </w:rPr>
              <w:t>ermöglichen</w:t>
            </w:r>
            <w:r w:rsidR="00BE5E39" w:rsidRPr="00E3235F">
              <w:rPr>
                <w:rFonts w:ascii="Arial" w:hAnsi="Arial" w:cs="Arial"/>
                <w:sz w:val="18"/>
                <w:szCs w:val="18"/>
              </w:rPr>
              <w:t>.</w:t>
            </w:r>
          </w:p>
        </w:tc>
        <w:tc>
          <w:tcPr>
            <w:tcW w:w="2522" w:type="dxa"/>
          </w:tcPr>
          <w:p w14:paraId="189880DC" w14:textId="6B7783E4" w:rsidR="00BE5E39" w:rsidRPr="009872F3" w:rsidRDefault="00BE5E39" w:rsidP="00C747F0">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E5E39" w:rsidRPr="009872F3" w14:paraId="78333E36" w14:textId="77777777" w:rsidTr="0096765A">
        <w:trPr>
          <w:trHeight w:val="294"/>
        </w:trPr>
        <w:tc>
          <w:tcPr>
            <w:tcW w:w="417" w:type="dxa"/>
          </w:tcPr>
          <w:p w14:paraId="6611C617" w14:textId="034505EC" w:rsidR="00BE5E39" w:rsidRPr="009872F3" w:rsidRDefault="00515A81" w:rsidP="00C747F0">
            <w:pPr>
              <w:jc w:val="both"/>
              <w:rPr>
                <w:rFonts w:ascii="Arial" w:hAnsi="Arial" w:cs="Arial"/>
                <w:sz w:val="18"/>
                <w:szCs w:val="18"/>
              </w:rPr>
            </w:pPr>
            <w:r>
              <w:rPr>
                <w:rFonts w:ascii="Arial" w:hAnsi="Arial" w:cs="Arial"/>
                <w:sz w:val="18"/>
                <w:szCs w:val="18"/>
              </w:rPr>
              <w:t>2</w:t>
            </w:r>
          </w:p>
        </w:tc>
        <w:tc>
          <w:tcPr>
            <w:tcW w:w="6379" w:type="dxa"/>
            <w:gridSpan w:val="4"/>
          </w:tcPr>
          <w:p w14:paraId="52E9425C" w14:textId="0A00D806" w:rsidR="00BE5E39" w:rsidRPr="009872F3" w:rsidRDefault="00BE5E39" w:rsidP="00C747F0">
            <w:pPr>
              <w:jc w:val="both"/>
              <w:rPr>
                <w:rFonts w:ascii="Arial" w:hAnsi="Arial" w:cs="Arial"/>
                <w:sz w:val="18"/>
                <w:szCs w:val="18"/>
              </w:rPr>
            </w:pPr>
            <w:r w:rsidRPr="00E3235F">
              <w:rPr>
                <w:rFonts w:ascii="Arial" w:hAnsi="Arial" w:cs="Arial"/>
                <w:sz w:val="18"/>
                <w:szCs w:val="18"/>
              </w:rPr>
              <w:t>Bestätigung, dass die internen Verfahren</w:t>
            </w:r>
            <w:r w:rsidR="00F02772">
              <w:rPr>
                <w:rFonts w:ascii="Arial" w:hAnsi="Arial" w:cs="Arial"/>
                <w:sz w:val="18"/>
                <w:szCs w:val="18"/>
              </w:rPr>
              <w:t xml:space="preserve"> </w:t>
            </w:r>
            <w:r w:rsidDel="00986C47">
              <w:rPr>
                <w:rFonts w:ascii="Arial" w:hAnsi="Arial" w:cs="Arial"/>
                <w:sz w:val="18"/>
                <w:szCs w:val="18"/>
              </w:rPr>
              <w:t>in der Lage sin</w:t>
            </w:r>
            <w:r w:rsidDel="008302B9">
              <w:rPr>
                <w:rFonts w:ascii="Arial" w:hAnsi="Arial" w:cs="Arial"/>
                <w:sz w:val="18"/>
                <w:szCs w:val="18"/>
              </w:rPr>
              <w:t xml:space="preserve">d, </w:t>
            </w:r>
            <w:r w:rsidRPr="00737036" w:rsidDel="008302B9">
              <w:rPr>
                <w:rFonts w:ascii="Arial" w:hAnsi="Arial" w:cs="Arial"/>
                <w:sz w:val="18"/>
                <w:szCs w:val="18"/>
              </w:rPr>
              <w:t>die</w:t>
            </w:r>
            <w:r w:rsidR="008302B9">
              <w:rPr>
                <w:rFonts w:ascii="Arial" w:hAnsi="Arial" w:cs="Arial"/>
                <w:sz w:val="18"/>
                <w:szCs w:val="18"/>
              </w:rPr>
              <w:t xml:space="preserve"> </w:t>
            </w:r>
            <w:r w:rsidRPr="00737036">
              <w:rPr>
                <w:rFonts w:ascii="Arial" w:hAnsi="Arial" w:cs="Arial"/>
                <w:sz w:val="18"/>
                <w:szCs w:val="18"/>
              </w:rPr>
              <w:t xml:space="preserve">operativen und finanziellen Auswirkungen einer behördlichen Aussetzung von Zahlungs- oder Lieferverpflichtungen </w:t>
            </w:r>
            <w:r>
              <w:rPr>
                <w:rFonts w:ascii="Arial" w:hAnsi="Arial" w:cs="Arial"/>
                <w:sz w:val="18"/>
                <w:szCs w:val="18"/>
              </w:rPr>
              <w:t xml:space="preserve">auf das Unternehmen </w:t>
            </w:r>
            <w:r w:rsidR="002E1947">
              <w:rPr>
                <w:rFonts w:ascii="Arial" w:hAnsi="Arial" w:cs="Arial"/>
                <w:sz w:val="18"/>
                <w:szCs w:val="18"/>
              </w:rPr>
              <w:t xml:space="preserve">in angemessener Frist </w:t>
            </w:r>
            <w:r w:rsidRPr="00737036" w:rsidDel="008302B9">
              <w:rPr>
                <w:rFonts w:ascii="Arial" w:hAnsi="Arial" w:cs="Arial"/>
                <w:sz w:val="18"/>
                <w:szCs w:val="18"/>
              </w:rPr>
              <w:t>ein</w:t>
            </w:r>
            <w:r w:rsidR="00AE2ACE" w:rsidDel="008302B9">
              <w:rPr>
                <w:rFonts w:ascii="Arial" w:hAnsi="Arial" w:cs="Arial"/>
                <w:sz w:val="18"/>
                <w:szCs w:val="18"/>
              </w:rPr>
              <w:t>schätzen zu können</w:t>
            </w:r>
            <w:r w:rsidRPr="00737036">
              <w:rPr>
                <w:rFonts w:ascii="Arial" w:hAnsi="Arial" w:cs="Arial"/>
                <w:sz w:val="18"/>
                <w:szCs w:val="18"/>
              </w:rPr>
              <w:t>.</w:t>
            </w:r>
          </w:p>
        </w:tc>
        <w:tc>
          <w:tcPr>
            <w:tcW w:w="2522" w:type="dxa"/>
          </w:tcPr>
          <w:p w14:paraId="59A3B3BD" w14:textId="75AA3673" w:rsidR="00BE5E39" w:rsidRPr="00E109DF" w:rsidRDefault="00BE5E39" w:rsidP="00C747F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C87BEC4" w14:textId="5D6C14E1" w:rsidR="00B02CD7" w:rsidRDefault="00B02CD7" w:rsidP="7CFC4235"/>
    <w:tbl>
      <w:tblPr>
        <w:tblStyle w:val="Tabellenraster"/>
        <w:tblW w:w="0" w:type="auto"/>
        <w:tblLayout w:type="fixed"/>
        <w:tblLook w:val="04A0" w:firstRow="1" w:lastRow="0" w:firstColumn="1" w:lastColumn="0" w:noHBand="0" w:noVBand="1"/>
      </w:tblPr>
      <w:tblGrid>
        <w:gridCol w:w="2655"/>
        <w:gridCol w:w="6691"/>
      </w:tblGrid>
      <w:tr w:rsidR="00B02CD7" w14:paraId="4DB5807D"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1EAE34C8" w14:textId="77777777" w:rsidR="00B02CD7" w:rsidRDefault="00B02CD7">
            <w:pPr>
              <w:jc w:val="both"/>
              <w:rPr>
                <w:rFonts w:ascii="Arial" w:eastAsia="Arial" w:hAnsi="Arial" w:cs="Arial"/>
                <w:b/>
                <w:bCs/>
                <w:i/>
                <w:iCs/>
                <w:sz w:val="18"/>
                <w:szCs w:val="18"/>
              </w:rPr>
            </w:pPr>
            <w:r w:rsidRPr="319DCD61">
              <w:rPr>
                <w:rFonts w:ascii="Arial" w:eastAsia="Arial" w:hAnsi="Arial" w:cs="Arial"/>
                <w:b/>
                <w:bCs/>
                <w:i/>
                <w:iCs/>
                <w:sz w:val="18"/>
                <w:szCs w:val="18"/>
              </w:rPr>
              <w:t>Prüfelemente</w:t>
            </w:r>
          </w:p>
        </w:tc>
        <w:tc>
          <w:tcPr>
            <w:tcW w:w="6691" w:type="dxa"/>
            <w:tcBorders>
              <w:top w:val="single" w:sz="8" w:space="0" w:color="auto"/>
              <w:left w:val="single" w:sz="8" w:space="0" w:color="auto"/>
              <w:bottom w:val="single" w:sz="8" w:space="0" w:color="auto"/>
              <w:right w:val="single" w:sz="8" w:space="0" w:color="auto"/>
            </w:tcBorders>
            <w:tcMar>
              <w:left w:w="108" w:type="dxa"/>
              <w:right w:w="108" w:type="dxa"/>
            </w:tcMar>
          </w:tcPr>
          <w:p w14:paraId="1C2B8C63" w14:textId="77777777" w:rsidR="00B02CD7" w:rsidRDefault="00B02CD7">
            <w:pPr>
              <w:jc w:val="both"/>
              <w:rPr>
                <w:rFonts w:ascii="Arial" w:eastAsia="Arial" w:hAnsi="Arial" w:cs="Arial"/>
                <w:b/>
                <w:bCs/>
                <w:i/>
                <w:iCs/>
                <w:sz w:val="18"/>
                <w:szCs w:val="18"/>
              </w:rPr>
            </w:pPr>
            <w:r w:rsidRPr="319DCD61">
              <w:rPr>
                <w:rFonts w:ascii="Arial" w:eastAsia="Arial" w:hAnsi="Arial" w:cs="Arial"/>
                <w:b/>
                <w:bCs/>
                <w:i/>
                <w:iCs/>
                <w:sz w:val="18"/>
                <w:szCs w:val="18"/>
              </w:rPr>
              <w:t>Mindestprüfinhalte («Muster»)</w:t>
            </w:r>
          </w:p>
        </w:tc>
      </w:tr>
      <w:tr w:rsidR="00B02CD7" w14:paraId="20B89802"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470F2309" w14:textId="77777777" w:rsidR="00B02CD7" w:rsidRDefault="00B02CD7">
            <w:pPr>
              <w:jc w:val="both"/>
              <w:rPr>
                <w:rFonts w:ascii="Arial" w:eastAsia="Arial" w:hAnsi="Arial" w:cs="Arial"/>
                <w:i/>
                <w:iCs/>
                <w:sz w:val="18"/>
                <w:szCs w:val="18"/>
              </w:rPr>
            </w:pPr>
            <w:r w:rsidRPr="319DCD61">
              <w:rPr>
                <w:rFonts w:ascii="Arial" w:eastAsia="Arial" w:hAnsi="Arial" w:cs="Arial"/>
                <w:i/>
                <w:iCs/>
                <w:sz w:val="18"/>
                <w:szCs w:val="18"/>
              </w:rPr>
              <w:t xml:space="preserve">Interne Organisation </w:t>
            </w:r>
          </w:p>
        </w:tc>
        <w:tc>
          <w:tcPr>
            <w:tcW w:w="6691" w:type="dxa"/>
            <w:tcBorders>
              <w:top w:val="single" w:sz="8" w:space="0" w:color="auto"/>
              <w:left w:val="single" w:sz="8" w:space="0" w:color="auto"/>
              <w:bottom w:val="single" w:sz="8" w:space="0" w:color="auto"/>
              <w:right w:val="single" w:sz="8" w:space="0" w:color="auto"/>
            </w:tcBorders>
            <w:tcMar>
              <w:left w:w="108" w:type="dxa"/>
              <w:right w:w="108" w:type="dxa"/>
            </w:tcMar>
          </w:tcPr>
          <w:p w14:paraId="2ABFF221" w14:textId="77777777" w:rsidR="00B02CD7" w:rsidRPr="001E5355" w:rsidRDefault="00B02CD7">
            <w:pPr>
              <w:pStyle w:val="Listenabsatz"/>
              <w:numPr>
                <w:ilvl w:val="1"/>
                <w:numId w:val="11"/>
              </w:numPr>
              <w:spacing w:line="259" w:lineRule="auto"/>
              <w:ind w:left="317" w:hanging="283"/>
              <w:jc w:val="both"/>
              <w:rPr>
                <w:rFonts w:cs="Arial"/>
                <w:i/>
                <w:sz w:val="18"/>
                <w:szCs w:val="18"/>
              </w:rPr>
            </w:pPr>
            <w:r w:rsidRPr="001E5355">
              <w:rPr>
                <w:rFonts w:cs="Arial"/>
                <w:i/>
                <w:sz w:val="18"/>
                <w:szCs w:val="18"/>
              </w:rPr>
              <w:t>Die interne Organisationsstruktur (z.B. Weisungswesen, technische, personelle und fachliche Ressourcen) stellt sicher, dass Verfahren existieren, welche im Bedarfsfall die Durchführung eines Zahlungsmoratoriums ermöglichen</w:t>
            </w:r>
          </w:p>
        </w:tc>
      </w:tr>
      <w:tr w:rsidR="00B02CD7" w14:paraId="7E7D2C58"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64AC4B28" w14:textId="77777777" w:rsidR="00B02CD7" w:rsidRDefault="00B02CD7">
            <w:pPr>
              <w:jc w:val="both"/>
              <w:rPr>
                <w:rFonts w:ascii="Arial" w:eastAsia="Arial" w:hAnsi="Arial" w:cs="Arial"/>
                <w:i/>
                <w:iCs/>
                <w:sz w:val="18"/>
                <w:szCs w:val="18"/>
              </w:rPr>
            </w:pPr>
            <w:r w:rsidRPr="319DCD61">
              <w:rPr>
                <w:rFonts w:ascii="Arial" w:eastAsia="Arial" w:hAnsi="Arial" w:cs="Arial"/>
                <w:i/>
                <w:iCs/>
                <w:sz w:val="18"/>
                <w:szCs w:val="18"/>
              </w:rPr>
              <w:t>Internes Kontrollsystem, Prozesse und Berichterstattung</w:t>
            </w:r>
          </w:p>
        </w:tc>
        <w:tc>
          <w:tcPr>
            <w:tcW w:w="6691" w:type="dxa"/>
            <w:tcBorders>
              <w:top w:val="single" w:sz="8" w:space="0" w:color="auto"/>
              <w:left w:val="single" w:sz="8" w:space="0" w:color="auto"/>
              <w:bottom w:val="single" w:sz="8" w:space="0" w:color="auto"/>
              <w:right w:val="single" w:sz="8" w:space="0" w:color="auto"/>
            </w:tcBorders>
            <w:tcMar>
              <w:left w:w="108" w:type="dxa"/>
              <w:right w:w="108" w:type="dxa"/>
            </w:tcMar>
          </w:tcPr>
          <w:p w14:paraId="40CC33D8" w14:textId="77777777" w:rsidR="00B02CD7" w:rsidRPr="00D674EC" w:rsidRDefault="00B02CD7">
            <w:pPr>
              <w:pStyle w:val="Listenabsatz"/>
              <w:numPr>
                <w:ilvl w:val="1"/>
                <w:numId w:val="11"/>
              </w:numPr>
              <w:spacing w:line="259" w:lineRule="auto"/>
              <w:ind w:left="317" w:hanging="283"/>
              <w:jc w:val="both"/>
              <w:rPr>
                <w:rFonts w:cs="Arial"/>
                <w:i/>
                <w:sz w:val="18"/>
                <w:szCs w:val="18"/>
              </w:rPr>
            </w:pPr>
            <w:r w:rsidRPr="00D674EC">
              <w:rPr>
                <w:rFonts w:cs="Arial"/>
                <w:i/>
                <w:sz w:val="18"/>
                <w:szCs w:val="18"/>
              </w:rPr>
              <w:t>Die internen Verfahren sehen im Bedarfsfall Mechanismen zur Durchführung eines Moratoriums vor</w:t>
            </w:r>
          </w:p>
          <w:p w14:paraId="74EDB809" w14:textId="77777777" w:rsidR="00B02CD7" w:rsidRPr="002F5FE1" w:rsidRDefault="00B02CD7">
            <w:pPr>
              <w:pStyle w:val="Listenabsatz"/>
              <w:numPr>
                <w:ilvl w:val="1"/>
                <w:numId w:val="11"/>
              </w:numPr>
              <w:spacing w:line="259" w:lineRule="auto"/>
              <w:ind w:left="317" w:hanging="283"/>
              <w:jc w:val="both"/>
              <w:rPr>
                <w:i/>
                <w:iCs/>
                <w:sz w:val="18"/>
                <w:szCs w:val="18"/>
              </w:rPr>
            </w:pPr>
            <w:r w:rsidRPr="4F9A98B6">
              <w:rPr>
                <w:rFonts w:cs="Arial"/>
                <w:i/>
                <w:iCs/>
                <w:sz w:val="18"/>
                <w:szCs w:val="18"/>
              </w:rPr>
              <w:t>Eine Kommunikationsstrategie ist definiert, welche die interne und externe Kommunikation beinhaltet</w:t>
            </w:r>
          </w:p>
          <w:p w14:paraId="5EBA37EA" w14:textId="77777777" w:rsidR="00B02CD7" w:rsidRPr="00D674EC" w:rsidRDefault="00B02CD7">
            <w:pPr>
              <w:pStyle w:val="Listenabsatz"/>
              <w:numPr>
                <w:ilvl w:val="1"/>
                <w:numId w:val="11"/>
              </w:numPr>
              <w:spacing w:line="259" w:lineRule="auto"/>
              <w:ind w:left="317" w:hanging="283"/>
              <w:jc w:val="both"/>
              <w:rPr>
                <w:rFonts w:cs="Arial"/>
                <w:i/>
                <w:sz w:val="18"/>
                <w:szCs w:val="18"/>
              </w:rPr>
            </w:pPr>
            <w:r w:rsidRPr="00D674EC">
              <w:rPr>
                <w:rFonts w:cs="Arial"/>
                <w:i/>
                <w:sz w:val="18"/>
                <w:szCs w:val="18"/>
              </w:rPr>
              <w:t>Die Prozesse ermöglichen die (teilweise) Einstellung des Betriebs wie die Aussetzung von Kündigungsrechten sowie Zahlungs- und Lieferverpflichtungen, einschliesslich der Verhinderung interner Umbuchungen</w:t>
            </w:r>
          </w:p>
          <w:p w14:paraId="28FFF595" w14:textId="77777777" w:rsidR="00B02CD7" w:rsidRPr="00D674EC" w:rsidRDefault="00B02CD7">
            <w:pPr>
              <w:pStyle w:val="Listenabsatz"/>
              <w:numPr>
                <w:ilvl w:val="1"/>
                <w:numId w:val="11"/>
              </w:numPr>
              <w:spacing w:line="259" w:lineRule="auto"/>
              <w:ind w:left="317" w:hanging="283"/>
              <w:jc w:val="both"/>
              <w:rPr>
                <w:rFonts w:cs="Arial"/>
                <w:i/>
                <w:sz w:val="18"/>
                <w:szCs w:val="18"/>
              </w:rPr>
            </w:pPr>
            <w:r w:rsidRPr="00D674EC">
              <w:rPr>
                <w:rFonts w:cs="Arial"/>
                <w:i/>
                <w:sz w:val="18"/>
                <w:szCs w:val="18"/>
              </w:rPr>
              <w:t>Die internen Verfahren ermöglichen eine Analyse der operativen und finanziellen Auswirkung einer behördlichen Aussetzung von Zahlungs- oder Lieferverpflichtungen auf die Bank</w:t>
            </w:r>
          </w:p>
        </w:tc>
      </w:tr>
    </w:tbl>
    <w:p w14:paraId="7C9351AA" w14:textId="34F455AE" w:rsidR="7CFC4235" w:rsidRDefault="7CFC4235" w:rsidP="7CFC4235"/>
    <w:p w14:paraId="2A10DABB" w14:textId="2837D82C" w:rsidR="003F36C1" w:rsidRDefault="003F36C1" w:rsidP="00C37D08">
      <w:pPr>
        <w:pStyle w:val="FINMAGliederungEbene2"/>
      </w:pPr>
      <w:bookmarkStart w:id="15" w:name="_Toc140849816"/>
      <w:bookmarkStart w:id="16" w:name="_Toc141095435"/>
      <w:bookmarkStart w:id="17" w:name="_Toc141284973"/>
      <w:bookmarkStart w:id="18" w:name="_Toc147141448"/>
      <w:bookmarkEnd w:id="15"/>
      <w:bookmarkEnd w:id="16"/>
      <w:bookmarkEnd w:id="17"/>
      <w:r w:rsidRPr="00ED413F">
        <w:t>Vertrieb von nachrangigen berücksichtigungsfähigen Verbindlichkeiten</w:t>
      </w:r>
      <w:bookmarkEnd w:id="18"/>
    </w:p>
    <w:p w14:paraId="63A3F96B" w14:textId="77777777" w:rsidR="003F36C1" w:rsidRPr="006067FE" w:rsidRDefault="003F36C1" w:rsidP="003F36C1">
      <w:pPr>
        <w:pStyle w:val="FINMAGliederungEbene2"/>
        <w:numPr>
          <w:ilvl w:val="0"/>
          <w:numId w:val="0"/>
        </w:numPr>
        <w:ind w:left="576"/>
      </w:pPr>
    </w:p>
    <w:tbl>
      <w:tblPr>
        <w:tblStyle w:val="Tabellenraster"/>
        <w:tblW w:w="0" w:type="auto"/>
        <w:tblLook w:val="04A0" w:firstRow="1" w:lastRow="0" w:firstColumn="1" w:lastColumn="0" w:noHBand="0" w:noVBand="1"/>
      </w:tblPr>
      <w:tblGrid>
        <w:gridCol w:w="317"/>
        <w:gridCol w:w="1653"/>
        <w:gridCol w:w="2145"/>
        <w:gridCol w:w="1721"/>
        <w:gridCol w:w="860"/>
        <w:gridCol w:w="2522"/>
      </w:tblGrid>
      <w:tr w:rsidR="003F36C1" w:rsidRPr="009872F3" w14:paraId="3DFC106C" w14:textId="77777777" w:rsidTr="005A05D6">
        <w:trPr>
          <w:trHeight w:val="563"/>
        </w:trPr>
        <w:tc>
          <w:tcPr>
            <w:tcW w:w="1970" w:type="dxa"/>
            <w:gridSpan w:val="2"/>
            <w:shd w:val="clear" w:color="auto" w:fill="DBE5F1" w:themeFill="accent1" w:themeFillTint="33"/>
          </w:tcPr>
          <w:p w14:paraId="24A474A2" w14:textId="77777777" w:rsidR="003F36C1" w:rsidRPr="009872F3" w:rsidRDefault="003F36C1" w:rsidP="00C747F0">
            <w:pPr>
              <w:jc w:val="both"/>
              <w:rPr>
                <w:rFonts w:ascii="Arial" w:hAnsi="Arial" w:cs="Arial"/>
                <w:sz w:val="18"/>
                <w:szCs w:val="18"/>
              </w:rPr>
            </w:pPr>
            <w:r w:rsidRPr="009872F3">
              <w:rPr>
                <w:rFonts w:ascii="Arial" w:hAnsi="Arial" w:cs="Arial"/>
                <w:sz w:val="18"/>
                <w:szCs w:val="18"/>
              </w:rPr>
              <w:t>Nettorisiko</w:t>
            </w:r>
          </w:p>
        </w:tc>
        <w:tc>
          <w:tcPr>
            <w:tcW w:w="2145" w:type="dxa"/>
            <w:shd w:val="clear" w:color="auto" w:fill="DBE5F1" w:themeFill="accent1" w:themeFillTint="33"/>
          </w:tcPr>
          <w:p w14:paraId="541B40DE" w14:textId="77777777" w:rsidR="003F36C1" w:rsidRPr="009872F3" w:rsidRDefault="003F36C1" w:rsidP="00C747F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3"/>
            <w:shd w:val="clear" w:color="auto" w:fill="DBE5F1" w:themeFill="accent1" w:themeFillTint="33"/>
          </w:tcPr>
          <w:p w14:paraId="34947292" w14:textId="77777777" w:rsidR="003F36C1" w:rsidRPr="009872F3" w:rsidRDefault="003F36C1" w:rsidP="00C747F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3F36C1" w:rsidRPr="009872F3" w14:paraId="3976D1D0" w14:textId="77777777" w:rsidTr="005A05D6">
        <w:trPr>
          <w:trHeight w:val="698"/>
        </w:trPr>
        <w:tc>
          <w:tcPr>
            <w:tcW w:w="1970" w:type="dxa"/>
            <w:gridSpan w:val="2"/>
            <w:shd w:val="clear" w:color="auto" w:fill="DBE5F1" w:themeFill="accent1" w:themeFillTint="33"/>
          </w:tcPr>
          <w:p w14:paraId="0A0EE0B8" w14:textId="77777777" w:rsidR="003F36C1" w:rsidRPr="006749F0" w:rsidRDefault="003F36C1" w:rsidP="00C747F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shd w:val="clear" w:color="auto" w:fill="DBE5F1" w:themeFill="accent1" w:themeFillTint="33"/>
          </w:tcPr>
          <w:p w14:paraId="77CFB261" w14:textId="77777777" w:rsidR="003F36C1" w:rsidRPr="006749F0" w:rsidRDefault="003F36C1" w:rsidP="00C747F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shd w:val="clear" w:color="auto" w:fill="DBE5F1" w:themeFill="accent1" w:themeFillTint="33"/>
          </w:tcPr>
          <w:p w14:paraId="75FB34A3" w14:textId="77777777" w:rsidR="003F36C1" w:rsidRPr="009872F3" w:rsidRDefault="003F36C1" w:rsidP="00C747F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gridSpan w:val="2"/>
            <w:shd w:val="clear" w:color="auto" w:fill="DBE5F1" w:themeFill="accent1" w:themeFillTint="33"/>
          </w:tcPr>
          <w:p w14:paraId="411F45BB" w14:textId="77777777" w:rsidR="003F36C1" w:rsidRDefault="003F36C1" w:rsidP="00C747F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7C2DBCA" w14:textId="77777777" w:rsidR="003F36C1" w:rsidRPr="006749F0" w:rsidRDefault="003F36C1" w:rsidP="00C747F0">
            <w:pPr>
              <w:jc w:val="both"/>
              <w:rPr>
                <w:rFonts w:ascii="Arial" w:hAnsi="Arial" w:cs="Arial"/>
                <w:i/>
                <w:sz w:val="18"/>
                <w:szCs w:val="18"/>
              </w:rPr>
            </w:pPr>
            <w:r w:rsidRPr="006749F0">
              <w:rPr>
                <w:rFonts w:ascii="Arial" w:hAnsi="Arial" w:cs="Arial"/>
                <w:i/>
                <w:sz w:val="18"/>
                <w:szCs w:val="18"/>
                <w:highlight w:val="yellow"/>
              </w:rPr>
              <w:t>Jahr</w:t>
            </w:r>
          </w:p>
        </w:tc>
      </w:tr>
      <w:tr w:rsidR="003F36C1" w:rsidRPr="009872F3" w14:paraId="3405E98F" w14:textId="77777777" w:rsidTr="000B44E4">
        <w:trPr>
          <w:trHeight w:val="510"/>
        </w:trPr>
        <w:tc>
          <w:tcPr>
            <w:tcW w:w="9218" w:type="dxa"/>
            <w:gridSpan w:val="6"/>
            <w:shd w:val="clear" w:color="auto" w:fill="DBE5F1" w:themeFill="accent1" w:themeFillTint="33"/>
          </w:tcPr>
          <w:p w14:paraId="0E1650F8" w14:textId="7D0B820B" w:rsidR="004F34A1" w:rsidRPr="00D32831" w:rsidRDefault="004F34A1" w:rsidP="004F34A1">
            <w:pPr>
              <w:jc w:val="both"/>
              <w:rPr>
                <w:rFonts w:ascii="Arial" w:hAnsi="Arial" w:cs="Arial"/>
                <w:i/>
                <w:sz w:val="18"/>
                <w:szCs w:val="18"/>
              </w:rPr>
            </w:pPr>
            <w:r w:rsidRPr="00D32831">
              <w:rPr>
                <w:rFonts w:ascii="Arial" w:hAnsi="Arial" w:cs="Arial"/>
                <w:i/>
                <w:sz w:val="18"/>
                <w:szCs w:val="18"/>
              </w:rPr>
              <w:t xml:space="preserve">Referenz (demonstrativ): </w:t>
            </w:r>
          </w:p>
          <w:p w14:paraId="0515E52F" w14:textId="7A5BABC0" w:rsidR="003F36C1" w:rsidRPr="009872F3" w:rsidRDefault="00C41815" w:rsidP="00C37D08">
            <w:pPr>
              <w:pStyle w:val="Listenabsatz"/>
              <w:numPr>
                <w:ilvl w:val="0"/>
                <w:numId w:val="9"/>
              </w:numPr>
              <w:ind w:left="308"/>
              <w:jc w:val="both"/>
              <w:rPr>
                <w:rFonts w:cs="Arial"/>
                <w:sz w:val="18"/>
                <w:szCs w:val="18"/>
              </w:rPr>
            </w:pPr>
            <w:r w:rsidRPr="00C41815">
              <w:rPr>
                <w:rFonts w:cs="Arial"/>
                <w:sz w:val="18"/>
                <w:szCs w:val="18"/>
              </w:rPr>
              <w:t>Art 57a SAG</w:t>
            </w:r>
          </w:p>
        </w:tc>
      </w:tr>
      <w:tr w:rsidR="003F36C1" w:rsidRPr="009872F3" w14:paraId="158AA455" w14:textId="77777777" w:rsidTr="005A05D6">
        <w:trPr>
          <w:trHeight w:val="294"/>
        </w:trPr>
        <w:tc>
          <w:tcPr>
            <w:tcW w:w="9218" w:type="dxa"/>
            <w:gridSpan w:val="6"/>
          </w:tcPr>
          <w:p w14:paraId="61DDD03D" w14:textId="77777777" w:rsidR="003F36C1" w:rsidRPr="009872F3" w:rsidRDefault="003F36C1" w:rsidP="00C747F0">
            <w:pPr>
              <w:jc w:val="both"/>
              <w:rPr>
                <w:rFonts w:ascii="Arial" w:hAnsi="Arial" w:cs="Arial"/>
                <w:sz w:val="18"/>
                <w:szCs w:val="18"/>
              </w:rPr>
            </w:pPr>
          </w:p>
        </w:tc>
      </w:tr>
      <w:tr w:rsidR="005A05D6" w:rsidRPr="009872F3" w14:paraId="16E96E60" w14:textId="77777777" w:rsidTr="005A05D6">
        <w:trPr>
          <w:trHeight w:val="294"/>
        </w:trPr>
        <w:tc>
          <w:tcPr>
            <w:tcW w:w="317" w:type="dxa"/>
          </w:tcPr>
          <w:p w14:paraId="750F06EE" w14:textId="335F076C" w:rsidR="005A05D6" w:rsidRPr="009872F3" w:rsidRDefault="005A05D6" w:rsidP="00C747F0">
            <w:pPr>
              <w:jc w:val="both"/>
              <w:rPr>
                <w:rFonts w:ascii="Arial" w:hAnsi="Arial" w:cs="Arial"/>
                <w:sz w:val="18"/>
                <w:szCs w:val="18"/>
              </w:rPr>
            </w:pPr>
            <w:r>
              <w:rPr>
                <w:rFonts w:ascii="Arial" w:hAnsi="Arial" w:cs="Arial"/>
                <w:sz w:val="18"/>
                <w:szCs w:val="18"/>
              </w:rPr>
              <w:t>1</w:t>
            </w:r>
          </w:p>
        </w:tc>
        <w:tc>
          <w:tcPr>
            <w:tcW w:w="6379" w:type="dxa"/>
            <w:gridSpan w:val="4"/>
          </w:tcPr>
          <w:p w14:paraId="5C89DDC2" w14:textId="0AD4A299" w:rsidR="005A05D6" w:rsidRPr="009872F3" w:rsidRDefault="005A05D6" w:rsidP="00C747F0">
            <w:pPr>
              <w:jc w:val="both"/>
              <w:rPr>
                <w:rFonts w:ascii="Arial" w:hAnsi="Arial" w:cs="Arial"/>
                <w:sz w:val="18"/>
                <w:szCs w:val="18"/>
              </w:rPr>
            </w:pPr>
            <w:r w:rsidRPr="00B93532">
              <w:rPr>
                <w:rFonts w:ascii="Arial" w:hAnsi="Arial" w:cs="Arial"/>
                <w:sz w:val="18"/>
                <w:szCs w:val="18"/>
              </w:rPr>
              <w:t>Bestätigung, dass die internen Verfahren die Einhaltung der Vorgaben für den Vertrieb von nachrangigen berücksichtigungsfähigen Verbindlichkeiten gem</w:t>
            </w:r>
            <w:r w:rsidR="008553FF">
              <w:rPr>
                <w:rFonts w:ascii="Arial" w:hAnsi="Arial" w:cs="Arial"/>
                <w:sz w:val="18"/>
                <w:szCs w:val="18"/>
              </w:rPr>
              <w:t xml:space="preserve">äss </w:t>
            </w:r>
            <w:r w:rsidRPr="00B93532">
              <w:rPr>
                <w:rFonts w:ascii="Arial" w:hAnsi="Arial" w:cs="Arial"/>
                <w:sz w:val="18"/>
                <w:szCs w:val="18"/>
              </w:rPr>
              <w:t xml:space="preserve">Art 57a SAG </w:t>
            </w:r>
            <w:r w:rsidR="002D4D9C">
              <w:rPr>
                <w:rFonts w:ascii="Arial" w:hAnsi="Arial" w:cs="Arial"/>
                <w:sz w:val="18"/>
                <w:szCs w:val="18"/>
              </w:rPr>
              <w:t>ermöglichen</w:t>
            </w:r>
            <w:r w:rsidR="005F1602">
              <w:rPr>
                <w:rFonts w:ascii="Arial" w:hAnsi="Arial" w:cs="Arial"/>
                <w:sz w:val="18"/>
                <w:szCs w:val="18"/>
              </w:rPr>
              <w:t>.</w:t>
            </w:r>
          </w:p>
        </w:tc>
        <w:tc>
          <w:tcPr>
            <w:tcW w:w="2522" w:type="dxa"/>
          </w:tcPr>
          <w:p w14:paraId="7C45A575" w14:textId="4A4201F0" w:rsidR="005A05D6" w:rsidRPr="009872F3" w:rsidRDefault="005A05D6" w:rsidP="00C747F0">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D0949D0" w14:textId="58A290E3" w:rsidR="006E2516" w:rsidRDefault="006E2516" w:rsidP="003F36C1">
      <w:pPr>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2655"/>
        <w:gridCol w:w="6549"/>
      </w:tblGrid>
      <w:tr w:rsidR="00DD04AA" w14:paraId="66CD4B62"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6E81D3F5" w14:textId="77777777" w:rsidR="00DD04AA" w:rsidRDefault="00DD04AA">
            <w:pPr>
              <w:jc w:val="both"/>
              <w:rPr>
                <w:rFonts w:ascii="Arial" w:eastAsia="Arial" w:hAnsi="Arial" w:cs="Arial"/>
                <w:b/>
                <w:bCs/>
                <w:i/>
                <w:iCs/>
                <w:sz w:val="18"/>
                <w:szCs w:val="18"/>
              </w:rPr>
            </w:pPr>
            <w:r w:rsidRPr="52A6A7C9">
              <w:rPr>
                <w:rFonts w:ascii="Arial" w:eastAsia="Arial" w:hAnsi="Arial" w:cs="Arial"/>
                <w:b/>
                <w:bCs/>
                <w:i/>
                <w:iCs/>
                <w:sz w:val="18"/>
                <w:szCs w:val="18"/>
              </w:rPr>
              <w:lastRenderedPageBreak/>
              <w:t>Prüfelemente</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05AD5CC9" w14:textId="77777777" w:rsidR="00DD04AA" w:rsidRDefault="00DD04AA">
            <w:pPr>
              <w:jc w:val="both"/>
              <w:rPr>
                <w:rFonts w:ascii="Arial" w:eastAsia="Arial" w:hAnsi="Arial" w:cs="Arial"/>
                <w:b/>
                <w:bCs/>
                <w:i/>
                <w:iCs/>
                <w:sz w:val="18"/>
                <w:szCs w:val="18"/>
              </w:rPr>
            </w:pPr>
            <w:r w:rsidRPr="52A6A7C9">
              <w:rPr>
                <w:rFonts w:ascii="Arial" w:eastAsia="Arial" w:hAnsi="Arial" w:cs="Arial"/>
                <w:b/>
                <w:bCs/>
                <w:i/>
                <w:iCs/>
                <w:sz w:val="18"/>
                <w:szCs w:val="18"/>
              </w:rPr>
              <w:t>Mindestprüfinhalte («Muster»)</w:t>
            </w:r>
          </w:p>
        </w:tc>
      </w:tr>
      <w:tr w:rsidR="00DD04AA" w14:paraId="5EF58F08"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6CD1C990" w14:textId="77777777" w:rsidR="00DD04AA" w:rsidRDefault="00DD04AA">
            <w:pPr>
              <w:jc w:val="both"/>
              <w:rPr>
                <w:rFonts w:ascii="Arial" w:eastAsia="Arial" w:hAnsi="Arial" w:cs="Arial"/>
                <w:i/>
                <w:iCs/>
                <w:sz w:val="18"/>
                <w:szCs w:val="18"/>
              </w:rPr>
            </w:pPr>
            <w:r w:rsidRPr="52A6A7C9">
              <w:rPr>
                <w:rFonts w:ascii="Arial" w:eastAsia="Arial" w:hAnsi="Arial" w:cs="Arial"/>
                <w:i/>
                <w:iCs/>
                <w:sz w:val="18"/>
                <w:szCs w:val="18"/>
              </w:rPr>
              <w:t xml:space="preserve">Interne Organisation </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472E86C8" w14:textId="77777777" w:rsidR="00DD04AA" w:rsidRPr="00D674EC" w:rsidRDefault="00DD04AA">
            <w:pPr>
              <w:pStyle w:val="Listenabsatz"/>
              <w:numPr>
                <w:ilvl w:val="0"/>
                <w:numId w:val="13"/>
              </w:numPr>
              <w:spacing w:line="259" w:lineRule="auto"/>
              <w:jc w:val="both"/>
              <w:rPr>
                <w:rFonts w:cs="Arial"/>
                <w:i/>
                <w:sz w:val="18"/>
                <w:szCs w:val="18"/>
              </w:rPr>
            </w:pPr>
            <w:r w:rsidRPr="00D674EC">
              <w:rPr>
                <w:rFonts w:cs="Arial"/>
                <w:i/>
                <w:sz w:val="18"/>
                <w:szCs w:val="18"/>
              </w:rPr>
              <w:t xml:space="preserve">Die interne Organisationsstruktur (z.B. Weisungswesen, technische, personelle und fachliche Ressourcen) </w:t>
            </w:r>
            <w:r w:rsidRPr="00F65553">
              <w:rPr>
                <w:rFonts w:cs="Arial"/>
                <w:i/>
                <w:sz w:val="18"/>
                <w:szCs w:val="18"/>
              </w:rPr>
              <w:t xml:space="preserve">stellt sicher, dass Verfahren </w:t>
            </w:r>
            <w:r>
              <w:rPr>
                <w:rFonts w:cs="Arial"/>
                <w:i/>
                <w:sz w:val="18"/>
                <w:szCs w:val="18"/>
              </w:rPr>
              <w:t xml:space="preserve">zur </w:t>
            </w:r>
            <w:r w:rsidRPr="00F65553">
              <w:rPr>
                <w:rFonts w:cs="Arial"/>
                <w:i/>
                <w:sz w:val="18"/>
                <w:szCs w:val="18"/>
              </w:rPr>
              <w:t xml:space="preserve">Einhaltung der Vorgaben für den Vertrieb von nachrangigen berücksichtigungsfähigen Verbindlichkeiten </w:t>
            </w:r>
            <w:r>
              <w:rPr>
                <w:rFonts w:cs="Arial"/>
                <w:i/>
                <w:sz w:val="18"/>
                <w:szCs w:val="18"/>
              </w:rPr>
              <w:t>existieren und schriftlich festgehalten sind</w:t>
            </w:r>
          </w:p>
        </w:tc>
      </w:tr>
      <w:tr w:rsidR="00DD04AA" w14:paraId="2AB884F8" w14:textId="77777777">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0D7D00B9" w14:textId="77777777" w:rsidR="00DD04AA" w:rsidRDefault="00DD04AA">
            <w:pPr>
              <w:jc w:val="both"/>
              <w:rPr>
                <w:rFonts w:ascii="Arial" w:eastAsia="Arial" w:hAnsi="Arial" w:cs="Arial"/>
                <w:i/>
                <w:iCs/>
                <w:sz w:val="18"/>
                <w:szCs w:val="18"/>
              </w:rPr>
            </w:pPr>
            <w:r w:rsidRPr="52A6A7C9">
              <w:rPr>
                <w:rFonts w:ascii="Arial" w:eastAsia="Arial" w:hAnsi="Arial" w:cs="Arial"/>
                <w:i/>
                <w:iCs/>
                <w:sz w:val="18"/>
                <w:szCs w:val="18"/>
              </w:rPr>
              <w:t>Internes Kontrollsystem, Prozesse und Berichterstattung</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0F917261" w14:textId="77777777" w:rsidR="00DD04AA" w:rsidRPr="00C30F61" w:rsidRDefault="00DD04AA">
            <w:pPr>
              <w:pStyle w:val="Listenabsatz"/>
              <w:numPr>
                <w:ilvl w:val="0"/>
                <w:numId w:val="13"/>
              </w:numPr>
              <w:rPr>
                <w:rFonts w:cs="Arial"/>
                <w:i/>
                <w:sz w:val="18"/>
                <w:szCs w:val="18"/>
              </w:rPr>
            </w:pPr>
            <w:r w:rsidRPr="00C30F61">
              <w:rPr>
                <w:rFonts w:cs="Arial"/>
                <w:i/>
                <w:sz w:val="18"/>
                <w:szCs w:val="18"/>
              </w:rPr>
              <w:t xml:space="preserve">Die internen Verfahren sehen die Anwendung des 4-Augen-Prinzips </w:t>
            </w:r>
            <w:r>
              <w:rPr>
                <w:rFonts w:cs="Arial"/>
                <w:i/>
                <w:sz w:val="18"/>
                <w:szCs w:val="18"/>
              </w:rPr>
              <w:t>bzw.</w:t>
            </w:r>
            <w:r w:rsidRPr="00C30F61">
              <w:rPr>
                <w:rFonts w:cs="Arial"/>
                <w:i/>
                <w:sz w:val="18"/>
                <w:szCs w:val="18"/>
              </w:rPr>
              <w:t xml:space="preserve"> Funktionstrennung bei Schlüsselkontrollen vor</w:t>
            </w:r>
          </w:p>
          <w:p w14:paraId="59DDBD6B" w14:textId="77777777" w:rsidR="00DD04AA" w:rsidRPr="00D674EC" w:rsidRDefault="00DD04AA">
            <w:pPr>
              <w:pStyle w:val="Listenabsatz"/>
              <w:numPr>
                <w:ilvl w:val="0"/>
                <w:numId w:val="13"/>
              </w:numPr>
              <w:spacing w:line="259" w:lineRule="auto"/>
              <w:jc w:val="both"/>
              <w:rPr>
                <w:rFonts w:cs="Arial"/>
                <w:i/>
                <w:sz w:val="18"/>
                <w:szCs w:val="18"/>
              </w:rPr>
            </w:pPr>
            <w:r w:rsidRPr="00D674EC">
              <w:rPr>
                <w:rFonts w:cs="Arial"/>
                <w:i/>
                <w:sz w:val="18"/>
                <w:szCs w:val="18"/>
              </w:rPr>
              <w:t xml:space="preserve">Die Prozesse ermöglichen die Identifizierung von nachrangigen berücksichtigungsfähigen Verbindlichkeiten </w:t>
            </w:r>
          </w:p>
        </w:tc>
      </w:tr>
    </w:tbl>
    <w:p w14:paraId="6F9D4A79" w14:textId="77777777" w:rsidR="007A7024" w:rsidRDefault="007A7024" w:rsidP="003F36C1">
      <w:pPr>
        <w:rPr>
          <w:rFonts w:ascii="Arial" w:hAnsi="Arial" w:cs="Arial"/>
          <w:sz w:val="20"/>
          <w:szCs w:val="20"/>
        </w:rPr>
      </w:pPr>
    </w:p>
    <w:p w14:paraId="6AAFF743" w14:textId="77777777" w:rsidR="006E61B7" w:rsidRDefault="00983BE0" w:rsidP="00C37D08">
      <w:pPr>
        <w:pStyle w:val="FINMAGliederungEbene2"/>
      </w:pPr>
      <w:bookmarkStart w:id="19" w:name="_Toc147141449"/>
      <w:r>
        <w:t>Meldewesen</w:t>
      </w:r>
      <w:bookmarkEnd w:id="19"/>
      <w:r w:rsidR="000060F7">
        <w:t xml:space="preserve"> </w:t>
      </w:r>
    </w:p>
    <w:p w14:paraId="3BC4FECD" w14:textId="77777777" w:rsidR="006E61B7" w:rsidRPr="006067FE" w:rsidRDefault="006E61B7" w:rsidP="006E61B7">
      <w:pPr>
        <w:pStyle w:val="FINMAGliederungEbene2"/>
        <w:numPr>
          <w:ilvl w:val="0"/>
          <w:numId w:val="0"/>
        </w:numPr>
        <w:ind w:left="576"/>
      </w:pPr>
    </w:p>
    <w:tbl>
      <w:tblPr>
        <w:tblStyle w:val="Tabellenraster"/>
        <w:tblW w:w="0" w:type="auto"/>
        <w:tblLook w:val="04A0" w:firstRow="1" w:lastRow="0" w:firstColumn="1" w:lastColumn="0" w:noHBand="0" w:noVBand="1"/>
      </w:tblPr>
      <w:tblGrid>
        <w:gridCol w:w="317"/>
        <w:gridCol w:w="1653"/>
        <w:gridCol w:w="2145"/>
        <w:gridCol w:w="1721"/>
        <w:gridCol w:w="1001"/>
        <w:gridCol w:w="2381"/>
      </w:tblGrid>
      <w:tr w:rsidR="006E61B7" w:rsidRPr="009872F3" w14:paraId="408F18C7" w14:textId="77777777" w:rsidTr="00D06444">
        <w:trPr>
          <w:trHeight w:val="563"/>
        </w:trPr>
        <w:tc>
          <w:tcPr>
            <w:tcW w:w="1970" w:type="dxa"/>
            <w:gridSpan w:val="2"/>
            <w:shd w:val="clear" w:color="auto" w:fill="DBE5F1" w:themeFill="accent1" w:themeFillTint="33"/>
          </w:tcPr>
          <w:p w14:paraId="0F6FCDD3" w14:textId="77777777" w:rsidR="006E61B7" w:rsidRPr="009872F3" w:rsidRDefault="006E61B7" w:rsidP="006E61B7">
            <w:pPr>
              <w:jc w:val="both"/>
              <w:rPr>
                <w:rFonts w:ascii="Arial" w:hAnsi="Arial" w:cs="Arial"/>
                <w:sz w:val="18"/>
                <w:szCs w:val="18"/>
              </w:rPr>
            </w:pPr>
            <w:r w:rsidRPr="009872F3">
              <w:rPr>
                <w:rFonts w:ascii="Arial" w:hAnsi="Arial" w:cs="Arial"/>
                <w:sz w:val="18"/>
                <w:szCs w:val="18"/>
              </w:rPr>
              <w:t>Nettorisiko</w:t>
            </w:r>
          </w:p>
        </w:tc>
        <w:tc>
          <w:tcPr>
            <w:tcW w:w="2145" w:type="dxa"/>
            <w:shd w:val="clear" w:color="auto" w:fill="DBE5F1" w:themeFill="accent1" w:themeFillTint="33"/>
          </w:tcPr>
          <w:p w14:paraId="4F37D8D7" w14:textId="77777777" w:rsidR="006E61B7" w:rsidRPr="009872F3" w:rsidRDefault="006E61B7" w:rsidP="006E61B7">
            <w:pPr>
              <w:jc w:val="both"/>
              <w:rPr>
                <w:rFonts w:ascii="Arial" w:hAnsi="Arial" w:cs="Arial"/>
                <w:sz w:val="18"/>
                <w:szCs w:val="18"/>
              </w:rPr>
            </w:pPr>
            <w:r w:rsidRPr="009872F3">
              <w:rPr>
                <w:rFonts w:ascii="Arial" w:hAnsi="Arial" w:cs="Arial"/>
                <w:sz w:val="18"/>
                <w:szCs w:val="18"/>
              </w:rPr>
              <w:t>Intervention Berichtsjahr:</w:t>
            </w:r>
          </w:p>
        </w:tc>
        <w:tc>
          <w:tcPr>
            <w:tcW w:w="5103" w:type="dxa"/>
            <w:gridSpan w:val="3"/>
            <w:shd w:val="clear" w:color="auto" w:fill="DBE5F1" w:themeFill="accent1" w:themeFillTint="33"/>
          </w:tcPr>
          <w:p w14:paraId="2C868AFF" w14:textId="77777777" w:rsidR="006E61B7" w:rsidRPr="009872F3" w:rsidRDefault="006E61B7" w:rsidP="006E61B7">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E61B7" w:rsidRPr="009872F3" w14:paraId="5B66A12E" w14:textId="77777777" w:rsidTr="00D06444">
        <w:trPr>
          <w:trHeight w:val="698"/>
        </w:trPr>
        <w:tc>
          <w:tcPr>
            <w:tcW w:w="1970" w:type="dxa"/>
            <w:gridSpan w:val="2"/>
            <w:shd w:val="clear" w:color="auto" w:fill="DBE5F1" w:themeFill="accent1" w:themeFillTint="33"/>
          </w:tcPr>
          <w:p w14:paraId="4CB6505A" w14:textId="77777777" w:rsidR="006E61B7" w:rsidRPr="006749F0" w:rsidRDefault="006E61B7" w:rsidP="006E61B7">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shd w:val="clear" w:color="auto" w:fill="DBE5F1" w:themeFill="accent1" w:themeFillTint="33"/>
          </w:tcPr>
          <w:p w14:paraId="0935602B" w14:textId="77777777" w:rsidR="006E61B7" w:rsidRPr="006749F0" w:rsidRDefault="006E61B7" w:rsidP="006E61B7">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shd w:val="clear" w:color="auto" w:fill="DBE5F1" w:themeFill="accent1" w:themeFillTint="33"/>
          </w:tcPr>
          <w:p w14:paraId="5FB7126F" w14:textId="77777777" w:rsidR="006E61B7" w:rsidRPr="009872F3" w:rsidRDefault="006E61B7" w:rsidP="006E61B7">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gridSpan w:val="2"/>
            <w:shd w:val="clear" w:color="auto" w:fill="DBE5F1" w:themeFill="accent1" w:themeFillTint="33"/>
          </w:tcPr>
          <w:p w14:paraId="0D4B0ABD" w14:textId="77777777" w:rsidR="006E61B7" w:rsidRDefault="006E61B7" w:rsidP="006E61B7">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2E7A30B" w14:textId="77777777" w:rsidR="006E61B7" w:rsidRPr="006749F0" w:rsidRDefault="006E61B7" w:rsidP="006E61B7">
            <w:pPr>
              <w:jc w:val="both"/>
              <w:rPr>
                <w:rFonts w:ascii="Arial" w:hAnsi="Arial" w:cs="Arial"/>
                <w:i/>
                <w:sz w:val="18"/>
                <w:szCs w:val="18"/>
              </w:rPr>
            </w:pPr>
            <w:r w:rsidRPr="006749F0">
              <w:rPr>
                <w:rFonts w:ascii="Arial" w:hAnsi="Arial" w:cs="Arial"/>
                <w:i/>
                <w:sz w:val="18"/>
                <w:szCs w:val="18"/>
                <w:highlight w:val="yellow"/>
              </w:rPr>
              <w:t>Jahr</w:t>
            </w:r>
          </w:p>
        </w:tc>
      </w:tr>
      <w:tr w:rsidR="006E61B7" w:rsidRPr="009872F3" w14:paraId="7BB54F53" w14:textId="77777777" w:rsidTr="00D06444">
        <w:trPr>
          <w:trHeight w:val="636"/>
        </w:trPr>
        <w:tc>
          <w:tcPr>
            <w:tcW w:w="9218" w:type="dxa"/>
            <w:gridSpan w:val="6"/>
            <w:shd w:val="clear" w:color="auto" w:fill="DBE5F1" w:themeFill="accent1" w:themeFillTint="33"/>
          </w:tcPr>
          <w:p w14:paraId="50776D32" w14:textId="77777777" w:rsidR="007D6216" w:rsidRPr="00D32831" w:rsidRDefault="007D6216" w:rsidP="007D6216">
            <w:pPr>
              <w:jc w:val="both"/>
              <w:rPr>
                <w:rFonts w:ascii="Arial" w:hAnsi="Arial" w:cs="Arial"/>
                <w:i/>
                <w:sz w:val="18"/>
                <w:szCs w:val="18"/>
              </w:rPr>
            </w:pPr>
            <w:r w:rsidRPr="00D32831">
              <w:rPr>
                <w:rFonts w:ascii="Arial" w:hAnsi="Arial" w:cs="Arial"/>
                <w:i/>
                <w:sz w:val="18"/>
                <w:szCs w:val="18"/>
              </w:rPr>
              <w:t xml:space="preserve">Referenzen (demonstrativ): </w:t>
            </w:r>
          </w:p>
          <w:p w14:paraId="10A4E82A" w14:textId="3D049AD7" w:rsidR="007D6216" w:rsidRDefault="007D6216" w:rsidP="00C37D08">
            <w:pPr>
              <w:pStyle w:val="Listenabsatz"/>
              <w:numPr>
                <w:ilvl w:val="0"/>
                <w:numId w:val="9"/>
              </w:numPr>
              <w:ind w:left="308"/>
              <w:jc w:val="both"/>
              <w:rPr>
                <w:rFonts w:cs="Arial"/>
                <w:sz w:val="18"/>
                <w:szCs w:val="18"/>
              </w:rPr>
            </w:pPr>
            <w:r w:rsidRPr="002176A6">
              <w:rPr>
                <w:rFonts w:cs="Arial"/>
                <w:sz w:val="18"/>
                <w:szCs w:val="18"/>
              </w:rPr>
              <w:t xml:space="preserve">Art. </w:t>
            </w:r>
            <w:r w:rsidR="00BB5240">
              <w:rPr>
                <w:rFonts w:cs="Arial"/>
                <w:sz w:val="18"/>
                <w:szCs w:val="18"/>
              </w:rPr>
              <w:t xml:space="preserve">61 </w:t>
            </w:r>
            <w:r w:rsidRPr="002176A6">
              <w:rPr>
                <w:rFonts w:cs="Arial"/>
                <w:sz w:val="18"/>
                <w:szCs w:val="18"/>
              </w:rPr>
              <w:t>SAG</w:t>
            </w:r>
            <w:r w:rsidR="00BB5240">
              <w:rPr>
                <w:rFonts w:cs="Arial"/>
                <w:sz w:val="18"/>
                <w:szCs w:val="18"/>
              </w:rPr>
              <w:t xml:space="preserve"> </w:t>
            </w:r>
          </w:p>
          <w:p w14:paraId="5CA46A14" w14:textId="77777777" w:rsidR="00CB2EE6" w:rsidRPr="002176A6" w:rsidRDefault="00CB2EE6" w:rsidP="00CB2EE6">
            <w:pPr>
              <w:pStyle w:val="Listenabsatz"/>
              <w:numPr>
                <w:ilvl w:val="0"/>
                <w:numId w:val="9"/>
              </w:numPr>
              <w:ind w:left="308"/>
              <w:jc w:val="both"/>
              <w:rPr>
                <w:rFonts w:cs="Arial"/>
                <w:sz w:val="18"/>
                <w:szCs w:val="18"/>
              </w:rPr>
            </w:pPr>
            <w:r w:rsidRPr="007D6216">
              <w:rPr>
                <w:rFonts w:cs="Arial"/>
                <w:sz w:val="18"/>
                <w:szCs w:val="18"/>
              </w:rPr>
              <w:t>Durchführungsverordnung (EU) 2018/1624 («Resolution Reporting»)</w:t>
            </w:r>
          </w:p>
          <w:p w14:paraId="04C8DE52" w14:textId="7D810DDE" w:rsidR="007D6216" w:rsidRPr="007D6216" w:rsidRDefault="007D6216" w:rsidP="00C37D08">
            <w:pPr>
              <w:pStyle w:val="Listenabsatz"/>
              <w:numPr>
                <w:ilvl w:val="0"/>
                <w:numId w:val="9"/>
              </w:numPr>
              <w:ind w:left="308"/>
              <w:jc w:val="both"/>
              <w:rPr>
                <w:rFonts w:cs="Arial"/>
                <w:sz w:val="18"/>
                <w:szCs w:val="18"/>
              </w:rPr>
            </w:pPr>
            <w:r w:rsidRPr="007D6216">
              <w:rPr>
                <w:rFonts w:cs="Arial"/>
                <w:sz w:val="18"/>
                <w:szCs w:val="18"/>
              </w:rPr>
              <w:t>Durchführungsverordnung (EU) 2021/763 (Meldung und Offenlegung)</w:t>
            </w:r>
          </w:p>
          <w:p w14:paraId="6A1A92B7" w14:textId="723608F6" w:rsidR="00513908" w:rsidRDefault="00513908" w:rsidP="00C37D08">
            <w:pPr>
              <w:pStyle w:val="Listenabsatz"/>
              <w:numPr>
                <w:ilvl w:val="0"/>
                <w:numId w:val="9"/>
              </w:numPr>
              <w:ind w:left="308"/>
              <w:jc w:val="both"/>
              <w:rPr>
                <w:rFonts w:cs="Arial"/>
                <w:sz w:val="18"/>
                <w:szCs w:val="18"/>
              </w:rPr>
            </w:pPr>
            <w:r>
              <w:rPr>
                <w:rFonts w:cs="Arial"/>
                <w:sz w:val="18"/>
                <w:szCs w:val="18"/>
              </w:rPr>
              <w:t>FMA-Mitteilung 2019/3 betreffend Meldewesen für die Abwicklungsbehörde</w:t>
            </w:r>
          </w:p>
          <w:p w14:paraId="0019E00F" w14:textId="6ACD8956" w:rsidR="007D6216" w:rsidRPr="009872F3" w:rsidRDefault="007D6216" w:rsidP="00C37D08">
            <w:pPr>
              <w:pStyle w:val="Listenabsatz"/>
              <w:numPr>
                <w:ilvl w:val="0"/>
                <w:numId w:val="9"/>
              </w:numPr>
              <w:ind w:left="308"/>
              <w:jc w:val="both"/>
              <w:rPr>
                <w:rFonts w:cs="Arial"/>
                <w:sz w:val="18"/>
                <w:szCs w:val="18"/>
              </w:rPr>
            </w:pPr>
            <w:r w:rsidRPr="002176A6">
              <w:rPr>
                <w:rFonts w:cs="Arial"/>
                <w:sz w:val="18"/>
                <w:szCs w:val="18"/>
              </w:rPr>
              <w:t>FMA-Mitteilung 2022/02 betreffend die Festlegung der Mindestanforderung an Eigenmittel und berücksichtigungsfähige Verbindlichkeiten und entsprechender Schnittstellen zur Abwicklungsplanung für Banken und Wertpapierfirmen («MREL-Policy»)</w:t>
            </w:r>
          </w:p>
        </w:tc>
      </w:tr>
      <w:tr w:rsidR="006E61B7" w:rsidRPr="009872F3" w14:paraId="280AD4FE" w14:textId="77777777" w:rsidTr="00D06444">
        <w:trPr>
          <w:trHeight w:val="294"/>
        </w:trPr>
        <w:tc>
          <w:tcPr>
            <w:tcW w:w="9218" w:type="dxa"/>
            <w:gridSpan w:val="6"/>
          </w:tcPr>
          <w:p w14:paraId="75B125FA" w14:textId="77777777" w:rsidR="006E61B7" w:rsidRPr="009872F3" w:rsidRDefault="006E61B7" w:rsidP="006E61B7">
            <w:pPr>
              <w:jc w:val="both"/>
              <w:rPr>
                <w:rFonts w:ascii="Arial" w:hAnsi="Arial" w:cs="Arial"/>
                <w:sz w:val="18"/>
                <w:szCs w:val="18"/>
              </w:rPr>
            </w:pPr>
          </w:p>
        </w:tc>
      </w:tr>
      <w:tr w:rsidR="00D06444" w:rsidRPr="009872F3" w14:paraId="28F21F6A" w14:textId="77777777" w:rsidTr="00D06444">
        <w:trPr>
          <w:trHeight w:val="294"/>
        </w:trPr>
        <w:tc>
          <w:tcPr>
            <w:tcW w:w="317" w:type="dxa"/>
          </w:tcPr>
          <w:p w14:paraId="30210765" w14:textId="3F15C3B8" w:rsidR="00D06444" w:rsidRPr="009872F3" w:rsidRDefault="00D06444" w:rsidP="00D06444">
            <w:pPr>
              <w:jc w:val="both"/>
              <w:rPr>
                <w:rFonts w:ascii="Arial" w:hAnsi="Arial" w:cs="Arial"/>
                <w:sz w:val="18"/>
                <w:szCs w:val="18"/>
              </w:rPr>
            </w:pPr>
            <w:r>
              <w:rPr>
                <w:rFonts w:ascii="Arial" w:hAnsi="Arial" w:cs="Arial"/>
                <w:sz w:val="18"/>
                <w:szCs w:val="18"/>
              </w:rPr>
              <w:t>1</w:t>
            </w:r>
          </w:p>
        </w:tc>
        <w:tc>
          <w:tcPr>
            <w:tcW w:w="6520" w:type="dxa"/>
            <w:gridSpan w:val="4"/>
          </w:tcPr>
          <w:p w14:paraId="7E258D12" w14:textId="628E9449" w:rsidR="00D06444" w:rsidRPr="009872F3" w:rsidRDefault="00D06444" w:rsidP="00D06444">
            <w:pPr>
              <w:jc w:val="both"/>
              <w:rPr>
                <w:rFonts w:ascii="Arial" w:hAnsi="Arial" w:cs="Arial"/>
                <w:sz w:val="18"/>
                <w:szCs w:val="18"/>
              </w:rPr>
            </w:pPr>
            <w:r>
              <w:rPr>
                <w:rFonts w:ascii="Arial" w:hAnsi="Arial" w:cs="Arial"/>
                <w:sz w:val="18"/>
                <w:szCs w:val="18"/>
              </w:rPr>
              <w:t xml:space="preserve">Bestätigung, dass die internen Verfahren korrekte </w:t>
            </w:r>
            <w:r w:rsidR="00FD4544">
              <w:rPr>
                <w:rFonts w:ascii="Arial" w:hAnsi="Arial" w:cs="Arial"/>
                <w:sz w:val="18"/>
                <w:szCs w:val="18"/>
              </w:rPr>
              <w:t xml:space="preserve">und </w:t>
            </w:r>
            <w:r>
              <w:rPr>
                <w:rFonts w:ascii="Arial" w:hAnsi="Arial" w:cs="Arial"/>
                <w:sz w:val="18"/>
                <w:szCs w:val="18"/>
              </w:rPr>
              <w:t xml:space="preserve">vollständige Meldungen gemäss der </w:t>
            </w:r>
            <w:r w:rsidRPr="00B56D96">
              <w:rPr>
                <w:rFonts w:ascii="Arial" w:hAnsi="Arial" w:cs="Arial"/>
                <w:sz w:val="18"/>
                <w:szCs w:val="18"/>
              </w:rPr>
              <w:t xml:space="preserve">Durchführungsverordnung </w:t>
            </w:r>
            <w:r w:rsidR="0049574D">
              <w:rPr>
                <w:rFonts w:ascii="Arial" w:hAnsi="Arial" w:cs="Arial"/>
                <w:sz w:val="18"/>
                <w:szCs w:val="18"/>
              </w:rPr>
              <w:t xml:space="preserve">(EU) </w:t>
            </w:r>
            <w:r w:rsidRPr="00B56D96">
              <w:rPr>
                <w:rFonts w:ascii="Arial" w:hAnsi="Arial" w:cs="Arial"/>
                <w:sz w:val="18"/>
                <w:szCs w:val="18"/>
              </w:rPr>
              <w:t>2018/1624 («Resolution Reporting») sicherstellen</w:t>
            </w:r>
            <w:r w:rsidR="005F1602">
              <w:rPr>
                <w:rFonts w:ascii="Arial" w:hAnsi="Arial" w:cs="Arial"/>
                <w:sz w:val="18"/>
                <w:szCs w:val="18"/>
              </w:rPr>
              <w:t>.</w:t>
            </w:r>
          </w:p>
        </w:tc>
        <w:tc>
          <w:tcPr>
            <w:tcW w:w="2381" w:type="dxa"/>
          </w:tcPr>
          <w:p w14:paraId="032B2333" w14:textId="6C0D9071" w:rsidR="00D06444" w:rsidRPr="009872F3" w:rsidRDefault="00D06444" w:rsidP="00D06444">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06444" w:rsidRPr="009872F3" w14:paraId="2E311B66" w14:textId="77777777" w:rsidTr="00D06444">
        <w:trPr>
          <w:trHeight w:val="294"/>
        </w:trPr>
        <w:tc>
          <w:tcPr>
            <w:tcW w:w="317" w:type="dxa"/>
          </w:tcPr>
          <w:p w14:paraId="567E2E8D" w14:textId="41022EC7" w:rsidR="00D06444" w:rsidRPr="009872F3" w:rsidRDefault="00D06444" w:rsidP="00D06444">
            <w:pPr>
              <w:jc w:val="both"/>
              <w:rPr>
                <w:rFonts w:ascii="Arial" w:hAnsi="Arial" w:cs="Arial"/>
                <w:sz w:val="18"/>
                <w:szCs w:val="18"/>
              </w:rPr>
            </w:pPr>
            <w:r>
              <w:rPr>
                <w:rFonts w:ascii="Arial" w:hAnsi="Arial" w:cs="Arial"/>
                <w:sz w:val="18"/>
                <w:szCs w:val="18"/>
              </w:rPr>
              <w:t>2</w:t>
            </w:r>
          </w:p>
        </w:tc>
        <w:tc>
          <w:tcPr>
            <w:tcW w:w="6520" w:type="dxa"/>
            <w:gridSpan w:val="4"/>
          </w:tcPr>
          <w:p w14:paraId="41CCC238" w14:textId="0D867EDD" w:rsidR="00D06444" w:rsidRPr="009872F3" w:rsidRDefault="00D06444" w:rsidP="00D06444">
            <w:pPr>
              <w:jc w:val="both"/>
              <w:rPr>
                <w:rFonts w:ascii="Arial" w:hAnsi="Arial" w:cs="Arial"/>
                <w:sz w:val="18"/>
                <w:szCs w:val="18"/>
              </w:rPr>
            </w:pPr>
            <w:r>
              <w:rPr>
                <w:rFonts w:ascii="Arial" w:hAnsi="Arial" w:cs="Arial"/>
                <w:sz w:val="18"/>
                <w:szCs w:val="18"/>
              </w:rPr>
              <w:t xml:space="preserve">Bestätigung, dass die internen Verfahren korrekte </w:t>
            </w:r>
            <w:r w:rsidR="003E2ACA">
              <w:rPr>
                <w:rFonts w:ascii="Arial" w:hAnsi="Arial" w:cs="Arial"/>
                <w:sz w:val="18"/>
                <w:szCs w:val="18"/>
              </w:rPr>
              <w:t xml:space="preserve">und </w:t>
            </w:r>
            <w:r>
              <w:rPr>
                <w:rFonts w:ascii="Arial" w:hAnsi="Arial" w:cs="Arial"/>
                <w:sz w:val="18"/>
                <w:szCs w:val="18"/>
              </w:rPr>
              <w:t xml:space="preserve">vollständige Meldungen gemäss der Durchführungsverordnung </w:t>
            </w:r>
            <w:r w:rsidR="0049574D">
              <w:rPr>
                <w:rFonts w:ascii="Arial" w:hAnsi="Arial" w:cs="Arial"/>
                <w:sz w:val="18"/>
                <w:szCs w:val="18"/>
              </w:rPr>
              <w:t xml:space="preserve">(EU) </w:t>
            </w:r>
            <w:r>
              <w:rPr>
                <w:rFonts w:ascii="Arial" w:hAnsi="Arial" w:cs="Arial"/>
                <w:sz w:val="18"/>
                <w:szCs w:val="18"/>
              </w:rPr>
              <w:t>2021/763 («MREL-Reporting») sicherstellen.</w:t>
            </w:r>
          </w:p>
        </w:tc>
        <w:tc>
          <w:tcPr>
            <w:tcW w:w="2381" w:type="dxa"/>
          </w:tcPr>
          <w:p w14:paraId="6743C6DE" w14:textId="3F8D362E" w:rsidR="00D06444" w:rsidRPr="00E109DF" w:rsidRDefault="00D06444" w:rsidP="00D06444">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10691" w:rsidRPr="009872F3" w14:paraId="49E976C9" w14:textId="77777777" w:rsidTr="00D06444">
        <w:trPr>
          <w:trHeight w:val="294"/>
        </w:trPr>
        <w:tc>
          <w:tcPr>
            <w:tcW w:w="317" w:type="dxa"/>
          </w:tcPr>
          <w:p w14:paraId="2BBAAD2A" w14:textId="1C7EE4F3" w:rsidR="00910691" w:rsidRDefault="00910691" w:rsidP="00D06444">
            <w:pPr>
              <w:jc w:val="both"/>
              <w:rPr>
                <w:rFonts w:ascii="Arial" w:hAnsi="Arial" w:cs="Arial"/>
                <w:sz w:val="18"/>
                <w:szCs w:val="18"/>
              </w:rPr>
            </w:pPr>
            <w:r>
              <w:rPr>
                <w:rFonts w:ascii="Arial" w:hAnsi="Arial" w:cs="Arial"/>
                <w:sz w:val="18"/>
                <w:szCs w:val="18"/>
              </w:rPr>
              <w:t>3</w:t>
            </w:r>
          </w:p>
        </w:tc>
        <w:tc>
          <w:tcPr>
            <w:tcW w:w="6520" w:type="dxa"/>
            <w:gridSpan w:val="4"/>
          </w:tcPr>
          <w:p w14:paraId="3391E48C" w14:textId="03F72382" w:rsidR="00910691" w:rsidRDefault="00910691" w:rsidP="00D06444">
            <w:pPr>
              <w:jc w:val="both"/>
              <w:rPr>
                <w:rFonts w:ascii="Arial" w:hAnsi="Arial" w:cs="Arial"/>
                <w:sz w:val="18"/>
                <w:szCs w:val="18"/>
              </w:rPr>
            </w:pPr>
            <w:r>
              <w:rPr>
                <w:rFonts w:ascii="Arial" w:hAnsi="Arial" w:cs="Arial"/>
                <w:sz w:val="18"/>
                <w:szCs w:val="18"/>
              </w:rPr>
              <w:t xml:space="preserve">Bestätigung, dass interne Verfahren </w:t>
            </w:r>
            <w:r w:rsidR="00D305D0">
              <w:rPr>
                <w:rFonts w:ascii="Arial" w:hAnsi="Arial" w:cs="Arial"/>
                <w:sz w:val="18"/>
                <w:szCs w:val="18"/>
              </w:rPr>
              <w:t>bestehen, um</w:t>
            </w:r>
            <w:r>
              <w:rPr>
                <w:rFonts w:ascii="Arial" w:hAnsi="Arial" w:cs="Arial"/>
                <w:sz w:val="18"/>
                <w:szCs w:val="18"/>
              </w:rPr>
              <w:t xml:space="preserve"> im Bedarfsfall höhere Meldefrequenzen</w:t>
            </w:r>
            <w:r w:rsidR="00D7344F">
              <w:rPr>
                <w:rFonts w:ascii="Arial" w:hAnsi="Arial" w:cs="Arial"/>
                <w:sz w:val="18"/>
                <w:szCs w:val="18"/>
              </w:rPr>
              <w:t xml:space="preserve"> </w:t>
            </w:r>
            <w:r w:rsidR="56731776" w:rsidRPr="06D9602D">
              <w:rPr>
                <w:rFonts w:ascii="Arial" w:hAnsi="Arial" w:cs="Arial"/>
                <w:sz w:val="18"/>
                <w:szCs w:val="18"/>
              </w:rPr>
              <w:t xml:space="preserve">zu </w:t>
            </w:r>
            <w:r w:rsidR="5A3EB275" w:rsidRPr="06D9602D">
              <w:rPr>
                <w:rFonts w:ascii="Arial" w:hAnsi="Arial" w:cs="Arial"/>
                <w:sz w:val="18"/>
                <w:szCs w:val="18"/>
              </w:rPr>
              <w:t>ermöglichen</w:t>
            </w:r>
          </w:p>
        </w:tc>
        <w:tc>
          <w:tcPr>
            <w:tcW w:w="2381" w:type="dxa"/>
          </w:tcPr>
          <w:p w14:paraId="7EF9A2DA" w14:textId="445D27FC" w:rsidR="00910691" w:rsidRPr="00E109DF" w:rsidRDefault="00910691" w:rsidP="00D06444">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191F8EC" w14:textId="45D78BAD" w:rsidR="006E61B7" w:rsidRDefault="006E61B7" w:rsidP="00985F22">
      <w:pPr>
        <w:pStyle w:val="FINMAGliederungEbene2"/>
        <w:numPr>
          <w:ilvl w:val="0"/>
          <w:numId w:val="0"/>
        </w:numPr>
      </w:pPr>
    </w:p>
    <w:tbl>
      <w:tblPr>
        <w:tblStyle w:val="Tabellenraster"/>
        <w:tblW w:w="0" w:type="auto"/>
        <w:tblLayout w:type="fixed"/>
        <w:tblLook w:val="04A0" w:firstRow="1" w:lastRow="0" w:firstColumn="1" w:lastColumn="0" w:noHBand="0" w:noVBand="1"/>
      </w:tblPr>
      <w:tblGrid>
        <w:gridCol w:w="2655"/>
        <w:gridCol w:w="6549"/>
      </w:tblGrid>
      <w:tr w:rsidR="00406100" w14:paraId="7364B121"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2E088D41" w14:textId="77777777" w:rsidR="00406100" w:rsidRDefault="00406100" w:rsidP="00387D17">
            <w:pPr>
              <w:jc w:val="both"/>
              <w:rPr>
                <w:rFonts w:ascii="Arial" w:eastAsia="Arial" w:hAnsi="Arial" w:cs="Arial"/>
                <w:b/>
                <w:bCs/>
                <w:i/>
                <w:iCs/>
                <w:sz w:val="18"/>
                <w:szCs w:val="18"/>
              </w:rPr>
            </w:pPr>
            <w:r w:rsidRPr="105E438B">
              <w:rPr>
                <w:rFonts w:ascii="Arial" w:eastAsia="Arial" w:hAnsi="Arial" w:cs="Arial"/>
                <w:b/>
                <w:bCs/>
                <w:i/>
                <w:iCs/>
                <w:sz w:val="18"/>
                <w:szCs w:val="18"/>
              </w:rPr>
              <w:t>Prüfelemente</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191FC8BD" w14:textId="77777777" w:rsidR="00406100" w:rsidRDefault="00406100" w:rsidP="00387D17">
            <w:pPr>
              <w:jc w:val="both"/>
              <w:rPr>
                <w:rFonts w:ascii="Arial" w:eastAsia="Arial" w:hAnsi="Arial" w:cs="Arial"/>
                <w:b/>
                <w:bCs/>
                <w:i/>
                <w:iCs/>
                <w:sz w:val="18"/>
                <w:szCs w:val="18"/>
              </w:rPr>
            </w:pPr>
            <w:r w:rsidRPr="002D0096">
              <w:rPr>
                <w:rFonts w:ascii="Arial" w:eastAsia="Arial" w:hAnsi="Arial" w:cs="Arial"/>
                <w:b/>
                <w:bCs/>
                <w:i/>
                <w:iCs/>
                <w:sz w:val="18"/>
                <w:szCs w:val="18"/>
              </w:rPr>
              <w:t>Mindestprüfinhalt</w:t>
            </w:r>
            <w:r w:rsidRPr="002D0096">
              <w:rPr>
                <w:rFonts w:ascii="Arial" w:hAnsi="Arial" w:cs="Arial"/>
                <w:b/>
                <w:bCs/>
                <w:i/>
                <w:iCs/>
                <w:sz w:val="18"/>
                <w:szCs w:val="18"/>
              </w:rPr>
              <w:t>e («Muster»)</w:t>
            </w:r>
          </w:p>
        </w:tc>
      </w:tr>
      <w:tr w:rsidR="0030462C" w14:paraId="50FEFB09"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6487A29D" w14:textId="31895577" w:rsidR="0030462C" w:rsidRPr="00594F87" w:rsidRDefault="006813DD" w:rsidP="00387D17">
            <w:pPr>
              <w:jc w:val="both"/>
              <w:rPr>
                <w:rFonts w:ascii="Arial" w:eastAsia="Arial" w:hAnsi="Arial" w:cs="Arial"/>
                <w:i/>
                <w:iCs/>
                <w:sz w:val="18"/>
                <w:szCs w:val="18"/>
              </w:rPr>
            </w:pPr>
            <w:r>
              <w:rPr>
                <w:rFonts w:ascii="Arial" w:eastAsia="Arial" w:hAnsi="Arial" w:cs="Arial"/>
                <w:i/>
                <w:iCs/>
                <w:sz w:val="18"/>
                <w:szCs w:val="18"/>
              </w:rPr>
              <w:t xml:space="preserve">Interne Organisation </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19DB853E" w14:textId="4F389B32" w:rsidR="006813DD" w:rsidRPr="00685831" w:rsidRDefault="006813DD" w:rsidP="00C37D08">
            <w:pPr>
              <w:pStyle w:val="Listenabsatz"/>
              <w:numPr>
                <w:ilvl w:val="1"/>
                <w:numId w:val="10"/>
              </w:numPr>
              <w:spacing w:line="259" w:lineRule="auto"/>
              <w:ind w:left="317" w:hanging="283"/>
              <w:jc w:val="both"/>
              <w:rPr>
                <w:rFonts w:cs="Arial"/>
                <w:i/>
                <w:iCs/>
                <w:sz w:val="18"/>
                <w:szCs w:val="18"/>
              </w:rPr>
            </w:pPr>
            <w:r w:rsidRPr="00C3378F">
              <w:rPr>
                <w:rFonts w:cs="Arial"/>
                <w:i/>
                <w:iCs/>
                <w:sz w:val="18"/>
                <w:szCs w:val="18"/>
              </w:rPr>
              <w:t xml:space="preserve">Die interne Organisationsstruktur (z.B. Weisungswesen, </w:t>
            </w:r>
            <w:r w:rsidRPr="00685831">
              <w:rPr>
                <w:rFonts w:cs="Arial"/>
                <w:i/>
                <w:iCs/>
                <w:sz w:val="18"/>
                <w:szCs w:val="18"/>
              </w:rPr>
              <w:t>technische</w:t>
            </w:r>
            <w:r w:rsidR="00312707">
              <w:rPr>
                <w:rFonts w:cs="Arial"/>
                <w:i/>
                <w:iCs/>
                <w:sz w:val="18"/>
                <w:szCs w:val="18"/>
              </w:rPr>
              <w:t>,</w:t>
            </w:r>
            <w:r w:rsidRPr="00685831">
              <w:rPr>
                <w:rFonts w:cs="Arial"/>
                <w:i/>
                <w:iCs/>
                <w:sz w:val="18"/>
                <w:szCs w:val="18"/>
              </w:rPr>
              <w:t xml:space="preserve"> personelle und fachliche Ressourcen) stell</w:t>
            </w:r>
            <w:r>
              <w:rPr>
                <w:rFonts w:cs="Arial"/>
                <w:i/>
                <w:iCs/>
                <w:sz w:val="18"/>
                <w:szCs w:val="18"/>
              </w:rPr>
              <w:t>t</w:t>
            </w:r>
            <w:r w:rsidRPr="00685831">
              <w:rPr>
                <w:rFonts w:cs="Arial"/>
                <w:i/>
                <w:iCs/>
                <w:sz w:val="18"/>
                <w:szCs w:val="18"/>
              </w:rPr>
              <w:t xml:space="preserve"> sicher, dass Verfahren existieren, welche </w:t>
            </w:r>
            <w:r w:rsidR="0068686D">
              <w:rPr>
                <w:rFonts w:cs="Arial"/>
                <w:i/>
                <w:iCs/>
                <w:sz w:val="18"/>
                <w:szCs w:val="18"/>
              </w:rPr>
              <w:t xml:space="preserve">das ordnungsgemässe Meldewesen sicherstellen </w:t>
            </w:r>
            <w:r w:rsidRPr="00685831">
              <w:rPr>
                <w:rFonts w:cs="Arial"/>
                <w:i/>
                <w:iCs/>
                <w:sz w:val="18"/>
                <w:szCs w:val="18"/>
              </w:rPr>
              <w:t xml:space="preserve"> </w:t>
            </w:r>
          </w:p>
          <w:p w14:paraId="42765746" w14:textId="1460EB4A" w:rsidR="0030462C" w:rsidRPr="00387D17" w:rsidRDefault="001D400B" w:rsidP="00C37D08">
            <w:pPr>
              <w:pStyle w:val="Listenabsatz"/>
              <w:numPr>
                <w:ilvl w:val="1"/>
                <w:numId w:val="10"/>
              </w:numPr>
              <w:spacing w:line="259" w:lineRule="auto"/>
              <w:ind w:left="317" w:hanging="283"/>
              <w:jc w:val="both"/>
              <w:rPr>
                <w:i/>
                <w:iCs/>
                <w:sz w:val="18"/>
                <w:szCs w:val="18"/>
              </w:rPr>
            </w:pPr>
            <w:r w:rsidRPr="00594F87">
              <w:rPr>
                <w:i/>
                <w:iCs/>
                <w:sz w:val="18"/>
                <w:szCs w:val="18"/>
              </w:rPr>
              <w:t>Die internen Verfahren sehen klare Verantwortlichkeiten bezüglich de</w:t>
            </w:r>
            <w:r>
              <w:rPr>
                <w:i/>
                <w:iCs/>
                <w:sz w:val="18"/>
                <w:szCs w:val="18"/>
              </w:rPr>
              <w:t>r</w:t>
            </w:r>
            <w:r w:rsidRPr="00594F87">
              <w:rPr>
                <w:i/>
                <w:iCs/>
                <w:sz w:val="18"/>
                <w:szCs w:val="18"/>
              </w:rPr>
              <w:t xml:space="preserve"> Meldungen vor</w:t>
            </w:r>
          </w:p>
        </w:tc>
      </w:tr>
      <w:tr w:rsidR="00406100" w14:paraId="25165E1D" w14:textId="77777777" w:rsidTr="00501D7B">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78EC4136" w14:textId="49A6AF52" w:rsidR="00406100" w:rsidRPr="00B3666B" w:rsidRDefault="006813DD" w:rsidP="00387D17">
            <w:pPr>
              <w:jc w:val="both"/>
              <w:rPr>
                <w:rFonts w:ascii="Arial" w:eastAsia="Arial" w:hAnsi="Arial" w:cs="Arial"/>
                <w:i/>
                <w:iCs/>
                <w:sz w:val="18"/>
                <w:szCs w:val="18"/>
              </w:rPr>
            </w:pPr>
            <w:r w:rsidRPr="00B3666B">
              <w:rPr>
                <w:rFonts w:ascii="Arial" w:eastAsia="Arial" w:hAnsi="Arial" w:cs="Arial"/>
                <w:i/>
                <w:iCs/>
                <w:sz w:val="18"/>
                <w:szCs w:val="18"/>
              </w:rPr>
              <w:t xml:space="preserve">Meldewesen, interne Verfahren und Kontrollen </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0C72DFBA" w14:textId="6159DB87" w:rsidR="00CE31EA" w:rsidRPr="00B3666B" w:rsidRDefault="001D06DF" w:rsidP="00C37D08">
            <w:pPr>
              <w:pStyle w:val="Listenabsatz"/>
              <w:numPr>
                <w:ilvl w:val="1"/>
                <w:numId w:val="10"/>
              </w:numPr>
              <w:spacing w:line="259" w:lineRule="auto"/>
              <w:ind w:left="317" w:hanging="283"/>
              <w:jc w:val="both"/>
              <w:rPr>
                <w:i/>
                <w:iCs/>
                <w:sz w:val="18"/>
                <w:szCs w:val="18"/>
              </w:rPr>
            </w:pPr>
            <w:r w:rsidRPr="00B3666B">
              <w:rPr>
                <w:i/>
                <w:iCs/>
                <w:sz w:val="18"/>
                <w:szCs w:val="18"/>
              </w:rPr>
              <w:t>D</w:t>
            </w:r>
            <w:r w:rsidR="004516E6" w:rsidRPr="00B3666B">
              <w:rPr>
                <w:i/>
                <w:iCs/>
                <w:sz w:val="18"/>
                <w:szCs w:val="18"/>
              </w:rPr>
              <w:t>ie internen Verfahren</w:t>
            </w:r>
            <w:r w:rsidRPr="00B3666B">
              <w:rPr>
                <w:i/>
                <w:iCs/>
                <w:sz w:val="18"/>
                <w:szCs w:val="18"/>
              </w:rPr>
              <w:t xml:space="preserve"> sehen</w:t>
            </w:r>
            <w:r w:rsidR="004516E6" w:rsidRPr="00B3666B">
              <w:rPr>
                <w:i/>
                <w:iCs/>
                <w:sz w:val="18"/>
                <w:szCs w:val="18"/>
              </w:rPr>
              <w:t xml:space="preserve"> eine hohe Datenqualität (u.a. durch ein </w:t>
            </w:r>
            <w:r w:rsidR="00C30F61">
              <w:rPr>
                <w:i/>
                <w:iCs/>
                <w:sz w:val="18"/>
                <w:szCs w:val="18"/>
              </w:rPr>
              <w:t>4</w:t>
            </w:r>
            <w:r w:rsidR="004516E6" w:rsidRPr="00B3666B">
              <w:rPr>
                <w:i/>
                <w:iCs/>
                <w:sz w:val="18"/>
                <w:szCs w:val="18"/>
              </w:rPr>
              <w:t>-Augen-Prinzip beim Erstellungs- und Übermittlungsprozess sowie einer regelmässigen Validierung) und die Aufzeichnung sämtlicher manueller Anpassungen und durchgeführter Kontrollen sicherstellen</w:t>
            </w:r>
          </w:p>
          <w:p w14:paraId="15DF171E" w14:textId="2138CB73" w:rsidR="001D06DF" w:rsidRPr="008C2875" w:rsidRDefault="00CE31EA" w:rsidP="00CE31EA">
            <w:pPr>
              <w:pStyle w:val="Listenabsatz"/>
              <w:numPr>
                <w:ilvl w:val="1"/>
                <w:numId w:val="10"/>
              </w:numPr>
              <w:spacing w:line="259" w:lineRule="auto"/>
              <w:ind w:left="317" w:hanging="283"/>
              <w:jc w:val="both"/>
              <w:rPr>
                <w:i/>
                <w:iCs/>
                <w:sz w:val="18"/>
                <w:szCs w:val="18"/>
              </w:rPr>
            </w:pPr>
            <w:r w:rsidRPr="008C2875">
              <w:rPr>
                <w:i/>
                <w:iCs/>
                <w:sz w:val="18"/>
                <w:szCs w:val="18"/>
              </w:rPr>
              <w:t>Datenqualitätssichernde Kontrollen zur korrekten und vollständigen Meldung sind definiert</w:t>
            </w:r>
          </w:p>
          <w:p w14:paraId="5B27E8AF" w14:textId="18A6E4E4" w:rsidR="00406100" w:rsidRPr="00B3666B" w:rsidRDefault="00406100" w:rsidP="00C37D08">
            <w:pPr>
              <w:pStyle w:val="Listenabsatz"/>
              <w:numPr>
                <w:ilvl w:val="1"/>
                <w:numId w:val="10"/>
              </w:numPr>
              <w:spacing w:line="259" w:lineRule="auto"/>
              <w:ind w:left="317" w:hanging="283"/>
              <w:jc w:val="both"/>
              <w:rPr>
                <w:rFonts w:cs="Arial"/>
                <w:i/>
                <w:sz w:val="18"/>
                <w:szCs w:val="18"/>
              </w:rPr>
            </w:pPr>
            <w:r w:rsidRPr="00B3666B">
              <w:rPr>
                <w:i/>
                <w:iCs/>
                <w:sz w:val="18"/>
                <w:szCs w:val="18"/>
              </w:rPr>
              <w:t>Die internen Verfahren sehen eine im Bedarfsfall höhere Meldefrequenz vor</w:t>
            </w:r>
            <w:r w:rsidR="00921131" w:rsidRPr="00B3666B">
              <w:rPr>
                <w:i/>
                <w:iCs/>
                <w:sz w:val="18"/>
                <w:szCs w:val="18"/>
              </w:rPr>
              <w:t xml:space="preserve">, welche </w:t>
            </w:r>
            <w:r w:rsidR="00D711A9" w:rsidRPr="00B3666B">
              <w:rPr>
                <w:i/>
                <w:iCs/>
                <w:sz w:val="18"/>
                <w:szCs w:val="18"/>
              </w:rPr>
              <w:t>im Abwicklungsfall als angemessen beurteilt werden</w:t>
            </w:r>
            <w:r w:rsidR="00873CB9">
              <w:rPr>
                <w:i/>
                <w:iCs/>
                <w:sz w:val="18"/>
                <w:szCs w:val="18"/>
              </w:rPr>
              <w:t xml:space="preserve"> kann</w:t>
            </w:r>
          </w:p>
        </w:tc>
      </w:tr>
    </w:tbl>
    <w:p w14:paraId="7916405D" w14:textId="77777777" w:rsidR="007A7024" w:rsidRDefault="007A7024" w:rsidP="00B56D96">
      <w:pPr>
        <w:pStyle w:val="FINMAGliederungEbene2"/>
        <w:numPr>
          <w:ilvl w:val="0"/>
          <w:numId w:val="0"/>
        </w:numPr>
        <w:ind w:left="576"/>
      </w:pPr>
    </w:p>
    <w:p w14:paraId="6A8D6C6E" w14:textId="311769CC" w:rsidR="00983BE0" w:rsidRDefault="000060F7" w:rsidP="00C37D08">
      <w:pPr>
        <w:pStyle w:val="FINMAGliederungEbene2"/>
      </w:pPr>
      <w:bookmarkStart w:id="20" w:name="_Toc147141450"/>
      <w:r>
        <w:t>Offenlegung</w:t>
      </w:r>
      <w:bookmarkEnd w:id="20"/>
    </w:p>
    <w:p w14:paraId="4E85A9ED" w14:textId="77777777" w:rsidR="00983BE0" w:rsidRPr="006067FE" w:rsidRDefault="00983BE0" w:rsidP="00983BE0">
      <w:pPr>
        <w:pStyle w:val="FINMAGliederungEbene2"/>
        <w:numPr>
          <w:ilvl w:val="0"/>
          <w:numId w:val="0"/>
        </w:numPr>
        <w:ind w:left="576"/>
      </w:pPr>
    </w:p>
    <w:tbl>
      <w:tblPr>
        <w:tblStyle w:val="Tabellenraster"/>
        <w:tblW w:w="0" w:type="auto"/>
        <w:tblLook w:val="04A0" w:firstRow="1" w:lastRow="0" w:firstColumn="1" w:lastColumn="0" w:noHBand="0" w:noVBand="1"/>
      </w:tblPr>
      <w:tblGrid>
        <w:gridCol w:w="317"/>
        <w:gridCol w:w="1653"/>
        <w:gridCol w:w="2145"/>
        <w:gridCol w:w="1721"/>
        <w:gridCol w:w="680"/>
        <w:gridCol w:w="2702"/>
      </w:tblGrid>
      <w:tr w:rsidR="00983BE0" w:rsidRPr="009872F3" w14:paraId="277B96C0" w14:textId="77777777" w:rsidTr="0049574D">
        <w:trPr>
          <w:trHeight w:val="563"/>
        </w:trPr>
        <w:tc>
          <w:tcPr>
            <w:tcW w:w="1970" w:type="dxa"/>
            <w:gridSpan w:val="2"/>
            <w:shd w:val="clear" w:color="auto" w:fill="DBE5F1" w:themeFill="accent1" w:themeFillTint="33"/>
          </w:tcPr>
          <w:p w14:paraId="78D4CD80" w14:textId="77777777" w:rsidR="00983BE0" w:rsidRPr="009872F3" w:rsidRDefault="00983BE0" w:rsidP="00C747F0">
            <w:pPr>
              <w:jc w:val="both"/>
              <w:rPr>
                <w:rFonts w:ascii="Arial" w:hAnsi="Arial" w:cs="Arial"/>
                <w:sz w:val="18"/>
                <w:szCs w:val="18"/>
              </w:rPr>
            </w:pPr>
            <w:r w:rsidRPr="009872F3">
              <w:rPr>
                <w:rFonts w:ascii="Arial" w:hAnsi="Arial" w:cs="Arial"/>
                <w:sz w:val="18"/>
                <w:szCs w:val="18"/>
              </w:rPr>
              <w:t>Nettorisiko</w:t>
            </w:r>
          </w:p>
        </w:tc>
        <w:tc>
          <w:tcPr>
            <w:tcW w:w="2145" w:type="dxa"/>
            <w:shd w:val="clear" w:color="auto" w:fill="DBE5F1" w:themeFill="accent1" w:themeFillTint="33"/>
          </w:tcPr>
          <w:p w14:paraId="16DC90A1" w14:textId="77777777" w:rsidR="00983BE0" w:rsidRPr="009872F3" w:rsidRDefault="00983BE0" w:rsidP="00C747F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3"/>
            <w:shd w:val="clear" w:color="auto" w:fill="DBE5F1" w:themeFill="accent1" w:themeFillTint="33"/>
          </w:tcPr>
          <w:p w14:paraId="26A51DF9" w14:textId="77777777" w:rsidR="00983BE0" w:rsidRPr="009872F3" w:rsidRDefault="00983BE0" w:rsidP="00C747F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983BE0" w:rsidRPr="009872F3" w14:paraId="112F4FE6" w14:textId="77777777" w:rsidTr="0049574D">
        <w:trPr>
          <w:trHeight w:val="698"/>
        </w:trPr>
        <w:tc>
          <w:tcPr>
            <w:tcW w:w="1970" w:type="dxa"/>
            <w:gridSpan w:val="2"/>
            <w:shd w:val="clear" w:color="auto" w:fill="DBE5F1" w:themeFill="accent1" w:themeFillTint="33"/>
          </w:tcPr>
          <w:p w14:paraId="4B530D8E" w14:textId="77777777" w:rsidR="00983BE0" w:rsidRPr="006749F0" w:rsidRDefault="00983BE0" w:rsidP="00C747F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shd w:val="clear" w:color="auto" w:fill="DBE5F1" w:themeFill="accent1" w:themeFillTint="33"/>
          </w:tcPr>
          <w:p w14:paraId="4C3BD734" w14:textId="77777777" w:rsidR="00983BE0" w:rsidRPr="006749F0" w:rsidRDefault="00983BE0" w:rsidP="00C747F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shd w:val="clear" w:color="auto" w:fill="DBE5F1" w:themeFill="accent1" w:themeFillTint="33"/>
          </w:tcPr>
          <w:p w14:paraId="2EBBBED5" w14:textId="77777777" w:rsidR="00983BE0" w:rsidRPr="009872F3" w:rsidRDefault="00983BE0" w:rsidP="00C747F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gridSpan w:val="2"/>
            <w:shd w:val="clear" w:color="auto" w:fill="DBE5F1" w:themeFill="accent1" w:themeFillTint="33"/>
          </w:tcPr>
          <w:p w14:paraId="7394BC28" w14:textId="77777777" w:rsidR="00983BE0" w:rsidRDefault="00983BE0" w:rsidP="00C747F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C032F03" w14:textId="77777777" w:rsidR="00983BE0" w:rsidRPr="006749F0" w:rsidRDefault="00983BE0" w:rsidP="00C747F0">
            <w:pPr>
              <w:jc w:val="both"/>
              <w:rPr>
                <w:rFonts w:ascii="Arial" w:hAnsi="Arial" w:cs="Arial"/>
                <w:i/>
                <w:sz w:val="18"/>
                <w:szCs w:val="18"/>
              </w:rPr>
            </w:pPr>
            <w:r w:rsidRPr="006749F0">
              <w:rPr>
                <w:rFonts w:ascii="Arial" w:hAnsi="Arial" w:cs="Arial"/>
                <w:i/>
                <w:sz w:val="18"/>
                <w:szCs w:val="18"/>
                <w:highlight w:val="yellow"/>
              </w:rPr>
              <w:t>Jahr</w:t>
            </w:r>
          </w:p>
        </w:tc>
      </w:tr>
      <w:tr w:rsidR="00983BE0" w:rsidRPr="009872F3" w14:paraId="49384DE4" w14:textId="77777777" w:rsidTr="0049574D">
        <w:trPr>
          <w:trHeight w:val="294"/>
        </w:trPr>
        <w:tc>
          <w:tcPr>
            <w:tcW w:w="9218" w:type="dxa"/>
            <w:gridSpan w:val="6"/>
            <w:shd w:val="clear" w:color="auto" w:fill="DBE5F1" w:themeFill="accent1" w:themeFillTint="33"/>
          </w:tcPr>
          <w:p w14:paraId="3AAF86D9" w14:textId="77777777" w:rsidR="007D6216" w:rsidRPr="00D32831" w:rsidRDefault="007D6216" w:rsidP="007D6216">
            <w:pPr>
              <w:jc w:val="both"/>
              <w:rPr>
                <w:rFonts w:ascii="Arial" w:hAnsi="Arial" w:cs="Arial"/>
                <w:i/>
                <w:sz w:val="18"/>
                <w:szCs w:val="18"/>
              </w:rPr>
            </w:pPr>
            <w:r w:rsidRPr="00D32831">
              <w:rPr>
                <w:rFonts w:ascii="Arial" w:hAnsi="Arial" w:cs="Arial"/>
                <w:i/>
                <w:sz w:val="18"/>
                <w:szCs w:val="18"/>
              </w:rPr>
              <w:t xml:space="preserve">Referenzen (demonstrativ): </w:t>
            </w:r>
          </w:p>
          <w:p w14:paraId="7AD50A32" w14:textId="0051A989" w:rsidR="007D6216" w:rsidRDefault="007D6216" w:rsidP="00C37D08">
            <w:pPr>
              <w:pStyle w:val="Listenabsatz"/>
              <w:numPr>
                <w:ilvl w:val="0"/>
                <w:numId w:val="9"/>
              </w:numPr>
              <w:ind w:left="308"/>
              <w:jc w:val="both"/>
              <w:rPr>
                <w:rFonts w:cs="Arial"/>
                <w:sz w:val="18"/>
                <w:szCs w:val="18"/>
              </w:rPr>
            </w:pPr>
            <w:r w:rsidRPr="002176A6">
              <w:rPr>
                <w:rFonts w:cs="Arial"/>
                <w:sz w:val="18"/>
                <w:szCs w:val="18"/>
              </w:rPr>
              <w:t xml:space="preserve">Art. </w:t>
            </w:r>
            <w:r w:rsidR="00C52F59" w:rsidRPr="00FD2B7C">
              <w:rPr>
                <w:rFonts w:cs="Arial"/>
                <w:sz w:val="18"/>
                <w:szCs w:val="18"/>
              </w:rPr>
              <w:t>61</w:t>
            </w:r>
            <w:r w:rsidRPr="002176A6">
              <w:rPr>
                <w:rFonts w:cs="Arial"/>
                <w:sz w:val="18"/>
                <w:szCs w:val="18"/>
              </w:rPr>
              <w:t xml:space="preserve"> SAG</w:t>
            </w:r>
          </w:p>
          <w:p w14:paraId="03DCD086" w14:textId="0B19E307" w:rsidR="00983BE0" w:rsidRPr="007120A6" w:rsidRDefault="007D6216">
            <w:pPr>
              <w:pStyle w:val="Listenabsatz"/>
              <w:numPr>
                <w:ilvl w:val="0"/>
                <w:numId w:val="9"/>
              </w:numPr>
              <w:ind w:left="308"/>
              <w:jc w:val="both"/>
              <w:rPr>
                <w:rFonts w:cs="Arial"/>
                <w:sz w:val="18"/>
                <w:szCs w:val="18"/>
              </w:rPr>
            </w:pPr>
            <w:r w:rsidRPr="007D6216">
              <w:rPr>
                <w:rFonts w:cs="Arial"/>
                <w:sz w:val="18"/>
                <w:szCs w:val="18"/>
              </w:rPr>
              <w:t>Durchführungsverordnung (EU) 2021/763 (Meldung und Offenlegung)</w:t>
            </w:r>
          </w:p>
        </w:tc>
      </w:tr>
      <w:tr w:rsidR="00250DF9" w:rsidRPr="009872F3" w14:paraId="3ED0B4E8" w14:textId="77777777" w:rsidTr="0049574D">
        <w:trPr>
          <w:trHeight w:val="294"/>
        </w:trPr>
        <w:tc>
          <w:tcPr>
            <w:tcW w:w="9218" w:type="dxa"/>
            <w:gridSpan w:val="6"/>
            <w:shd w:val="clear" w:color="auto" w:fill="FFFFFF" w:themeFill="background1"/>
          </w:tcPr>
          <w:p w14:paraId="6275086A" w14:textId="77777777" w:rsidR="00250DF9" w:rsidRPr="00D32831" w:rsidRDefault="00250DF9" w:rsidP="007D6216">
            <w:pPr>
              <w:jc w:val="both"/>
              <w:rPr>
                <w:rFonts w:ascii="Arial" w:hAnsi="Arial" w:cs="Arial"/>
                <w:i/>
                <w:sz w:val="18"/>
                <w:szCs w:val="18"/>
              </w:rPr>
            </w:pPr>
          </w:p>
        </w:tc>
      </w:tr>
      <w:tr w:rsidR="002A187E" w:rsidRPr="009872F3" w14:paraId="726D4636" w14:textId="77777777" w:rsidTr="0049574D">
        <w:trPr>
          <w:trHeight w:val="294"/>
        </w:trPr>
        <w:tc>
          <w:tcPr>
            <w:tcW w:w="317" w:type="dxa"/>
            <w:shd w:val="clear" w:color="auto" w:fill="FFFFFF" w:themeFill="background1"/>
          </w:tcPr>
          <w:p w14:paraId="2C043BD8" w14:textId="0661CC13" w:rsidR="002A187E" w:rsidRPr="0049574D" w:rsidRDefault="0049574D" w:rsidP="007D6216">
            <w:pPr>
              <w:jc w:val="both"/>
              <w:rPr>
                <w:rFonts w:ascii="Arial" w:hAnsi="Arial" w:cs="Arial"/>
                <w:sz w:val="18"/>
                <w:szCs w:val="18"/>
              </w:rPr>
            </w:pPr>
            <w:r>
              <w:rPr>
                <w:rFonts w:ascii="Arial" w:hAnsi="Arial" w:cs="Arial"/>
                <w:sz w:val="18"/>
                <w:szCs w:val="18"/>
              </w:rPr>
              <w:t>1</w:t>
            </w:r>
          </w:p>
        </w:tc>
        <w:tc>
          <w:tcPr>
            <w:tcW w:w="6199" w:type="dxa"/>
            <w:gridSpan w:val="4"/>
            <w:shd w:val="clear" w:color="auto" w:fill="FFFFFF" w:themeFill="background1"/>
          </w:tcPr>
          <w:p w14:paraId="39788644" w14:textId="5147D408" w:rsidR="002A187E" w:rsidRPr="0049574D" w:rsidRDefault="0049574D" w:rsidP="007D6216">
            <w:pPr>
              <w:jc w:val="both"/>
              <w:rPr>
                <w:rFonts w:ascii="Arial" w:hAnsi="Arial" w:cs="Arial"/>
                <w:sz w:val="18"/>
                <w:szCs w:val="18"/>
              </w:rPr>
            </w:pPr>
            <w:r>
              <w:rPr>
                <w:rFonts w:ascii="Arial" w:hAnsi="Arial" w:cs="Arial"/>
                <w:sz w:val="18"/>
                <w:szCs w:val="18"/>
              </w:rPr>
              <w:t>Bestätigung, dass die internen Verfahren die korrekte</w:t>
            </w:r>
            <w:r w:rsidR="00C25549">
              <w:rPr>
                <w:rFonts w:ascii="Arial" w:hAnsi="Arial" w:cs="Arial"/>
                <w:sz w:val="18"/>
                <w:szCs w:val="18"/>
              </w:rPr>
              <w:t xml:space="preserve"> und</w:t>
            </w:r>
            <w:r>
              <w:rPr>
                <w:rFonts w:ascii="Arial" w:hAnsi="Arial" w:cs="Arial"/>
                <w:sz w:val="18"/>
                <w:szCs w:val="18"/>
              </w:rPr>
              <w:t xml:space="preserve"> vollständige Offenlegung gemäss</w:t>
            </w:r>
            <w:r w:rsidR="00505DCB">
              <w:rPr>
                <w:rFonts w:ascii="Arial" w:hAnsi="Arial" w:cs="Arial"/>
                <w:sz w:val="18"/>
                <w:szCs w:val="18"/>
              </w:rPr>
              <w:t xml:space="preserve"> Art. 61 SAG </w:t>
            </w:r>
            <w:r w:rsidR="001A4F6D">
              <w:rPr>
                <w:rFonts w:ascii="Arial" w:hAnsi="Arial" w:cs="Arial"/>
                <w:sz w:val="18"/>
                <w:szCs w:val="18"/>
              </w:rPr>
              <w:t xml:space="preserve">und </w:t>
            </w:r>
            <w:r w:rsidR="00884819">
              <w:rPr>
                <w:rFonts w:ascii="Arial" w:hAnsi="Arial" w:cs="Arial"/>
                <w:sz w:val="18"/>
                <w:szCs w:val="18"/>
              </w:rPr>
              <w:t xml:space="preserve">Titel II der </w:t>
            </w:r>
            <w:r w:rsidRPr="0049574D">
              <w:rPr>
                <w:rFonts w:ascii="Arial" w:hAnsi="Arial" w:cs="Arial"/>
                <w:sz w:val="18"/>
                <w:szCs w:val="18"/>
              </w:rPr>
              <w:t xml:space="preserve">Durchführungsverordnung </w:t>
            </w:r>
            <w:r>
              <w:rPr>
                <w:rFonts w:ascii="Arial" w:hAnsi="Arial" w:cs="Arial"/>
                <w:sz w:val="18"/>
                <w:szCs w:val="18"/>
              </w:rPr>
              <w:t xml:space="preserve">(EU) </w:t>
            </w:r>
            <w:r w:rsidRPr="0049574D">
              <w:rPr>
                <w:rFonts w:ascii="Arial" w:hAnsi="Arial" w:cs="Arial"/>
                <w:sz w:val="18"/>
                <w:szCs w:val="18"/>
              </w:rPr>
              <w:t xml:space="preserve">2021/763 </w:t>
            </w:r>
            <w:r>
              <w:rPr>
                <w:rFonts w:ascii="Arial" w:hAnsi="Arial" w:cs="Arial"/>
                <w:sz w:val="18"/>
                <w:szCs w:val="18"/>
              </w:rPr>
              <w:t>sicherstellen.</w:t>
            </w:r>
          </w:p>
        </w:tc>
        <w:tc>
          <w:tcPr>
            <w:tcW w:w="2702" w:type="dxa"/>
            <w:shd w:val="clear" w:color="auto" w:fill="FFFFFF" w:themeFill="background1"/>
          </w:tcPr>
          <w:p w14:paraId="5657693E" w14:textId="636FEB0A" w:rsidR="002A187E" w:rsidRPr="00D32831" w:rsidRDefault="0049574D" w:rsidP="007D6216">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A97EA48" w14:textId="77777777" w:rsidR="00DD04AA" w:rsidRDefault="00DD04AA" w:rsidP="00983BE0"/>
    <w:tbl>
      <w:tblPr>
        <w:tblStyle w:val="Tabellenraster"/>
        <w:tblW w:w="0" w:type="auto"/>
        <w:tblLayout w:type="fixed"/>
        <w:tblLook w:val="04A0" w:firstRow="1" w:lastRow="0" w:firstColumn="1" w:lastColumn="0" w:noHBand="0" w:noVBand="1"/>
      </w:tblPr>
      <w:tblGrid>
        <w:gridCol w:w="2655"/>
        <w:gridCol w:w="6549"/>
      </w:tblGrid>
      <w:tr w:rsidR="00DD04AA" w14:paraId="745C45A0" w14:textId="77777777" w:rsidTr="0096765A">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078424C0" w14:textId="77777777" w:rsidR="00DD04AA" w:rsidRDefault="00DD04AA">
            <w:pPr>
              <w:jc w:val="both"/>
              <w:rPr>
                <w:rFonts w:ascii="Arial" w:eastAsia="Arial" w:hAnsi="Arial" w:cs="Arial"/>
                <w:b/>
                <w:bCs/>
                <w:i/>
                <w:iCs/>
                <w:sz w:val="18"/>
                <w:szCs w:val="18"/>
              </w:rPr>
            </w:pPr>
            <w:r w:rsidRPr="2A346EFB">
              <w:rPr>
                <w:rFonts w:ascii="Arial" w:eastAsia="Arial" w:hAnsi="Arial" w:cs="Arial"/>
                <w:b/>
                <w:bCs/>
                <w:i/>
                <w:iCs/>
                <w:sz w:val="18"/>
                <w:szCs w:val="18"/>
              </w:rPr>
              <w:t>Prüfelemente</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73829A09" w14:textId="77777777" w:rsidR="00DD04AA" w:rsidRDefault="00DD04AA">
            <w:pPr>
              <w:jc w:val="both"/>
              <w:rPr>
                <w:rFonts w:ascii="Arial" w:eastAsia="Arial" w:hAnsi="Arial" w:cs="Arial"/>
                <w:b/>
                <w:bCs/>
                <w:i/>
                <w:iCs/>
                <w:sz w:val="18"/>
                <w:szCs w:val="18"/>
              </w:rPr>
            </w:pPr>
            <w:r w:rsidRPr="2A346EFB">
              <w:rPr>
                <w:rFonts w:ascii="Arial" w:eastAsia="Arial" w:hAnsi="Arial" w:cs="Arial"/>
                <w:b/>
                <w:bCs/>
                <w:i/>
                <w:iCs/>
                <w:sz w:val="18"/>
                <w:szCs w:val="18"/>
              </w:rPr>
              <w:t>Mindestprüfinhalte («Muster»)</w:t>
            </w:r>
          </w:p>
        </w:tc>
      </w:tr>
      <w:tr w:rsidR="00DD04AA" w14:paraId="323CB6CC" w14:textId="77777777" w:rsidTr="0096765A">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12E7FCCB" w14:textId="77777777" w:rsidR="00DD04AA" w:rsidRDefault="00DD04AA">
            <w:pPr>
              <w:jc w:val="both"/>
              <w:rPr>
                <w:rFonts w:ascii="Arial" w:eastAsia="Arial" w:hAnsi="Arial" w:cs="Arial"/>
                <w:i/>
                <w:iCs/>
                <w:sz w:val="18"/>
                <w:szCs w:val="18"/>
              </w:rPr>
            </w:pPr>
            <w:r w:rsidRPr="2A346EFB">
              <w:rPr>
                <w:rFonts w:ascii="Arial" w:eastAsia="Arial" w:hAnsi="Arial" w:cs="Arial"/>
                <w:i/>
                <w:iCs/>
                <w:sz w:val="18"/>
                <w:szCs w:val="18"/>
              </w:rPr>
              <w:t xml:space="preserve">Interne Organisation </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68D9C059" w14:textId="77777777" w:rsidR="00DD04AA" w:rsidRPr="00D674EC" w:rsidRDefault="00DD04AA">
            <w:pPr>
              <w:pStyle w:val="Listenabsatz"/>
              <w:numPr>
                <w:ilvl w:val="1"/>
                <w:numId w:val="12"/>
              </w:numPr>
              <w:spacing w:line="259" w:lineRule="auto"/>
              <w:ind w:left="317" w:hanging="283"/>
              <w:jc w:val="both"/>
              <w:rPr>
                <w:rFonts w:cs="Arial"/>
                <w:i/>
                <w:sz w:val="18"/>
                <w:szCs w:val="18"/>
              </w:rPr>
            </w:pPr>
            <w:r w:rsidRPr="00D674EC">
              <w:rPr>
                <w:rFonts w:cs="Arial"/>
                <w:i/>
                <w:sz w:val="18"/>
                <w:szCs w:val="18"/>
              </w:rPr>
              <w:t xml:space="preserve">Die interne Organisationsstruktur (z.B. Weisungswesen, technische, personelle und fachliche Ressourcen) stellt sicher, dass Verfahren existieren, welche die </w:t>
            </w:r>
            <w:r>
              <w:rPr>
                <w:rFonts w:cs="Arial"/>
                <w:i/>
                <w:sz w:val="18"/>
                <w:szCs w:val="18"/>
              </w:rPr>
              <w:t xml:space="preserve">ordnungsgemässe </w:t>
            </w:r>
            <w:r w:rsidRPr="00D674EC">
              <w:rPr>
                <w:rFonts w:cs="Arial"/>
                <w:i/>
                <w:sz w:val="18"/>
                <w:szCs w:val="18"/>
              </w:rPr>
              <w:t xml:space="preserve">Offenlegung sicherstellen  </w:t>
            </w:r>
          </w:p>
          <w:p w14:paraId="04B516EA" w14:textId="77777777" w:rsidR="00DD04AA" w:rsidRPr="00D674EC" w:rsidRDefault="00DD04AA">
            <w:pPr>
              <w:pStyle w:val="Listenabsatz"/>
              <w:numPr>
                <w:ilvl w:val="1"/>
                <w:numId w:val="12"/>
              </w:numPr>
              <w:spacing w:line="259" w:lineRule="auto"/>
              <w:ind w:left="317" w:hanging="283"/>
              <w:jc w:val="both"/>
              <w:rPr>
                <w:rFonts w:cs="Arial"/>
                <w:i/>
                <w:sz w:val="18"/>
                <w:szCs w:val="18"/>
              </w:rPr>
            </w:pPr>
            <w:r w:rsidRPr="00D674EC">
              <w:rPr>
                <w:rFonts w:cs="Arial"/>
                <w:i/>
                <w:sz w:val="18"/>
                <w:szCs w:val="18"/>
              </w:rPr>
              <w:t xml:space="preserve">Die internen Verfahren </w:t>
            </w:r>
            <w:r>
              <w:rPr>
                <w:rFonts w:cs="Arial"/>
                <w:i/>
                <w:sz w:val="18"/>
                <w:szCs w:val="18"/>
              </w:rPr>
              <w:t>definieren</w:t>
            </w:r>
            <w:r w:rsidRPr="00D674EC">
              <w:rPr>
                <w:rFonts w:cs="Arial"/>
                <w:i/>
                <w:sz w:val="18"/>
                <w:szCs w:val="18"/>
              </w:rPr>
              <w:t xml:space="preserve"> klare Verantwortlichkeiten bezüglich der Offenlegung </w:t>
            </w:r>
          </w:p>
        </w:tc>
      </w:tr>
      <w:tr w:rsidR="00DD04AA" w14:paraId="39ABBC5F" w14:textId="77777777" w:rsidTr="0096765A">
        <w:trPr>
          <w:trHeight w:val="30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5E3D74E4" w14:textId="77777777" w:rsidR="00DD04AA" w:rsidRDefault="00DD04AA">
            <w:pPr>
              <w:jc w:val="both"/>
              <w:rPr>
                <w:rFonts w:ascii="Arial" w:eastAsia="Arial" w:hAnsi="Arial" w:cs="Arial"/>
                <w:i/>
                <w:iCs/>
                <w:sz w:val="18"/>
                <w:szCs w:val="18"/>
              </w:rPr>
            </w:pPr>
            <w:r w:rsidRPr="2A346EFB">
              <w:rPr>
                <w:rFonts w:ascii="Arial" w:eastAsia="Arial" w:hAnsi="Arial" w:cs="Arial"/>
                <w:i/>
                <w:iCs/>
                <w:sz w:val="18"/>
                <w:szCs w:val="18"/>
              </w:rPr>
              <w:t>Internes Kontrollsystem, Prozesse und Berichterstattung</w:t>
            </w:r>
          </w:p>
        </w:tc>
        <w:tc>
          <w:tcPr>
            <w:tcW w:w="6549" w:type="dxa"/>
            <w:tcBorders>
              <w:top w:val="single" w:sz="8" w:space="0" w:color="auto"/>
              <w:left w:val="single" w:sz="8" w:space="0" w:color="auto"/>
              <w:bottom w:val="single" w:sz="8" w:space="0" w:color="auto"/>
              <w:right w:val="single" w:sz="8" w:space="0" w:color="auto"/>
            </w:tcBorders>
            <w:tcMar>
              <w:left w:w="108" w:type="dxa"/>
              <w:right w:w="108" w:type="dxa"/>
            </w:tcMar>
          </w:tcPr>
          <w:p w14:paraId="76BA4549" w14:textId="23821791" w:rsidR="00DD04AA" w:rsidRPr="00D674EC" w:rsidRDefault="00DD04AA">
            <w:pPr>
              <w:pStyle w:val="Listenabsatz"/>
              <w:numPr>
                <w:ilvl w:val="1"/>
                <w:numId w:val="12"/>
              </w:numPr>
              <w:spacing w:line="259" w:lineRule="auto"/>
              <w:ind w:left="317" w:hanging="283"/>
              <w:jc w:val="both"/>
              <w:rPr>
                <w:rFonts w:cs="Arial"/>
                <w:i/>
                <w:sz w:val="18"/>
                <w:szCs w:val="18"/>
              </w:rPr>
            </w:pPr>
            <w:r w:rsidRPr="00D674EC">
              <w:rPr>
                <w:rFonts w:cs="Arial"/>
                <w:i/>
                <w:sz w:val="18"/>
                <w:szCs w:val="18"/>
              </w:rPr>
              <w:t xml:space="preserve">Die internen Verfahren sehen angemessene </w:t>
            </w:r>
            <w:r w:rsidR="008849B4">
              <w:rPr>
                <w:rFonts w:cs="Arial"/>
                <w:i/>
                <w:sz w:val="18"/>
                <w:szCs w:val="18"/>
              </w:rPr>
              <w:t>d</w:t>
            </w:r>
            <w:r>
              <w:rPr>
                <w:rFonts w:cs="Arial"/>
                <w:i/>
                <w:sz w:val="18"/>
                <w:szCs w:val="18"/>
              </w:rPr>
              <w:t>atenqualität</w:t>
            </w:r>
            <w:r w:rsidR="00363241">
              <w:rPr>
                <w:rFonts w:cs="Arial"/>
                <w:i/>
                <w:sz w:val="18"/>
                <w:szCs w:val="18"/>
              </w:rPr>
              <w:t>s</w:t>
            </w:r>
            <w:r>
              <w:rPr>
                <w:rFonts w:cs="Arial"/>
                <w:i/>
                <w:sz w:val="18"/>
                <w:szCs w:val="18"/>
              </w:rPr>
              <w:t>sichernde</w:t>
            </w:r>
            <w:r w:rsidRPr="00D674EC">
              <w:rPr>
                <w:rFonts w:cs="Arial"/>
                <w:i/>
                <w:sz w:val="18"/>
                <w:szCs w:val="18"/>
              </w:rPr>
              <w:t xml:space="preserve"> Kontrollen zur korrekten und vollständigen Offenlegung vor</w:t>
            </w:r>
          </w:p>
          <w:p w14:paraId="63010863" w14:textId="77777777" w:rsidR="00DD04AA" w:rsidRPr="0086745F" w:rsidRDefault="00DD04AA">
            <w:pPr>
              <w:pStyle w:val="Listenabsatz"/>
              <w:numPr>
                <w:ilvl w:val="1"/>
                <w:numId w:val="12"/>
              </w:numPr>
              <w:spacing w:line="259" w:lineRule="auto"/>
              <w:ind w:left="317" w:hanging="283"/>
              <w:jc w:val="both"/>
              <w:rPr>
                <w:i/>
                <w:sz w:val="18"/>
                <w:szCs w:val="18"/>
              </w:rPr>
            </w:pPr>
            <w:r w:rsidRPr="0086745F">
              <w:rPr>
                <w:i/>
                <w:iCs/>
                <w:sz w:val="18"/>
                <w:szCs w:val="18"/>
              </w:rPr>
              <w:t xml:space="preserve">Die internen Verfahren sehen die Anwendung des 4-Augen-Prinzips </w:t>
            </w:r>
            <w:r>
              <w:rPr>
                <w:i/>
                <w:iCs/>
                <w:sz w:val="18"/>
                <w:szCs w:val="18"/>
              </w:rPr>
              <w:t>bzw.</w:t>
            </w:r>
            <w:r w:rsidRPr="0086745F">
              <w:rPr>
                <w:i/>
                <w:iCs/>
                <w:sz w:val="18"/>
                <w:szCs w:val="18"/>
              </w:rPr>
              <w:t xml:space="preserve"> Funktionstrennung bei Schlüsselkontrollen vor</w:t>
            </w:r>
          </w:p>
        </w:tc>
      </w:tr>
    </w:tbl>
    <w:p w14:paraId="2210B3CB" w14:textId="0C792418" w:rsidR="00D71278" w:rsidRDefault="00983BE0">
      <w:pPr>
        <w:rPr>
          <w:rFonts w:ascii="Arial" w:hAnsi="Arial" w:cs="Arial"/>
          <w:sz w:val="20"/>
          <w:szCs w:val="20"/>
        </w:rPr>
      </w:pPr>
      <w:r>
        <w:br/>
      </w:r>
      <w:r w:rsidR="00D71278">
        <w:rPr>
          <w:rFonts w:ascii="Arial" w:hAnsi="Arial" w:cs="Arial"/>
          <w:sz w:val="20"/>
          <w:szCs w:val="20"/>
        </w:rPr>
        <w:br w:type="page"/>
      </w:r>
    </w:p>
    <w:p w14:paraId="05B1F918" w14:textId="7B9440ED" w:rsidR="00821D76" w:rsidRDefault="00641A82" w:rsidP="00C37D08">
      <w:pPr>
        <w:pStyle w:val="FINMAGliederungEbene1"/>
      </w:pPr>
      <w:bookmarkStart w:id="21" w:name="_Toc140849820"/>
      <w:bookmarkStart w:id="22" w:name="_Toc141095439"/>
      <w:bookmarkStart w:id="23" w:name="_Toc141284977"/>
      <w:bookmarkStart w:id="24" w:name="_Toc140849821"/>
      <w:bookmarkStart w:id="25" w:name="_Toc141095440"/>
      <w:bookmarkStart w:id="26" w:name="_Toc141284978"/>
      <w:bookmarkStart w:id="27" w:name="_Toc147141451"/>
      <w:bookmarkEnd w:id="21"/>
      <w:bookmarkEnd w:id="22"/>
      <w:bookmarkEnd w:id="23"/>
      <w:bookmarkEnd w:id="24"/>
      <w:bookmarkEnd w:id="25"/>
      <w:bookmarkEnd w:id="26"/>
      <w:r>
        <w:lastRenderedPageBreak/>
        <w:t>Besonderer</w:t>
      </w:r>
      <w:r w:rsidR="00821D76">
        <w:t xml:space="preserve"> Teil</w:t>
      </w:r>
      <w:bookmarkEnd w:id="27"/>
    </w:p>
    <w:p w14:paraId="17ADBC1A" w14:textId="77777777" w:rsidR="00821D76" w:rsidRPr="0012542F" w:rsidRDefault="00821D76" w:rsidP="00821D76">
      <w:pPr>
        <w:rPr>
          <w:rFonts w:ascii="Arial" w:hAnsi="Arial" w:cs="Arial"/>
          <w:sz w:val="20"/>
          <w:szCs w:val="22"/>
        </w:rPr>
      </w:pPr>
    </w:p>
    <w:p w14:paraId="462F634D" w14:textId="1BA6B5FF" w:rsidR="006E2516" w:rsidRDefault="00297DFB" w:rsidP="00C37D08">
      <w:pPr>
        <w:pStyle w:val="FINMAGliederungEbene2"/>
      </w:pPr>
      <w:bookmarkStart w:id="28" w:name="_Toc147141452"/>
      <w:r>
        <w:t>Durchführ</w:t>
      </w:r>
      <w:r w:rsidR="00B15582">
        <w:t>barkeit</w:t>
      </w:r>
      <w:r>
        <w:t xml:space="preserve"> des Abwicklungsplans</w:t>
      </w:r>
      <w:bookmarkEnd w:id="28"/>
    </w:p>
    <w:p w14:paraId="5B5ACCF1" w14:textId="77777777" w:rsidR="00D27087" w:rsidRPr="006067FE" w:rsidRDefault="00D27087" w:rsidP="00D27087">
      <w:pPr>
        <w:jc w:val="both"/>
      </w:pPr>
    </w:p>
    <w:tbl>
      <w:tblPr>
        <w:tblStyle w:val="Tabellenraster"/>
        <w:tblpPr w:leftFromText="141" w:rightFromText="141" w:vertAnchor="text" w:tblpY="1"/>
        <w:tblOverlap w:val="never"/>
        <w:tblW w:w="0" w:type="auto"/>
        <w:tblLook w:val="04A0" w:firstRow="1" w:lastRow="0" w:firstColumn="1" w:lastColumn="0" w:noHBand="0" w:noVBand="1"/>
      </w:tblPr>
      <w:tblGrid>
        <w:gridCol w:w="317"/>
        <w:gridCol w:w="1658"/>
        <w:gridCol w:w="2024"/>
        <w:gridCol w:w="2410"/>
        <w:gridCol w:w="3105"/>
      </w:tblGrid>
      <w:tr w:rsidR="00D27087" w:rsidRPr="009872F3" w14:paraId="0696A6C0" w14:textId="77777777" w:rsidTr="0096765A">
        <w:trPr>
          <w:trHeight w:val="563"/>
        </w:trPr>
        <w:tc>
          <w:tcPr>
            <w:tcW w:w="1975" w:type="dxa"/>
            <w:gridSpan w:val="2"/>
            <w:shd w:val="clear" w:color="auto" w:fill="DBE5F1" w:themeFill="accent1" w:themeFillTint="33"/>
          </w:tcPr>
          <w:p w14:paraId="457528E5" w14:textId="77777777" w:rsidR="00D27087" w:rsidRPr="009872F3" w:rsidRDefault="00D27087" w:rsidP="00D204EB">
            <w:pPr>
              <w:jc w:val="both"/>
              <w:rPr>
                <w:rFonts w:ascii="Arial" w:hAnsi="Arial" w:cs="Arial"/>
                <w:sz w:val="18"/>
                <w:szCs w:val="18"/>
              </w:rPr>
            </w:pPr>
            <w:r w:rsidRPr="009872F3">
              <w:rPr>
                <w:rFonts w:ascii="Arial" w:hAnsi="Arial" w:cs="Arial"/>
                <w:sz w:val="18"/>
                <w:szCs w:val="18"/>
              </w:rPr>
              <w:t>Nettorisiko</w:t>
            </w:r>
          </w:p>
        </w:tc>
        <w:tc>
          <w:tcPr>
            <w:tcW w:w="2024" w:type="dxa"/>
            <w:shd w:val="clear" w:color="auto" w:fill="DBE5F1" w:themeFill="accent1" w:themeFillTint="33"/>
          </w:tcPr>
          <w:p w14:paraId="3AAEAFE2" w14:textId="77777777" w:rsidR="00D27087" w:rsidRPr="009872F3" w:rsidRDefault="00D27087" w:rsidP="00D204EB">
            <w:pPr>
              <w:jc w:val="both"/>
              <w:rPr>
                <w:rFonts w:ascii="Arial" w:hAnsi="Arial" w:cs="Arial"/>
                <w:sz w:val="18"/>
                <w:szCs w:val="18"/>
              </w:rPr>
            </w:pPr>
            <w:r w:rsidRPr="009872F3">
              <w:rPr>
                <w:rFonts w:ascii="Arial" w:hAnsi="Arial" w:cs="Arial"/>
                <w:sz w:val="18"/>
                <w:szCs w:val="18"/>
              </w:rPr>
              <w:t>Intervention Berichtsjahr:</w:t>
            </w:r>
          </w:p>
        </w:tc>
        <w:tc>
          <w:tcPr>
            <w:tcW w:w="5515" w:type="dxa"/>
            <w:gridSpan w:val="2"/>
            <w:shd w:val="clear" w:color="auto" w:fill="DBE5F1" w:themeFill="accent1" w:themeFillTint="33"/>
          </w:tcPr>
          <w:p w14:paraId="5A9E5102" w14:textId="77777777" w:rsidR="00D27087" w:rsidRPr="009872F3" w:rsidRDefault="00D27087" w:rsidP="00D204E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27087" w:rsidRPr="009872F3" w14:paraId="738268F2" w14:textId="77777777" w:rsidTr="0096765A">
        <w:trPr>
          <w:trHeight w:val="698"/>
        </w:trPr>
        <w:tc>
          <w:tcPr>
            <w:tcW w:w="1975" w:type="dxa"/>
            <w:gridSpan w:val="2"/>
            <w:shd w:val="clear" w:color="auto" w:fill="DBE5F1" w:themeFill="accent1" w:themeFillTint="33"/>
          </w:tcPr>
          <w:p w14:paraId="5C87D23D" w14:textId="77777777" w:rsidR="00D27087" w:rsidRPr="006749F0" w:rsidRDefault="00D27087" w:rsidP="00D204E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024" w:type="dxa"/>
            <w:shd w:val="clear" w:color="auto" w:fill="DBE5F1" w:themeFill="accent1" w:themeFillTint="33"/>
          </w:tcPr>
          <w:p w14:paraId="61995ABB" w14:textId="77777777" w:rsidR="00D27087" w:rsidRPr="006749F0" w:rsidRDefault="00D27087" w:rsidP="00D204E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2410" w:type="dxa"/>
            <w:shd w:val="clear" w:color="auto" w:fill="DBE5F1" w:themeFill="accent1" w:themeFillTint="33"/>
          </w:tcPr>
          <w:p w14:paraId="533A9957" w14:textId="77777777" w:rsidR="00D27087" w:rsidRPr="009872F3" w:rsidRDefault="00D27087" w:rsidP="00D204E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105" w:type="dxa"/>
            <w:shd w:val="clear" w:color="auto" w:fill="DBE5F1" w:themeFill="accent1" w:themeFillTint="33"/>
          </w:tcPr>
          <w:p w14:paraId="0A197D8B" w14:textId="77777777" w:rsidR="00D27087" w:rsidRDefault="00D27087" w:rsidP="00D204E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EF1F64C" w14:textId="77777777" w:rsidR="00D27087" w:rsidRPr="006749F0" w:rsidRDefault="00D27087" w:rsidP="00D204EB">
            <w:pPr>
              <w:jc w:val="both"/>
              <w:rPr>
                <w:rFonts w:ascii="Arial" w:hAnsi="Arial" w:cs="Arial"/>
                <w:i/>
                <w:sz w:val="18"/>
                <w:szCs w:val="18"/>
              </w:rPr>
            </w:pPr>
            <w:r w:rsidRPr="006749F0">
              <w:rPr>
                <w:rFonts w:ascii="Arial" w:hAnsi="Arial" w:cs="Arial"/>
                <w:i/>
                <w:sz w:val="18"/>
                <w:szCs w:val="18"/>
                <w:highlight w:val="yellow"/>
              </w:rPr>
              <w:t>Jahr</w:t>
            </w:r>
          </w:p>
        </w:tc>
      </w:tr>
      <w:tr w:rsidR="00D27087" w:rsidRPr="009872F3" w14:paraId="0A0AAFB1" w14:textId="77777777" w:rsidTr="0096765A">
        <w:trPr>
          <w:trHeight w:val="636"/>
        </w:trPr>
        <w:tc>
          <w:tcPr>
            <w:tcW w:w="9514" w:type="dxa"/>
            <w:gridSpan w:val="5"/>
            <w:shd w:val="clear" w:color="auto" w:fill="DBE5F1" w:themeFill="accent1" w:themeFillTint="33"/>
          </w:tcPr>
          <w:p w14:paraId="35EFAA23" w14:textId="77777777" w:rsidR="0023476A" w:rsidRDefault="00290050" w:rsidP="000B44E4">
            <w:pPr>
              <w:rPr>
                <w:rFonts w:ascii="Arial" w:hAnsi="Arial" w:cs="Arial"/>
                <w:i/>
                <w:sz w:val="18"/>
                <w:szCs w:val="18"/>
              </w:rPr>
            </w:pPr>
            <w:r w:rsidRPr="00997881">
              <w:rPr>
                <w:rFonts w:ascii="Arial" w:hAnsi="Arial" w:cs="Arial"/>
                <w:i/>
                <w:sz w:val="18"/>
                <w:szCs w:val="18"/>
              </w:rPr>
              <w:t>Referenzen (demonstrativ):</w:t>
            </w:r>
          </w:p>
          <w:p w14:paraId="387CA740" w14:textId="0CF88AC0" w:rsidR="00763485" w:rsidRDefault="00763485" w:rsidP="0023476A">
            <w:pPr>
              <w:pStyle w:val="Listenabsatz"/>
              <w:numPr>
                <w:ilvl w:val="0"/>
                <w:numId w:val="9"/>
              </w:numPr>
              <w:ind w:left="308"/>
              <w:jc w:val="both"/>
              <w:rPr>
                <w:rFonts w:cs="Arial"/>
                <w:sz w:val="18"/>
                <w:szCs w:val="18"/>
              </w:rPr>
            </w:pPr>
            <w:r w:rsidRPr="003B55BC">
              <w:rPr>
                <w:rFonts w:cs="Arial"/>
                <w:sz w:val="18"/>
                <w:szCs w:val="18"/>
              </w:rPr>
              <w:t>Delegierte Verordnung (EU) 2016/1712 zur Spezifizierung einer Mindestauswahl der in die detaillierten Aufzeichnungen aufzunehmenden Angaben zu Finanzkontrakten und der Umstände, unter denen die Anforderung aufzuerlegen ist</w:t>
            </w:r>
            <w:r>
              <w:rPr>
                <w:rFonts w:cs="Arial"/>
                <w:sz w:val="18"/>
                <w:szCs w:val="18"/>
              </w:rPr>
              <w:t xml:space="preserve"> (Angaben zu </w:t>
            </w:r>
            <w:r w:rsidRPr="003B55BC">
              <w:rPr>
                <w:rFonts w:cs="Arial"/>
                <w:sz w:val="18"/>
                <w:szCs w:val="18"/>
              </w:rPr>
              <w:t>Finanzkontrakten</w:t>
            </w:r>
            <w:r>
              <w:rPr>
                <w:rFonts w:cs="Arial"/>
                <w:sz w:val="18"/>
                <w:szCs w:val="18"/>
              </w:rPr>
              <w:t>)</w:t>
            </w:r>
          </w:p>
          <w:p w14:paraId="74B353DD" w14:textId="2D7A23FF" w:rsidR="00997881" w:rsidRPr="00997881" w:rsidRDefault="00997881" w:rsidP="00C37D08">
            <w:pPr>
              <w:pStyle w:val="Listenabsatz"/>
              <w:numPr>
                <w:ilvl w:val="0"/>
                <w:numId w:val="9"/>
              </w:numPr>
              <w:ind w:left="308"/>
              <w:jc w:val="both"/>
              <w:rPr>
                <w:rFonts w:cs="Arial"/>
                <w:sz w:val="18"/>
                <w:szCs w:val="18"/>
              </w:rPr>
            </w:pPr>
            <w:r w:rsidRPr="00997881">
              <w:rPr>
                <w:rFonts w:cs="Arial"/>
                <w:sz w:val="18"/>
                <w:szCs w:val="18"/>
              </w:rPr>
              <w:t>EBA Leitlinien zur Verbesserung der Abwicklungsfähigkeit für Institute und Abwicklungsbehörden</w:t>
            </w:r>
          </w:p>
          <w:p w14:paraId="1CFB9E40" w14:textId="77777777" w:rsidR="00997881" w:rsidRDefault="00997881" w:rsidP="00543B51">
            <w:pPr>
              <w:pStyle w:val="Listenabsatz"/>
              <w:ind w:left="308"/>
              <w:jc w:val="both"/>
              <w:rPr>
                <w:rFonts w:cs="Arial"/>
                <w:sz w:val="18"/>
                <w:szCs w:val="18"/>
              </w:rPr>
            </w:pPr>
            <w:r w:rsidRPr="00997881">
              <w:rPr>
                <w:rFonts w:cs="Arial"/>
                <w:sz w:val="18"/>
                <w:szCs w:val="18"/>
              </w:rPr>
              <w:t>(Resolvability Guidelines; EBA/GL/2022/01)</w:t>
            </w:r>
          </w:p>
          <w:p w14:paraId="6F50CE63" w14:textId="65BA428A" w:rsidR="00847D70" w:rsidRPr="00847D70" w:rsidRDefault="00847D70" w:rsidP="0096765A">
            <w:pPr>
              <w:pStyle w:val="Listenabsatz"/>
              <w:numPr>
                <w:ilvl w:val="0"/>
                <w:numId w:val="9"/>
              </w:numPr>
              <w:ind w:left="308"/>
              <w:jc w:val="both"/>
              <w:rPr>
                <w:rFonts w:cs="Arial"/>
                <w:sz w:val="18"/>
                <w:szCs w:val="18"/>
              </w:rPr>
            </w:pPr>
            <w:r w:rsidRPr="00997881">
              <w:rPr>
                <w:rFonts w:cs="Arial"/>
                <w:sz w:val="18"/>
                <w:szCs w:val="18"/>
              </w:rPr>
              <w:t>FMA-Mitteilung 2022/02 betreffend die Festlegung der Mindestanforderung an Eigenmittel und berücksichtigungsfähige Verbindlichkeiten und entsprechender Schnittstellen zur Abwicklungsplanung für Banken und Wertpapierfirmen («MREL-Policy»)</w:t>
            </w:r>
          </w:p>
        </w:tc>
      </w:tr>
      <w:tr w:rsidR="00D27087" w:rsidRPr="009872F3" w14:paraId="2359AA3D" w14:textId="77777777" w:rsidTr="0096765A">
        <w:trPr>
          <w:trHeight w:val="294"/>
        </w:trPr>
        <w:tc>
          <w:tcPr>
            <w:tcW w:w="9514" w:type="dxa"/>
            <w:gridSpan w:val="5"/>
          </w:tcPr>
          <w:p w14:paraId="5702D95D" w14:textId="77777777" w:rsidR="00D27087" w:rsidRPr="009872F3" w:rsidRDefault="00D27087" w:rsidP="00D204EB">
            <w:pPr>
              <w:jc w:val="both"/>
              <w:rPr>
                <w:rFonts w:ascii="Arial" w:hAnsi="Arial" w:cs="Arial"/>
                <w:sz w:val="18"/>
                <w:szCs w:val="18"/>
              </w:rPr>
            </w:pPr>
          </w:p>
        </w:tc>
      </w:tr>
      <w:tr w:rsidR="00143E86" w:rsidRPr="009872F3" w14:paraId="6931879A" w14:textId="77777777" w:rsidTr="0096765A">
        <w:trPr>
          <w:trHeight w:val="294"/>
        </w:trPr>
        <w:tc>
          <w:tcPr>
            <w:tcW w:w="317" w:type="dxa"/>
          </w:tcPr>
          <w:p w14:paraId="5E83D336" w14:textId="777D78A3" w:rsidR="00143E86" w:rsidRPr="009872F3" w:rsidRDefault="00143E86" w:rsidP="00D204EB">
            <w:pPr>
              <w:jc w:val="both"/>
              <w:rPr>
                <w:rFonts w:ascii="Arial" w:hAnsi="Arial" w:cs="Arial"/>
                <w:sz w:val="18"/>
                <w:szCs w:val="18"/>
              </w:rPr>
            </w:pPr>
            <w:r>
              <w:rPr>
                <w:rFonts w:ascii="Arial" w:hAnsi="Arial" w:cs="Arial"/>
                <w:sz w:val="18"/>
                <w:szCs w:val="18"/>
              </w:rPr>
              <w:t>1</w:t>
            </w:r>
          </w:p>
        </w:tc>
        <w:tc>
          <w:tcPr>
            <w:tcW w:w="6092" w:type="dxa"/>
            <w:gridSpan w:val="3"/>
          </w:tcPr>
          <w:p w14:paraId="024AB143" w14:textId="06FE8EB2" w:rsidR="00143E86" w:rsidRPr="009872F3" w:rsidRDefault="00143E86" w:rsidP="00D204EB">
            <w:pPr>
              <w:jc w:val="both"/>
              <w:rPr>
                <w:rFonts w:ascii="Arial" w:hAnsi="Arial" w:cs="Arial"/>
                <w:sz w:val="18"/>
                <w:szCs w:val="18"/>
              </w:rPr>
            </w:pPr>
            <w:r>
              <w:rPr>
                <w:rFonts w:ascii="Arial" w:hAnsi="Arial" w:cs="Arial"/>
                <w:sz w:val="18"/>
                <w:szCs w:val="18"/>
              </w:rPr>
              <w:t xml:space="preserve">Bestätigung, dass die internen Verfahren robuste Governance-Mechanismen vorsehen, welche die Vorbereitung und die Umsetzung der Abwicklungsstrategie </w:t>
            </w:r>
            <w:r w:rsidR="006D61F7">
              <w:rPr>
                <w:rFonts w:ascii="Arial" w:hAnsi="Arial" w:cs="Arial"/>
                <w:sz w:val="18"/>
                <w:szCs w:val="18"/>
              </w:rPr>
              <w:t xml:space="preserve">im Bedarfsfall </w:t>
            </w:r>
            <w:r>
              <w:rPr>
                <w:rFonts w:ascii="Arial" w:hAnsi="Arial" w:cs="Arial"/>
                <w:sz w:val="18"/>
                <w:szCs w:val="18"/>
              </w:rPr>
              <w:t>unterstützen</w:t>
            </w:r>
            <w:r w:rsidR="00A310C7" w:rsidRPr="00284F01">
              <w:rPr>
                <w:rFonts w:ascii="Arial" w:hAnsi="Arial" w:cs="Arial"/>
                <w:sz w:val="18"/>
                <w:szCs w:val="18"/>
              </w:rPr>
              <w:t xml:space="preserve"> und </w:t>
            </w:r>
            <w:r w:rsidR="001C289C" w:rsidRPr="00284F01">
              <w:rPr>
                <w:rFonts w:ascii="Arial" w:hAnsi="Arial" w:cs="Arial"/>
                <w:sz w:val="18"/>
                <w:szCs w:val="18"/>
              </w:rPr>
              <w:t>dass</w:t>
            </w:r>
            <w:r w:rsidR="00300B1A" w:rsidRPr="00284F01">
              <w:rPr>
                <w:rFonts w:ascii="Arial" w:hAnsi="Arial" w:cs="Arial"/>
                <w:sz w:val="18"/>
                <w:szCs w:val="18"/>
              </w:rPr>
              <w:t xml:space="preserve"> ihre </w:t>
            </w:r>
            <w:r w:rsidR="005B2696" w:rsidRPr="00284F01">
              <w:rPr>
                <w:rFonts w:ascii="Arial" w:hAnsi="Arial" w:cs="Arial"/>
                <w:sz w:val="18"/>
                <w:szCs w:val="18"/>
              </w:rPr>
              <w:t xml:space="preserve">Durchführung </w:t>
            </w:r>
            <w:r w:rsidR="00DE10B0" w:rsidRPr="00284F01">
              <w:rPr>
                <w:rFonts w:ascii="Arial" w:hAnsi="Arial" w:cs="Arial"/>
                <w:sz w:val="18"/>
                <w:szCs w:val="18"/>
              </w:rPr>
              <w:t xml:space="preserve">angemessen in Handbüchern </w:t>
            </w:r>
            <w:r w:rsidR="005B2696" w:rsidRPr="00284F01">
              <w:rPr>
                <w:rFonts w:ascii="Arial" w:hAnsi="Arial" w:cs="Arial"/>
                <w:sz w:val="18"/>
                <w:szCs w:val="18"/>
              </w:rPr>
              <w:t>und Reglemente</w:t>
            </w:r>
            <w:r w:rsidR="008719B6" w:rsidRPr="00284F01">
              <w:rPr>
                <w:rFonts w:ascii="Arial" w:hAnsi="Arial" w:cs="Arial"/>
                <w:sz w:val="18"/>
                <w:szCs w:val="18"/>
              </w:rPr>
              <w:t>n</w:t>
            </w:r>
            <w:r w:rsidR="005B2696" w:rsidRPr="00284F01">
              <w:rPr>
                <w:rFonts w:ascii="Arial" w:hAnsi="Arial" w:cs="Arial"/>
                <w:sz w:val="18"/>
                <w:szCs w:val="18"/>
              </w:rPr>
              <w:t xml:space="preserve"> </w:t>
            </w:r>
            <w:r w:rsidR="00F32F00">
              <w:rPr>
                <w:rFonts w:ascii="Arial" w:hAnsi="Arial" w:cs="Arial"/>
                <w:sz w:val="18"/>
                <w:szCs w:val="18"/>
              </w:rPr>
              <w:t xml:space="preserve">(exkl. </w:t>
            </w:r>
            <w:r w:rsidR="00777F7F">
              <w:rPr>
                <w:rFonts w:ascii="Arial" w:hAnsi="Arial" w:cs="Arial"/>
                <w:sz w:val="18"/>
                <w:szCs w:val="18"/>
              </w:rPr>
              <w:t xml:space="preserve">Transferstrategien) </w:t>
            </w:r>
            <w:r w:rsidR="005B2696" w:rsidRPr="00284F01">
              <w:rPr>
                <w:rFonts w:ascii="Arial" w:hAnsi="Arial" w:cs="Arial"/>
                <w:sz w:val="18"/>
                <w:szCs w:val="18"/>
              </w:rPr>
              <w:t>abgebildet ist.</w:t>
            </w:r>
          </w:p>
        </w:tc>
        <w:tc>
          <w:tcPr>
            <w:tcW w:w="3105" w:type="dxa"/>
          </w:tcPr>
          <w:p w14:paraId="2E6EBC10" w14:textId="0407B788" w:rsidR="00143E86" w:rsidRPr="009872F3" w:rsidRDefault="00143E86" w:rsidP="00D204EB">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143E86" w:rsidRPr="009872F3" w14:paraId="71E122EC" w14:textId="77777777" w:rsidTr="0096765A">
        <w:trPr>
          <w:trHeight w:val="294"/>
        </w:trPr>
        <w:tc>
          <w:tcPr>
            <w:tcW w:w="317" w:type="dxa"/>
          </w:tcPr>
          <w:p w14:paraId="2B31C2CA" w14:textId="6D69FB02" w:rsidR="00143E86" w:rsidRDefault="001A562E" w:rsidP="00D204EB">
            <w:pPr>
              <w:jc w:val="both"/>
              <w:rPr>
                <w:rFonts w:ascii="Arial" w:hAnsi="Arial" w:cs="Arial"/>
                <w:sz w:val="18"/>
                <w:szCs w:val="18"/>
              </w:rPr>
            </w:pPr>
            <w:r>
              <w:rPr>
                <w:rFonts w:ascii="Arial" w:hAnsi="Arial" w:cs="Arial"/>
                <w:sz w:val="18"/>
                <w:szCs w:val="18"/>
              </w:rPr>
              <w:t>2</w:t>
            </w:r>
          </w:p>
        </w:tc>
        <w:tc>
          <w:tcPr>
            <w:tcW w:w="6092" w:type="dxa"/>
            <w:gridSpan w:val="3"/>
          </w:tcPr>
          <w:p w14:paraId="2F0A7B8D" w14:textId="39DE4152" w:rsidR="00143E86" w:rsidRPr="009872F3" w:rsidRDefault="00143E86" w:rsidP="00D204EB">
            <w:pPr>
              <w:jc w:val="both"/>
              <w:rPr>
                <w:rFonts w:ascii="Arial" w:hAnsi="Arial" w:cs="Arial"/>
                <w:sz w:val="18"/>
                <w:szCs w:val="18"/>
              </w:rPr>
            </w:pPr>
            <w:r w:rsidRPr="00CB06D0">
              <w:rPr>
                <w:rFonts w:ascii="Arial" w:hAnsi="Arial" w:cs="Arial"/>
                <w:sz w:val="18"/>
                <w:szCs w:val="18"/>
              </w:rPr>
              <w:t>Bestätigung, dass interne Verfahren</w:t>
            </w:r>
            <w:r>
              <w:rPr>
                <w:rFonts w:ascii="Arial" w:hAnsi="Arial" w:cs="Arial"/>
                <w:sz w:val="18"/>
                <w:szCs w:val="18"/>
              </w:rPr>
              <w:t xml:space="preserve"> </w:t>
            </w:r>
            <w:r w:rsidR="0083057A">
              <w:rPr>
                <w:rFonts w:ascii="Arial" w:hAnsi="Arial" w:cs="Arial"/>
                <w:sz w:val="18"/>
                <w:szCs w:val="18"/>
              </w:rPr>
              <w:t>eine</w:t>
            </w:r>
            <w:r w:rsidR="000B335E">
              <w:rPr>
                <w:rFonts w:ascii="Arial" w:hAnsi="Arial" w:cs="Arial"/>
                <w:sz w:val="18"/>
                <w:szCs w:val="18"/>
              </w:rPr>
              <w:t xml:space="preserve"> Abschätzung von</w:t>
            </w:r>
            <w:r>
              <w:rPr>
                <w:rFonts w:ascii="Arial" w:hAnsi="Arial" w:cs="Arial"/>
                <w:sz w:val="18"/>
                <w:szCs w:val="18"/>
              </w:rPr>
              <w:t xml:space="preserve"> Auswirkungen wesentlicher geschäftlicher und/oder betrieblicher Vorkommnisse, inklusive der Anwendung von Sanierungsmassnahmen, auf die Abwicklungsfähigkeit des Unternehmens </w:t>
            </w:r>
            <w:r w:rsidR="0083057A">
              <w:rPr>
                <w:rFonts w:ascii="Arial" w:hAnsi="Arial" w:cs="Arial"/>
                <w:sz w:val="18"/>
                <w:szCs w:val="18"/>
              </w:rPr>
              <w:t>ermöglichen</w:t>
            </w:r>
            <w:r>
              <w:rPr>
                <w:rFonts w:ascii="Arial" w:hAnsi="Arial" w:cs="Arial"/>
                <w:sz w:val="18"/>
                <w:szCs w:val="18"/>
              </w:rPr>
              <w:t>.</w:t>
            </w:r>
          </w:p>
        </w:tc>
        <w:tc>
          <w:tcPr>
            <w:tcW w:w="3105" w:type="dxa"/>
          </w:tcPr>
          <w:p w14:paraId="4032A498" w14:textId="02DE11A7" w:rsidR="00143E86" w:rsidRPr="00E109DF" w:rsidRDefault="00143E86" w:rsidP="00D204E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143E86" w:rsidRPr="009872F3" w14:paraId="4863F1D1" w14:textId="77777777" w:rsidTr="0096765A">
        <w:trPr>
          <w:trHeight w:val="294"/>
        </w:trPr>
        <w:tc>
          <w:tcPr>
            <w:tcW w:w="317" w:type="dxa"/>
          </w:tcPr>
          <w:p w14:paraId="1FCEDCC9" w14:textId="5E26F613" w:rsidR="00143E86" w:rsidRDefault="001A562E" w:rsidP="00D204EB">
            <w:pPr>
              <w:jc w:val="both"/>
              <w:rPr>
                <w:rFonts w:ascii="Arial" w:hAnsi="Arial" w:cs="Arial"/>
                <w:sz w:val="18"/>
                <w:szCs w:val="18"/>
              </w:rPr>
            </w:pPr>
            <w:r>
              <w:rPr>
                <w:rFonts w:ascii="Arial" w:hAnsi="Arial" w:cs="Arial"/>
                <w:sz w:val="18"/>
                <w:szCs w:val="18"/>
              </w:rPr>
              <w:t>3</w:t>
            </w:r>
          </w:p>
        </w:tc>
        <w:tc>
          <w:tcPr>
            <w:tcW w:w="6092" w:type="dxa"/>
            <w:gridSpan w:val="3"/>
          </w:tcPr>
          <w:p w14:paraId="5DF8D187" w14:textId="605E6499" w:rsidR="00143E86" w:rsidRPr="009872F3" w:rsidRDefault="00143E86" w:rsidP="00D204EB">
            <w:pPr>
              <w:jc w:val="both"/>
              <w:rPr>
                <w:rFonts w:ascii="Arial" w:hAnsi="Arial" w:cs="Arial"/>
                <w:sz w:val="18"/>
                <w:szCs w:val="18"/>
              </w:rPr>
            </w:pPr>
            <w:r>
              <w:rPr>
                <w:rFonts w:ascii="Arial" w:hAnsi="Arial" w:cs="Arial"/>
                <w:sz w:val="18"/>
                <w:szCs w:val="18"/>
              </w:rPr>
              <w:t xml:space="preserve">Bestätigung, dass interne Verfahren </w:t>
            </w:r>
            <w:r w:rsidR="00C913CB">
              <w:rPr>
                <w:rFonts w:ascii="Arial" w:hAnsi="Arial" w:cs="Arial"/>
                <w:sz w:val="18"/>
                <w:szCs w:val="18"/>
              </w:rPr>
              <w:t xml:space="preserve">eine </w:t>
            </w:r>
            <w:r>
              <w:rPr>
                <w:rFonts w:ascii="Arial" w:hAnsi="Arial" w:cs="Arial"/>
                <w:sz w:val="18"/>
                <w:szCs w:val="18"/>
              </w:rPr>
              <w:t xml:space="preserve">angemessene interne und externe Kommunikationsstrategie </w:t>
            </w:r>
            <w:r w:rsidR="00FF049F">
              <w:rPr>
                <w:rFonts w:ascii="Arial" w:hAnsi="Arial" w:cs="Arial"/>
                <w:sz w:val="18"/>
                <w:szCs w:val="18"/>
              </w:rPr>
              <w:t>(</w:t>
            </w:r>
            <w:r w:rsidR="00932C94">
              <w:rPr>
                <w:rFonts w:ascii="Arial" w:hAnsi="Arial" w:cs="Arial"/>
                <w:sz w:val="18"/>
                <w:szCs w:val="18"/>
              </w:rPr>
              <w:t xml:space="preserve">auch bei </w:t>
            </w:r>
            <w:r w:rsidR="00A65F4C">
              <w:rPr>
                <w:rFonts w:ascii="Arial" w:hAnsi="Arial" w:cs="Arial"/>
                <w:sz w:val="18"/>
                <w:szCs w:val="18"/>
              </w:rPr>
              <w:t>Identi</w:t>
            </w:r>
            <w:r w:rsidR="00932C94">
              <w:rPr>
                <w:rFonts w:ascii="Arial" w:hAnsi="Arial" w:cs="Arial"/>
                <w:sz w:val="18"/>
                <w:szCs w:val="18"/>
              </w:rPr>
              <w:t>fizierung von</w:t>
            </w:r>
            <w:r w:rsidR="00735287">
              <w:rPr>
                <w:rFonts w:ascii="Arial" w:hAnsi="Arial" w:cs="Arial"/>
                <w:sz w:val="18"/>
                <w:szCs w:val="18"/>
              </w:rPr>
              <w:t xml:space="preserve"> Hindernisse</w:t>
            </w:r>
            <w:r w:rsidR="00A65F4C">
              <w:rPr>
                <w:rFonts w:ascii="Arial" w:hAnsi="Arial" w:cs="Arial"/>
                <w:sz w:val="18"/>
                <w:szCs w:val="18"/>
              </w:rPr>
              <w:t>n</w:t>
            </w:r>
            <w:r w:rsidR="005A162C">
              <w:rPr>
                <w:rFonts w:ascii="Arial" w:hAnsi="Arial" w:cs="Arial"/>
                <w:sz w:val="18"/>
                <w:szCs w:val="18"/>
              </w:rPr>
              <w:t xml:space="preserve"> </w:t>
            </w:r>
            <w:r w:rsidR="000C0745">
              <w:rPr>
                <w:rFonts w:ascii="Arial" w:hAnsi="Arial" w:cs="Arial"/>
                <w:sz w:val="18"/>
                <w:szCs w:val="18"/>
              </w:rPr>
              <w:t>bezüglich der</w:t>
            </w:r>
            <w:r w:rsidR="005A162C">
              <w:rPr>
                <w:rFonts w:ascii="Arial" w:hAnsi="Arial" w:cs="Arial"/>
                <w:sz w:val="18"/>
                <w:szCs w:val="18"/>
              </w:rPr>
              <w:t xml:space="preserve"> Durchführung des Abw</w:t>
            </w:r>
            <w:r w:rsidR="000C6492">
              <w:rPr>
                <w:rFonts w:ascii="Arial" w:hAnsi="Arial" w:cs="Arial"/>
                <w:sz w:val="18"/>
                <w:szCs w:val="18"/>
              </w:rPr>
              <w:t>icklungsplans</w:t>
            </w:r>
            <w:r w:rsidR="006E5B03">
              <w:rPr>
                <w:rFonts w:ascii="Arial" w:hAnsi="Arial" w:cs="Arial"/>
                <w:sz w:val="18"/>
                <w:szCs w:val="18"/>
              </w:rPr>
              <w:t xml:space="preserve"> </w:t>
            </w:r>
            <w:r w:rsidR="001A2ED4">
              <w:rPr>
                <w:rFonts w:ascii="Arial" w:hAnsi="Arial" w:cs="Arial"/>
                <w:sz w:val="18"/>
                <w:szCs w:val="18"/>
              </w:rPr>
              <w:t xml:space="preserve">gemäss </w:t>
            </w:r>
            <w:r w:rsidR="00777D8A">
              <w:rPr>
                <w:rFonts w:ascii="Arial" w:hAnsi="Arial" w:cs="Arial"/>
                <w:sz w:val="18"/>
                <w:szCs w:val="18"/>
              </w:rPr>
              <w:t xml:space="preserve">Art. 26 Abs 3. </w:t>
            </w:r>
            <w:proofErr w:type="spellStart"/>
            <w:r w:rsidR="00777D8A" w:rsidRPr="00777D8A">
              <w:rPr>
                <w:rFonts w:ascii="Arial" w:hAnsi="Arial" w:cs="Arial"/>
                <w:sz w:val="18"/>
                <w:szCs w:val="18"/>
              </w:rPr>
              <w:t>delVO</w:t>
            </w:r>
            <w:proofErr w:type="spellEnd"/>
            <w:r w:rsidR="00777D8A" w:rsidRPr="00777D8A">
              <w:rPr>
                <w:rFonts w:ascii="Arial" w:hAnsi="Arial" w:cs="Arial"/>
                <w:sz w:val="18"/>
                <w:szCs w:val="18"/>
              </w:rPr>
              <w:t xml:space="preserve"> 2016/1075</w:t>
            </w:r>
            <w:r w:rsidR="000C6492">
              <w:rPr>
                <w:rFonts w:ascii="Arial" w:hAnsi="Arial" w:cs="Arial"/>
                <w:sz w:val="18"/>
                <w:szCs w:val="18"/>
              </w:rPr>
              <w:t>)</w:t>
            </w:r>
            <w:r>
              <w:rPr>
                <w:rFonts w:ascii="Arial" w:hAnsi="Arial" w:cs="Arial"/>
                <w:sz w:val="18"/>
                <w:szCs w:val="18"/>
              </w:rPr>
              <w:t xml:space="preserve"> vor</w:t>
            </w:r>
            <w:r w:rsidR="00F83F21">
              <w:rPr>
                <w:rFonts w:ascii="Arial" w:hAnsi="Arial" w:cs="Arial"/>
                <w:sz w:val="18"/>
                <w:szCs w:val="18"/>
              </w:rPr>
              <w:t xml:space="preserve"> und</w:t>
            </w:r>
            <w:r>
              <w:rPr>
                <w:rFonts w:ascii="Arial" w:hAnsi="Arial" w:cs="Arial"/>
                <w:sz w:val="18"/>
                <w:szCs w:val="18"/>
              </w:rPr>
              <w:t xml:space="preserve"> während der Abwicklung </w:t>
            </w:r>
            <w:r w:rsidR="0083057A">
              <w:rPr>
                <w:rFonts w:ascii="Arial" w:hAnsi="Arial" w:cs="Arial"/>
                <w:sz w:val="18"/>
                <w:szCs w:val="18"/>
              </w:rPr>
              <w:t>ermöglichen</w:t>
            </w:r>
            <w:r>
              <w:rPr>
                <w:rFonts w:ascii="Arial" w:hAnsi="Arial" w:cs="Arial"/>
                <w:sz w:val="18"/>
                <w:szCs w:val="18"/>
              </w:rPr>
              <w:t>.</w:t>
            </w:r>
          </w:p>
        </w:tc>
        <w:tc>
          <w:tcPr>
            <w:tcW w:w="3105" w:type="dxa"/>
          </w:tcPr>
          <w:p w14:paraId="2D8AFEF6" w14:textId="711AC155" w:rsidR="00143E86" w:rsidRPr="00E109DF" w:rsidRDefault="00143E86" w:rsidP="00D204E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143E86" w:rsidRPr="009872F3" w14:paraId="1E7638B2" w14:textId="77777777" w:rsidTr="0096765A">
        <w:trPr>
          <w:trHeight w:val="294"/>
        </w:trPr>
        <w:tc>
          <w:tcPr>
            <w:tcW w:w="317" w:type="dxa"/>
          </w:tcPr>
          <w:p w14:paraId="7CDBBA53" w14:textId="1AF6C0AB" w:rsidR="00143E86" w:rsidRDefault="001A562E" w:rsidP="00D204EB">
            <w:pPr>
              <w:jc w:val="both"/>
              <w:rPr>
                <w:rFonts w:ascii="Arial" w:hAnsi="Arial" w:cs="Arial"/>
                <w:sz w:val="18"/>
                <w:szCs w:val="18"/>
              </w:rPr>
            </w:pPr>
            <w:r>
              <w:rPr>
                <w:rFonts w:ascii="Arial" w:hAnsi="Arial" w:cs="Arial"/>
                <w:sz w:val="18"/>
                <w:szCs w:val="18"/>
              </w:rPr>
              <w:t>4</w:t>
            </w:r>
          </w:p>
        </w:tc>
        <w:tc>
          <w:tcPr>
            <w:tcW w:w="6092" w:type="dxa"/>
            <w:gridSpan w:val="3"/>
          </w:tcPr>
          <w:p w14:paraId="1487FFF6" w14:textId="1E7CB4B8" w:rsidR="00143E86" w:rsidRPr="009872F3" w:rsidRDefault="00143E86" w:rsidP="00D204EB">
            <w:pPr>
              <w:jc w:val="both"/>
              <w:rPr>
                <w:rFonts w:ascii="Arial" w:hAnsi="Arial" w:cs="Arial"/>
                <w:sz w:val="18"/>
                <w:szCs w:val="18"/>
              </w:rPr>
            </w:pPr>
            <w:r w:rsidRPr="00CB06D0">
              <w:rPr>
                <w:rFonts w:ascii="Arial" w:hAnsi="Arial" w:cs="Arial"/>
                <w:sz w:val="18"/>
                <w:szCs w:val="18"/>
              </w:rPr>
              <w:t xml:space="preserve">Bestätigung, dass </w:t>
            </w:r>
            <w:r w:rsidR="00284077">
              <w:rPr>
                <w:rFonts w:ascii="Arial" w:hAnsi="Arial" w:cs="Arial"/>
                <w:sz w:val="18"/>
                <w:szCs w:val="18"/>
              </w:rPr>
              <w:t xml:space="preserve">interne </w:t>
            </w:r>
            <w:r w:rsidRPr="00CB06D0">
              <w:rPr>
                <w:rFonts w:ascii="Arial" w:hAnsi="Arial" w:cs="Arial"/>
                <w:sz w:val="18"/>
                <w:szCs w:val="18"/>
              </w:rPr>
              <w:t xml:space="preserve">Verfahren </w:t>
            </w:r>
            <w:r w:rsidR="00C913CB">
              <w:rPr>
                <w:rFonts w:ascii="Arial" w:hAnsi="Arial" w:cs="Arial"/>
                <w:sz w:val="18"/>
                <w:szCs w:val="18"/>
              </w:rPr>
              <w:t xml:space="preserve">im Bedarfsfall </w:t>
            </w:r>
            <w:r>
              <w:rPr>
                <w:rFonts w:ascii="Arial" w:hAnsi="Arial" w:cs="Arial"/>
                <w:sz w:val="18"/>
                <w:szCs w:val="18"/>
              </w:rPr>
              <w:t xml:space="preserve">die </w:t>
            </w:r>
            <w:r w:rsidR="59D3FE8B" w:rsidRPr="61EE8D92">
              <w:rPr>
                <w:rFonts w:ascii="Arial" w:hAnsi="Arial" w:cs="Arial"/>
                <w:sz w:val="18"/>
                <w:szCs w:val="18"/>
              </w:rPr>
              <w:t>Einschätzung und Quantifizierung</w:t>
            </w:r>
            <w:r w:rsidR="6C2851DB" w:rsidRPr="61EE8D92">
              <w:rPr>
                <w:rFonts w:ascii="Arial" w:hAnsi="Arial" w:cs="Arial"/>
                <w:sz w:val="18"/>
                <w:szCs w:val="18"/>
              </w:rPr>
              <w:t xml:space="preserve"> </w:t>
            </w:r>
            <w:r>
              <w:rPr>
                <w:rFonts w:ascii="Arial" w:hAnsi="Arial" w:cs="Arial"/>
                <w:sz w:val="18"/>
                <w:szCs w:val="18"/>
              </w:rPr>
              <w:t>steuer-, arbeits- und sozialrechtlichen</w:t>
            </w:r>
            <w:r w:rsidRPr="00CB06D0">
              <w:rPr>
                <w:rFonts w:ascii="Arial" w:hAnsi="Arial" w:cs="Arial"/>
                <w:sz w:val="18"/>
                <w:szCs w:val="18"/>
              </w:rPr>
              <w:t xml:space="preserve"> </w:t>
            </w:r>
            <w:r>
              <w:rPr>
                <w:rFonts w:ascii="Arial" w:hAnsi="Arial" w:cs="Arial"/>
                <w:sz w:val="18"/>
                <w:szCs w:val="18"/>
              </w:rPr>
              <w:t xml:space="preserve">Auswirkungen </w:t>
            </w:r>
            <w:r w:rsidR="003837A7">
              <w:rPr>
                <w:rFonts w:ascii="Arial" w:hAnsi="Arial" w:cs="Arial"/>
                <w:sz w:val="18"/>
                <w:szCs w:val="18"/>
              </w:rPr>
              <w:t xml:space="preserve">sowie die ESG-Konformität </w:t>
            </w:r>
            <w:r>
              <w:rPr>
                <w:rFonts w:ascii="Arial" w:hAnsi="Arial" w:cs="Arial"/>
                <w:sz w:val="18"/>
                <w:szCs w:val="18"/>
              </w:rPr>
              <w:t xml:space="preserve">der </w:t>
            </w:r>
            <w:r w:rsidRPr="00CB06D0">
              <w:rPr>
                <w:rFonts w:ascii="Arial" w:hAnsi="Arial" w:cs="Arial"/>
                <w:sz w:val="18"/>
                <w:szCs w:val="18"/>
              </w:rPr>
              <w:t xml:space="preserve">Durchführung des Abwicklungsplans </w:t>
            </w:r>
            <w:r>
              <w:rPr>
                <w:rFonts w:ascii="Arial" w:hAnsi="Arial" w:cs="Arial"/>
                <w:sz w:val="18"/>
                <w:szCs w:val="18"/>
              </w:rPr>
              <w:t>oder anderer Abwicklungsmassnahmen (z.B. steuerrechtlicher Sanierungsgewinn</w:t>
            </w:r>
            <w:r w:rsidR="00B66FED">
              <w:rPr>
                <w:rFonts w:ascii="Arial" w:hAnsi="Arial" w:cs="Arial"/>
                <w:sz w:val="18"/>
                <w:szCs w:val="18"/>
              </w:rPr>
              <w:t xml:space="preserve"> oder Organschaft</w:t>
            </w:r>
            <w:r>
              <w:rPr>
                <w:rFonts w:ascii="Arial" w:hAnsi="Arial" w:cs="Arial"/>
                <w:sz w:val="18"/>
                <w:szCs w:val="18"/>
              </w:rPr>
              <w:t xml:space="preserve">, arbeitsrechtlicher Betriebsübergang, usw) </w:t>
            </w:r>
            <w:r w:rsidR="00B868BC">
              <w:rPr>
                <w:rFonts w:ascii="Arial" w:hAnsi="Arial" w:cs="Arial"/>
                <w:sz w:val="18"/>
                <w:szCs w:val="18"/>
              </w:rPr>
              <w:t>auf Grupp</w:t>
            </w:r>
            <w:r w:rsidR="00065C8C">
              <w:rPr>
                <w:rFonts w:ascii="Arial" w:hAnsi="Arial" w:cs="Arial"/>
                <w:sz w:val="18"/>
                <w:szCs w:val="18"/>
              </w:rPr>
              <w:t xml:space="preserve">e und </w:t>
            </w:r>
            <w:r w:rsidR="00DC2228">
              <w:rPr>
                <w:rFonts w:ascii="Arial" w:hAnsi="Arial" w:cs="Arial"/>
                <w:sz w:val="18"/>
                <w:szCs w:val="18"/>
              </w:rPr>
              <w:t>Einzelentität</w:t>
            </w:r>
            <w:r w:rsidR="00065C8C">
              <w:rPr>
                <w:rFonts w:ascii="Arial" w:hAnsi="Arial" w:cs="Arial"/>
                <w:sz w:val="18"/>
                <w:szCs w:val="18"/>
              </w:rPr>
              <w:t xml:space="preserve"> </w:t>
            </w:r>
            <w:r w:rsidR="099B7784" w:rsidRPr="61EE8D92">
              <w:rPr>
                <w:rFonts w:ascii="Arial" w:hAnsi="Arial" w:cs="Arial"/>
                <w:sz w:val="18"/>
                <w:szCs w:val="18"/>
              </w:rPr>
              <w:t>ermöglichen.</w:t>
            </w:r>
          </w:p>
        </w:tc>
        <w:tc>
          <w:tcPr>
            <w:tcW w:w="3105" w:type="dxa"/>
          </w:tcPr>
          <w:p w14:paraId="407332F2" w14:textId="504A0828" w:rsidR="00143E86" w:rsidRPr="00E109DF" w:rsidRDefault="00143E86" w:rsidP="00D204E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74823" w:rsidRPr="009872F3" w14:paraId="7912A4AE" w14:textId="77777777" w:rsidTr="0096765A">
        <w:trPr>
          <w:trHeight w:val="294"/>
        </w:trPr>
        <w:tc>
          <w:tcPr>
            <w:tcW w:w="317" w:type="dxa"/>
          </w:tcPr>
          <w:p w14:paraId="22A1041B" w14:textId="183ED499" w:rsidR="00E74823" w:rsidRDefault="00E74823" w:rsidP="00D204EB">
            <w:pPr>
              <w:jc w:val="both"/>
              <w:rPr>
                <w:rFonts w:ascii="Arial" w:hAnsi="Arial" w:cs="Arial"/>
                <w:sz w:val="18"/>
                <w:szCs w:val="18"/>
              </w:rPr>
            </w:pPr>
            <w:r>
              <w:rPr>
                <w:rFonts w:ascii="Arial" w:hAnsi="Arial" w:cs="Arial"/>
                <w:sz w:val="18"/>
                <w:szCs w:val="18"/>
              </w:rPr>
              <w:t>5</w:t>
            </w:r>
          </w:p>
        </w:tc>
        <w:tc>
          <w:tcPr>
            <w:tcW w:w="6092" w:type="dxa"/>
            <w:gridSpan w:val="3"/>
          </w:tcPr>
          <w:p w14:paraId="16274366" w14:textId="7E48EC92" w:rsidR="00E74823" w:rsidRPr="00CB06D0" w:rsidRDefault="00E74823" w:rsidP="00D204EB">
            <w:pPr>
              <w:jc w:val="both"/>
              <w:rPr>
                <w:rFonts w:ascii="Arial" w:hAnsi="Arial" w:cs="Arial"/>
                <w:sz w:val="18"/>
                <w:szCs w:val="18"/>
              </w:rPr>
            </w:pPr>
            <w:r w:rsidRPr="5BDDCDE6">
              <w:rPr>
                <w:rFonts w:ascii="Arial" w:hAnsi="Arial" w:cs="Arial"/>
                <w:sz w:val="18"/>
                <w:szCs w:val="18"/>
              </w:rPr>
              <w:t xml:space="preserve">Bestätigung, dass die internen Verfahren die Führung einer Liste gemäss Anhang der </w:t>
            </w:r>
            <w:r>
              <w:rPr>
                <w:rFonts w:ascii="Arial" w:hAnsi="Arial" w:cs="Arial"/>
                <w:sz w:val="18"/>
                <w:szCs w:val="18"/>
              </w:rPr>
              <w:t>d</w:t>
            </w:r>
            <w:r w:rsidRPr="5BDDCDE6">
              <w:rPr>
                <w:rFonts w:ascii="Arial" w:hAnsi="Arial" w:cs="Arial"/>
                <w:sz w:val="18"/>
                <w:szCs w:val="18"/>
              </w:rPr>
              <w:t>elVO (EU) 2016/1712 (Angaben zu Finanzkontrakten) ermöglichen.</w:t>
            </w:r>
          </w:p>
        </w:tc>
        <w:tc>
          <w:tcPr>
            <w:tcW w:w="3105" w:type="dxa"/>
          </w:tcPr>
          <w:p w14:paraId="7B514D62" w14:textId="0507C2D5" w:rsidR="00E74823" w:rsidRPr="00E109DF" w:rsidRDefault="00E74823" w:rsidP="00D204E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57D6D" w:rsidRPr="009872F3" w14:paraId="497D247A" w14:textId="77777777" w:rsidTr="0096765A">
        <w:trPr>
          <w:trHeight w:val="294"/>
        </w:trPr>
        <w:tc>
          <w:tcPr>
            <w:tcW w:w="317" w:type="dxa"/>
          </w:tcPr>
          <w:p w14:paraId="3C645E11" w14:textId="20463C04" w:rsidR="00057D6D" w:rsidRDefault="00E74823" w:rsidP="00057D6D">
            <w:pPr>
              <w:jc w:val="both"/>
              <w:rPr>
                <w:rFonts w:ascii="Arial" w:hAnsi="Arial" w:cs="Arial"/>
                <w:sz w:val="18"/>
                <w:szCs w:val="18"/>
              </w:rPr>
            </w:pPr>
            <w:r>
              <w:rPr>
                <w:rFonts w:ascii="Arial" w:hAnsi="Arial" w:cs="Arial"/>
                <w:sz w:val="18"/>
                <w:szCs w:val="18"/>
              </w:rPr>
              <w:t>6</w:t>
            </w:r>
          </w:p>
        </w:tc>
        <w:tc>
          <w:tcPr>
            <w:tcW w:w="6092" w:type="dxa"/>
            <w:gridSpan w:val="3"/>
          </w:tcPr>
          <w:p w14:paraId="717984E5" w14:textId="01A86CEB" w:rsidR="00057D6D" w:rsidRPr="00CB06D0" w:rsidRDefault="00057D6D" w:rsidP="00057D6D">
            <w:pPr>
              <w:jc w:val="both"/>
              <w:rPr>
                <w:rFonts w:ascii="Arial" w:hAnsi="Arial" w:cs="Arial"/>
                <w:sz w:val="18"/>
                <w:szCs w:val="18"/>
              </w:rPr>
            </w:pPr>
            <w:r w:rsidRPr="3FE68DD0">
              <w:rPr>
                <w:rFonts w:ascii="Arial" w:hAnsi="Arial" w:cs="Arial"/>
                <w:sz w:val="18"/>
                <w:szCs w:val="18"/>
              </w:rPr>
              <w:t>Bestätigung, dass die internen Verfahren eine Bewertung durch einen unabhängigen Bewerter nach den Bewertungskriterien gemäss Art. 4</w:t>
            </w:r>
            <w:r>
              <w:rPr>
                <w:rFonts w:ascii="Arial" w:hAnsi="Arial" w:cs="Arial"/>
                <w:sz w:val="18"/>
                <w:szCs w:val="18"/>
              </w:rPr>
              <w:t>7</w:t>
            </w:r>
            <w:r w:rsidRPr="3FE68DD0">
              <w:rPr>
                <w:rFonts w:ascii="Arial" w:hAnsi="Arial" w:cs="Arial"/>
                <w:sz w:val="18"/>
                <w:szCs w:val="18"/>
              </w:rPr>
              <w:t xml:space="preserve"> </w:t>
            </w:r>
            <w:r w:rsidR="002F15E8" w:rsidRPr="3FE68DD0">
              <w:rPr>
                <w:rFonts w:ascii="Arial" w:hAnsi="Arial" w:cs="Arial"/>
                <w:sz w:val="18"/>
                <w:szCs w:val="18"/>
              </w:rPr>
              <w:t xml:space="preserve">SAG </w:t>
            </w:r>
            <w:r w:rsidR="002F15E8">
              <w:rPr>
                <w:rFonts w:ascii="Arial" w:hAnsi="Arial" w:cs="Arial"/>
                <w:sz w:val="18"/>
                <w:szCs w:val="18"/>
              </w:rPr>
              <w:t>ermöglichen</w:t>
            </w:r>
            <w:r w:rsidRPr="3FE68DD0">
              <w:rPr>
                <w:rFonts w:ascii="Arial" w:hAnsi="Arial" w:cs="Arial"/>
                <w:sz w:val="18"/>
                <w:szCs w:val="18"/>
              </w:rPr>
              <w:t>.</w:t>
            </w:r>
          </w:p>
        </w:tc>
        <w:tc>
          <w:tcPr>
            <w:tcW w:w="3105" w:type="dxa"/>
          </w:tcPr>
          <w:p w14:paraId="5DEC3369" w14:textId="22630652" w:rsidR="00057D6D" w:rsidRPr="00E109DF" w:rsidRDefault="00057D6D" w:rsidP="00057D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C922B92" w14:textId="553ECC54" w:rsidR="61EE8D92" w:rsidRDefault="61EE8D92" w:rsidP="61EE8D92">
      <w:pPr>
        <w:pStyle w:val="FINMAGliederungEbene2"/>
        <w:numPr>
          <w:ilvl w:val="1"/>
          <w:numId w:val="0"/>
        </w:numPr>
      </w:pPr>
    </w:p>
    <w:tbl>
      <w:tblPr>
        <w:tblStyle w:val="Tabellenraster"/>
        <w:tblW w:w="0" w:type="auto"/>
        <w:tblLook w:val="04A0" w:firstRow="1" w:lastRow="0" w:firstColumn="1" w:lastColumn="0" w:noHBand="0" w:noVBand="1"/>
      </w:tblPr>
      <w:tblGrid>
        <w:gridCol w:w="1980"/>
        <w:gridCol w:w="7513"/>
      </w:tblGrid>
      <w:tr w:rsidR="00950C07" w:rsidRPr="00594F87" w14:paraId="2DA85FEB" w14:textId="77777777" w:rsidTr="00387D17">
        <w:trPr>
          <w:trHeight w:val="300"/>
        </w:trPr>
        <w:tc>
          <w:tcPr>
            <w:tcW w:w="1980" w:type="dxa"/>
          </w:tcPr>
          <w:p w14:paraId="32A08DEF" w14:textId="77777777" w:rsidR="00950C07" w:rsidRPr="00594F87" w:rsidRDefault="00950C07" w:rsidP="00387D17">
            <w:pPr>
              <w:jc w:val="both"/>
              <w:rPr>
                <w:rFonts w:ascii="Arial" w:hAnsi="Arial" w:cs="Arial"/>
                <w:b/>
                <w:bCs/>
                <w:i/>
                <w:iCs/>
                <w:sz w:val="18"/>
                <w:szCs w:val="18"/>
              </w:rPr>
            </w:pPr>
            <w:r w:rsidRPr="00594F87">
              <w:rPr>
                <w:rFonts w:ascii="Arial" w:hAnsi="Arial" w:cs="Arial"/>
                <w:b/>
                <w:bCs/>
                <w:i/>
                <w:iCs/>
                <w:sz w:val="18"/>
                <w:szCs w:val="18"/>
              </w:rPr>
              <w:t>Prüfelemente</w:t>
            </w:r>
          </w:p>
        </w:tc>
        <w:tc>
          <w:tcPr>
            <w:tcW w:w="7513" w:type="dxa"/>
          </w:tcPr>
          <w:p w14:paraId="5471D294" w14:textId="77777777" w:rsidR="00950C07" w:rsidRPr="00594F87" w:rsidRDefault="00950C07" w:rsidP="00387D17">
            <w:pPr>
              <w:jc w:val="both"/>
              <w:rPr>
                <w:rFonts w:ascii="Arial" w:hAnsi="Arial" w:cs="Arial"/>
                <w:b/>
                <w:bCs/>
                <w:i/>
                <w:iCs/>
                <w:sz w:val="18"/>
                <w:szCs w:val="18"/>
              </w:rPr>
            </w:pPr>
            <w:r w:rsidRPr="00594F87">
              <w:rPr>
                <w:rFonts w:ascii="Arial" w:hAnsi="Arial" w:cs="Arial"/>
                <w:b/>
                <w:bCs/>
                <w:i/>
                <w:iCs/>
                <w:sz w:val="18"/>
                <w:szCs w:val="18"/>
              </w:rPr>
              <w:t>Mindestprüfinhalte («Muster»)</w:t>
            </w:r>
          </w:p>
        </w:tc>
      </w:tr>
      <w:tr w:rsidR="008676CE" w:rsidRPr="00594F87" w14:paraId="51346184" w14:textId="77777777" w:rsidTr="00387D17">
        <w:trPr>
          <w:trHeight w:val="300"/>
        </w:trPr>
        <w:tc>
          <w:tcPr>
            <w:tcW w:w="1980" w:type="dxa"/>
          </w:tcPr>
          <w:p w14:paraId="0F87AC93" w14:textId="370B8EC0" w:rsidR="008676CE" w:rsidRPr="00594F87" w:rsidRDefault="008676CE" w:rsidP="008676CE">
            <w:pPr>
              <w:spacing w:line="259" w:lineRule="auto"/>
              <w:jc w:val="both"/>
              <w:rPr>
                <w:rFonts w:ascii="Arial" w:hAnsi="Arial" w:cs="Arial"/>
                <w:i/>
                <w:iCs/>
                <w:sz w:val="18"/>
                <w:szCs w:val="18"/>
              </w:rPr>
            </w:pPr>
            <w:r>
              <w:rPr>
                <w:rFonts w:ascii="Arial" w:eastAsia="Arial" w:hAnsi="Arial" w:cs="Arial"/>
                <w:i/>
                <w:iCs/>
                <w:sz w:val="18"/>
                <w:szCs w:val="18"/>
              </w:rPr>
              <w:t xml:space="preserve">Interne Organisation </w:t>
            </w:r>
          </w:p>
        </w:tc>
        <w:tc>
          <w:tcPr>
            <w:tcW w:w="7513" w:type="dxa"/>
          </w:tcPr>
          <w:p w14:paraId="517037FC" w14:textId="0C64699E" w:rsidR="008676CE" w:rsidRDefault="008676CE" w:rsidP="00C37D08">
            <w:pPr>
              <w:pStyle w:val="Listenabsatz"/>
              <w:numPr>
                <w:ilvl w:val="1"/>
                <w:numId w:val="10"/>
              </w:numPr>
              <w:spacing w:line="259" w:lineRule="auto"/>
              <w:ind w:left="317" w:hanging="283"/>
              <w:jc w:val="both"/>
              <w:rPr>
                <w:rFonts w:cs="Arial"/>
                <w:i/>
                <w:iCs/>
                <w:sz w:val="18"/>
                <w:szCs w:val="18"/>
              </w:rPr>
            </w:pPr>
            <w:r w:rsidRPr="00C3378F">
              <w:rPr>
                <w:rFonts w:cs="Arial"/>
                <w:i/>
                <w:iCs/>
                <w:sz w:val="18"/>
                <w:szCs w:val="18"/>
              </w:rPr>
              <w:t xml:space="preserve">Die interne Organisationsstruktur (z.B. Weisungswesen, </w:t>
            </w:r>
            <w:r w:rsidRPr="00685831">
              <w:rPr>
                <w:rFonts w:cs="Arial"/>
                <w:i/>
                <w:iCs/>
                <w:sz w:val="18"/>
                <w:szCs w:val="18"/>
              </w:rPr>
              <w:t>technischer und personelle und fachliche Ressourcen) stell</w:t>
            </w:r>
            <w:r>
              <w:rPr>
                <w:rFonts w:cs="Arial"/>
                <w:i/>
                <w:iCs/>
                <w:sz w:val="18"/>
                <w:szCs w:val="18"/>
              </w:rPr>
              <w:t>t</w:t>
            </w:r>
            <w:r w:rsidRPr="00685831">
              <w:rPr>
                <w:rFonts w:cs="Arial"/>
                <w:i/>
                <w:iCs/>
                <w:sz w:val="18"/>
                <w:szCs w:val="18"/>
              </w:rPr>
              <w:t xml:space="preserve"> sicher, dass Verfahren existieren, welche </w:t>
            </w:r>
            <w:r w:rsidR="009C4F1C">
              <w:rPr>
                <w:rFonts w:cs="Arial"/>
                <w:i/>
                <w:iCs/>
                <w:sz w:val="18"/>
                <w:szCs w:val="18"/>
              </w:rPr>
              <w:t xml:space="preserve">die Durchführbarkeit </w:t>
            </w:r>
            <w:r w:rsidR="00D22433">
              <w:rPr>
                <w:rFonts w:cs="Arial"/>
                <w:i/>
                <w:iCs/>
                <w:sz w:val="18"/>
                <w:szCs w:val="18"/>
              </w:rPr>
              <w:t>des Abwicklungsplans</w:t>
            </w:r>
            <w:r w:rsidR="00677ECB">
              <w:rPr>
                <w:rFonts w:cs="Arial"/>
                <w:i/>
                <w:iCs/>
                <w:sz w:val="18"/>
                <w:szCs w:val="18"/>
              </w:rPr>
              <w:t xml:space="preserve"> und die</w:t>
            </w:r>
            <w:r w:rsidR="00677ECB" w:rsidRPr="001A42C4">
              <w:rPr>
                <w:rFonts w:cs="Arial"/>
                <w:i/>
                <w:iCs/>
                <w:sz w:val="18"/>
                <w:szCs w:val="18"/>
              </w:rPr>
              <w:t xml:space="preserve"> Bereitstellung der notwendigen Informationen für eine unabhängige</w:t>
            </w:r>
            <w:r w:rsidR="00677ECB">
              <w:rPr>
                <w:rFonts w:cs="Arial"/>
                <w:i/>
                <w:iCs/>
                <w:sz w:val="18"/>
                <w:szCs w:val="18"/>
              </w:rPr>
              <w:t xml:space="preserve"> externe Bewertung</w:t>
            </w:r>
            <w:r w:rsidR="00D22433">
              <w:rPr>
                <w:rFonts w:cs="Arial"/>
                <w:i/>
                <w:iCs/>
                <w:sz w:val="18"/>
                <w:szCs w:val="18"/>
              </w:rPr>
              <w:t xml:space="preserve"> im Bedarfsfall ermöglichen</w:t>
            </w:r>
          </w:p>
          <w:p w14:paraId="4925EC47" w14:textId="3F61E3AB" w:rsidR="003422A0" w:rsidRPr="00685831" w:rsidRDefault="003422A0" w:rsidP="00C37D08">
            <w:pPr>
              <w:pStyle w:val="Listenabsatz"/>
              <w:numPr>
                <w:ilvl w:val="1"/>
                <w:numId w:val="10"/>
              </w:numPr>
              <w:spacing w:line="259" w:lineRule="auto"/>
              <w:ind w:left="317" w:hanging="283"/>
              <w:jc w:val="both"/>
              <w:rPr>
                <w:rFonts w:cs="Arial"/>
                <w:i/>
                <w:iCs/>
                <w:sz w:val="18"/>
                <w:szCs w:val="18"/>
              </w:rPr>
            </w:pPr>
            <w:r>
              <w:rPr>
                <w:rFonts w:cs="Arial"/>
                <w:i/>
                <w:iCs/>
                <w:sz w:val="18"/>
                <w:szCs w:val="18"/>
              </w:rPr>
              <w:t>D</w:t>
            </w:r>
            <w:r w:rsidR="00382446">
              <w:rPr>
                <w:rFonts w:cs="Arial"/>
                <w:i/>
                <w:iCs/>
                <w:sz w:val="18"/>
                <w:szCs w:val="18"/>
              </w:rPr>
              <w:t xml:space="preserve">ie </w:t>
            </w:r>
            <w:r>
              <w:rPr>
                <w:rFonts w:cs="Arial"/>
                <w:i/>
                <w:iCs/>
                <w:sz w:val="18"/>
                <w:szCs w:val="18"/>
              </w:rPr>
              <w:t xml:space="preserve">Abwicklungspläne wurden von den entsprechenden Gremien (Geschäftsleitung und </w:t>
            </w:r>
            <w:r w:rsidR="002F5A63">
              <w:rPr>
                <w:rFonts w:cs="Arial"/>
                <w:i/>
                <w:iCs/>
                <w:sz w:val="18"/>
                <w:szCs w:val="18"/>
              </w:rPr>
              <w:t>V</w:t>
            </w:r>
            <w:r>
              <w:rPr>
                <w:rFonts w:cs="Arial"/>
                <w:i/>
                <w:iCs/>
                <w:sz w:val="18"/>
                <w:szCs w:val="18"/>
              </w:rPr>
              <w:t>erwaltungsrat) bewilligt</w:t>
            </w:r>
            <w:r w:rsidR="002A32B0">
              <w:rPr>
                <w:rFonts w:cs="Arial"/>
                <w:i/>
                <w:iCs/>
                <w:sz w:val="18"/>
                <w:szCs w:val="18"/>
              </w:rPr>
              <w:t xml:space="preserve"> </w:t>
            </w:r>
            <w:r>
              <w:rPr>
                <w:rFonts w:cs="Arial"/>
                <w:i/>
                <w:iCs/>
                <w:sz w:val="18"/>
                <w:szCs w:val="18"/>
              </w:rPr>
              <w:t xml:space="preserve">und die entsprechenden Verantwortlichkeiten und </w:t>
            </w:r>
            <w:r w:rsidR="002F5A63">
              <w:rPr>
                <w:rFonts w:cs="Arial"/>
                <w:i/>
                <w:iCs/>
                <w:sz w:val="18"/>
                <w:szCs w:val="18"/>
              </w:rPr>
              <w:t xml:space="preserve">Eskalationsmechanismen </w:t>
            </w:r>
            <w:r w:rsidR="00382446">
              <w:rPr>
                <w:rFonts w:cs="Arial"/>
                <w:i/>
                <w:iCs/>
                <w:sz w:val="18"/>
                <w:szCs w:val="18"/>
              </w:rPr>
              <w:t xml:space="preserve">sind klar geregelt </w:t>
            </w:r>
          </w:p>
          <w:p w14:paraId="62F44CD5" w14:textId="35671B62" w:rsidR="00632CD9" w:rsidRPr="00387D17" w:rsidRDefault="00573FC8" w:rsidP="002900EA">
            <w:pPr>
              <w:pStyle w:val="Listenabsatz"/>
              <w:numPr>
                <w:ilvl w:val="1"/>
                <w:numId w:val="10"/>
              </w:numPr>
              <w:spacing w:line="259" w:lineRule="auto"/>
              <w:ind w:left="317" w:hanging="283"/>
              <w:jc w:val="both"/>
              <w:rPr>
                <w:rFonts w:cs="Arial"/>
                <w:i/>
                <w:iCs/>
                <w:sz w:val="18"/>
                <w:szCs w:val="18"/>
              </w:rPr>
            </w:pPr>
            <w:r w:rsidRPr="00387D17">
              <w:rPr>
                <w:rFonts w:cs="Arial"/>
                <w:i/>
                <w:iCs/>
                <w:sz w:val="18"/>
                <w:szCs w:val="18"/>
              </w:rPr>
              <w:lastRenderedPageBreak/>
              <w:t xml:space="preserve">Die wesentlichen Risiken </w:t>
            </w:r>
            <w:r w:rsidR="00EC52A2">
              <w:rPr>
                <w:rFonts w:cs="Arial"/>
                <w:i/>
                <w:iCs/>
                <w:sz w:val="18"/>
                <w:szCs w:val="18"/>
              </w:rPr>
              <w:t xml:space="preserve">im Zusammenhang mit einer möglichen Abwicklung </w:t>
            </w:r>
            <w:r w:rsidRPr="00387D17">
              <w:rPr>
                <w:rFonts w:cs="Arial"/>
                <w:i/>
                <w:iCs/>
                <w:sz w:val="18"/>
                <w:szCs w:val="18"/>
              </w:rPr>
              <w:t>werden laufend identifiziert, bewertet, gemessen, begrenzt, überwacht und gesteuert</w:t>
            </w:r>
          </w:p>
        </w:tc>
      </w:tr>
      <w:tr w:rsidR="008676CE" w:rsidRPr="00594F87" w14:paraId="68C06886" w14:textId="77777777" w:rsidTr="00387D17">
        <w:trPr>
          <w:trHeight w:val="300"/>
        </w:trPr>
        <w:tc>
          <w:tcPr>
            <w:tcW w:w="1980" w:type="dxa"/>
          </w:tcPr>
          <w:p w14:paraId="530C0C9C" w14:textId="5920AF63" w:rsidR="008676CE" w:rsidRPr="00B3666B" w:rsidRDefault="008676CE" w:rsidP="008676CE">
            <w:pPr>
              <w:spacing w:line="259" w:lineRule="auto"/>
              <w:jc w:val="both"/>
              <w:rPr>
                <w:rFonts w:ascii="Arial" w:hAnsi="Arial" w:cs="Arial"/>
                <w:i/>
                <w:iCs/>
                <w:sz w:val="18"/>
                <w:szCs w:val="18"/>
              </w:rPr>
            </w:pPr>
            <w:r w:rsidRPr="00B3666B">
              <w:rPr>
                <w:rFonts w:ascii="Arial" w:eastAsia="Arial" w:hAnsi="Arial" w:cs="Arial"/>
                <w:i/>
                <w:iCs/>
                <w:sz w:val="18"/>
                <w:szCs w:val="18"/>
              </w:rPr>
              <w:lastRenderedPageBreak/>
              <w:t>Internes Kontrollsystem, Prozesse und Berichterstattung</w:t>
            </w:r>
          </w:p>
        </w:tc>
        <w:tc>
          <w:tcPr>
            <w:tcW w:w="7513" w:type="dxa"/>
          </w:tcPr>
          <w:p w14:paraId="40EA1F64" w14:textId="2967F682" w:rsidR="00762B17" w:rsidRPr="00B3666B" w:rsidRDefault="008676CE" w:rsidP="00C37D08">
            <w:pPr>
              <w:pStyle w:val="Listenabsatz"/>
              <w:numPr>
                <w:ilvl w:val="1"/>
                <w:numId w:val="6"/>
              </w:numPr>
              <w:ind w:left="317" w:hanging="283"/>
              <w:jc w:val="both"/>
              <w:rPr>
                <w:rFonts w:cs="Arial"/>
                <w:i/>
                <w:iCs/>
                <w:sz w:val="18"/>
                <w:szCs w:val="18"/>
              </w:rPr>
            </w:pPr>
            <w:r w:rsidRPr="00B3666B">
              <w:rPr>
                <w:rFonts w:cs="Arial"/>
                <w:i/>
                <w:iCs/>
                <w:sz w:val="18"/>
                <w:szCs w:val="18"/>
              </w:rPr>
              <w:t xml:space="preserve">Die internen Verfahren sehen die Anwendung des 4-Augen-Prinzips </w:t>
            </w:r>
            <w:r w:rsidR="002013A2">
              <w:rPr>
                <w:rFonts w:cs="Arial"/>
                <w:i/>
                <w:iCs/>
                <w:sz w:val="18"/>
                <w:szCs w:val="18"/>
              </w:rPr>
              <w:t>bzw.</w:t>
            </w:r>
            <w:r w:rsidRPr="00B3666B">
              <w:rPr>
                <w:rFonts w:cs="Arial"/>
                <w:i/>
                <w:iCs/>
                <w:sz w:val="18"/>
                <w:szCs w:val="18"/>
              </w:rPr>
              <w:t xml:space="preserve"> Funktionstrennung bei Schlüsselkontrollen vor</w:t>
            </w:r>
          </w:p>
          <w:p w14:paraId="4D08E2E4" w14:textId="324E07E6" w:rsidR="00802089" w:rsidRPr="00B3666B" w:rsidRDefault="002E0A0D" w:rsidP="00C37D08">
            <w:pPr>
              <w:pStyle w:val="Listenabsatz"/>
              <w:numPr>
                <w:ilvl w:val="1"/>
                <w:numId w:val="10"/>
              </w:numPr>
              <w:spacing w:line="259" w:lineRule="auto"/>
              <w:ind w:left="317" w:hanging="283"/>
              <w:jc w:val="both"/>
              <w:rPr>
                <w:i/>
                <w:iCs/>
                <w:sz w:val="18"/>
                <w:szCs w:val="18"/>
              </w:rPr>
            </w:pPr>
            <w:r>
              <w:rPr>
                <w:i/>
                <w:iCs/>
                <w:sz w:val="18"/>
                <w:szCs w:val="18"/>
              </w:rPr>
              <w:t>D</w:t>
            </w:r>
            <w:r w:rsidR="00802089" w:rsidRPr="00B3666B">
              <w:rPr>
                <w:i/>
                <w:iCs/>
                <w:sz w:val="18"/>
                <w:szCs w:val="18"/>
              </w:rPr>
              <w:t xml:space="preserve">atenqualitätssichernde </w:t>
            </w:r>
            <w:r w:rsidR="001D47B5">
              <w:rPr>
                <w:i/>
                <w:iCs/>
                <w:sz w:val="18"/>
                <w:szCs w:val="18"/>
              </w:rPr>
              <w:t>Kontrollen</w:t>
            </w:r>
            <w:r w:rsidR="001D47B5" w:rsidRPr="00B3666B">
              <w:rPr>
                <w:i/>
                <w:iCs/>
                <w:sz w:val="18"/>
                <w:szCs w:val="18"/>
              </w:rPr>
              <w:t xml:space="preserve"> </w:t>
            </w:r>
            <w:r>
              <w:rPr>
                <w:i/>
                <w:iCs/>
                <w:sz w:val="18"/>
                <w:szCs w:val="18"/>
              </w:rPr>
              <w:t>sind definiert</w:t>
            </w:r>
          </w:p>
          <w:p w14:paraId="4BDF14D6" w14:textId="77777777" w:rsidR="008676CE" w:rsidRPr="00B3666B" w:rsidRDefault="00762B17" w:rsidP="00C37D08">
            <w:pPr>
              <w:pStyle w:val="Listenabsatz"/>
              <w:numPr>
                <w:ilvl w:val="1"/>
                <w:numId w:val="6"/>
              </w:numPr>
              <w:ind w:left="317" w:hanging="283"/>
              <w:jc w:val="both"/>
              <w:rPr>
                <w:i/>
                <w:sz w:val="18"/>
                <w:szCs w:val="18"/>
              </w:rPr>
            </w:pPr>
            <w:r w:rsidRPr="00B3666B">
              <w:rPr>
                <w:rFonts w:cs="Arial"/>
                <w:i/>
                <w:iCs/>
                <w:sz w:val="18"/>
                <w:szCs w:val="18"/>
              </w:rPr>
              <w:t>Eine Kommunikationsstrategie ist definiert, welche die interne und externe Kommunikation sowie den Zeitraum vor und während der Abwicklung beinhaltet</w:t>
            </w:r>
          </w:p>
          <w:p w14:paraId="46698BB1" w14:textId="77777777" w:rsidR="00762B17" w:rsidRPr="00B3666B" w:rsidRDefault="00762B17" w:rsidP="00C37D08">
            <w:pPr>
              <w:pStyle w:val="Listenabsatz"/>
              <w:numPr>
                <w:ilvl w:val="1"/>
                <w:numId w:val="6"/>
              </w:numPr>
              <w:ind w:left="317" w:hanging="283"/>
              <w:jc w:val="both"/>
              <w:rPr>
                <w:rFonts w:cs="Arial"/>
                <w:i/>
                <w:iCs/>
                <w:sz w:val="18"/>
                <w:szCs w:val="18"/>
              </w:rPr>
            </w:pPr>
            <w:r w:rsidRPr="00B3666B">
              <w:rPr>
                <w:rFonts w:cs="Arial"/>
                <w:i/>
                <w:iCs/>
                <w:sz w:val="18"/>
                <w:szCs w:val="18"/>
              </w:rPr>
              <w:t>Es sind Verfahren zur Identifizierung von Abwicklungshindernissen definiert</w:t>
            </w:r>
          </w:p>
          <w:p w14:paraId="7CC09E48" w14:textId="77777777" w:rsidR="00762B17" w:rsidRPr="00E74823" w:rsidRDefault="00762B17" w:rsidP="00C37D08">
            <w:pPr>
              <w:pStyle w:val="Listenabsatz"/>
              <w:numPr>
                <w:ilvl w:val="1"/>
                <w:numId w:val="6"/>
              </w:numPr>
              <w:ind w:left="317" w:hanging="283"/>
              <w:jc w:val="both"/>
              <w:rPr>
                <w:i/>
                <w:iCs/>
                <w:sz w:val="18"/>
                <w:szCs w:val="18"/>
              </w:rPr>
            </w:pPr>
            <w:r w:rsidRPr="00B3666B">
              <w:rPr>
                <w:rFonts w:cs="Arial"/>
                <w:i/>
                <w:iCs/>
                <w:sz w:val="18"/>
                <w:szCs w:val="18"/>
              </w:rPr>
              <w:t>Im Falle von im Berichtsjahr identifizierten Abwicklungshindernissen, ist eine zeitnahe Kommunikation an die Abwicklungsbehörde erfolgt</w:t>
            </w:r>
          </w:p>
          <w:p w14:paraId="104CAE1E" w14:textId="08DC02F2" w:rsidR="00E74823" w:rsidRPr="00B3666B" w:rsidRDefault="00E74823" w:rsidP="00C37D08">
            <w:pPr>
              <w:pStyle w:val="Listenabsatz"/>
              <w:numPr>
                <w:ilvl w:val="1"/>
                <w:numId w:val="6"/>
              </w:numPr>
              <w:ind w:left="317" w:hanging="283"/>
              <w:jc w:val="both"/>
              <w:rPr>
                <w:i/>
                <w:iCs/>
                <w:sz w:val="18"/>
                <w:szCs w:val="18"/>
              </w:rPr>
            </w:pPr>
            <w:r w:rsidRPr="00BF5173">
              <w:rPr>
                <w:rFonts w:cs="Arial"/>
                <w:i/>
                <w:iCs/>
                <w:sz w:val="18"/>
                <w:szCs w:val="18"/>
              </w:rPr>
              <w:t xml:space="preserve">Es sind Verfahren zur Führung einer Liste der Finanzkontrakte definiert, welche die gemäss Anhang der </w:t>
            </w:r>
            <w:r>
              <w:rPr>
                <w:rFonts w:cs="Arial"/>
                <w:i/>
                <w:iCs/>
                <w:sz w:val="18"/>
                <w:szCs w:val="18"/>
              </w:rPr>
              <w:t>d</w:t>
            </w:r>
            <w:r w:rsidRPr="00BF5173">
              <w:rPr>
                <w:rFonts w:cs="Arial"/>
                <w:i/>
                <w:iCs/>
                <w:sz w:val="18"/>
                <w:szCs w:val="18"/>
              </w:rPr>
              <w:t>elVO 2016/1712 beschriebenen Angaben enthält.</w:t>
            </w:r>
          </w:p>
        </w:tc>
      </w:tr>
    </w:tbl>
    <w:p w14:paraId="289F06C0" w14:textId="6852DFE3" w:rsidR="00D27087" w:rsidRDefault="00D27087" w:rsidP="61EE8D92">
      <w:pPr>
        <w:pStyle w:val="FINMAGliederungEbene1"/>
        <w:numPr>
          <w:ilvl w:val="0"/>
          <w:numId w:val="0"/>
        </w:numPr>
      </w:pPr>
    </w:p>
    <w:p w14:paraId="79C944E6" w14:textId="5A2FDF36" w:rsidR="008F7659" w:rsidRDefault="008F7659" w:rsidP="00C37D08">
      <w:pPr>
        <w:pStyle w:val="FINMAGliederungEbene2"/>
      </w:pPr>
      <w:bookmarkStart w:id="29" w:name="_Toc147141453"/>
      <w:r>
        <w:t>Management Information System (MIS)</w:t>
      </w:r>
      <w:bookmarkEnd w:id="29"/>
    </w:p>
    <w:p w14:paraId="68B6FC5A" w14:textId="77777777" w:rsidR="008F7659" w:rsidRDefault="008F7659" w:rsidP="008F7659">
      <w:pPr>
        <w:pStyle w:val="FINMAGliederungEbene2"/>
        <w:numPr>
          <w:ilvl w:val="0"/>
          <w:numId w:val="0"/>
        </w:numPr>
        <w:ind w:left="576"/>
      </w:pPr>
    </w:p>
    <w:tbl>
      <w:tblPr>
        <w:tblStyle w:val="Tabellenraster"/>
        <w:tblpPr w:leftFromText="141" w:rightFromText="141" w:vertAnchor="text" w:tblpY="1"/>
        <w:tblOverlap w:val="never"/>
        <w:tblW w:w="0" w:type="auto"/>
        <w:tblLook w:val="04A0" w:firstRow="1" w:lastRow="0" w:firstColumn="1" w:lastColumn="0" w:noHBand="0" w:noVBand="1"/>
      </w:tblPr>
      <w:tblGrid>
        <w:gridCol w:w="417"/>
        <w:gridCol w:w="1653"/>
        <w:gridCol w:w="2145"/>
        <w:gridCol w:w="1721"/>
        <w:gridCol w:w="822"/>
        <w:gridCol w:w="2560"/>
      </w:tblGrid>
      <w:tr w:rsidR="008F7659" w:rsidRPr="009872F3" w14:paraId="4E3F2017" w14:textId="77777777" w:rsidTr="00272756">
        <w:trPr>
          <w:trHeight w:val="563"/>
        </w:trPr>
        <w:tc>
          <w:tcPr>
            <w:tcW w:w="2070" w:type="dxa"/>
            <w:gridSpan w:val="2"/>
            <w:shd w:val="clear" w:color="auto" w:fill="DBE5F1" w:themeFill="accent1" w:themeFillTint="33"/>
          </w:tcPr>
          <w:p w14:paraId="4EFBE861" w14:textId="77777777" w:rsidR="008F7659" w:rsidRPr="009872F3" w:rsidRDefault="008F7659" w:rsidP="00A62A63">
            <w:pPr>
              <w:jc w:val="both"/>
              <w:rPr>
                <w:rFonts w:ascii="Arial" w:hAnsi="Arial" w:cs="Arial"/>
                <w:sz w:val="18"/>
                <w:szCs w:val="18"/>
              </w:rPr>
            </w:pPr>
            <w:r w:rsidRPr="009872F3">
              <w:rPr>
                <w:rFonts w:ascii="Arial" w:hAnsi="Arial" w:cs="Arial"/>
                <w:sz w:val="18"/>
                <w:szCs w:val="18"/>
              </w:rPr>
              <w:t>Nettorisiko</w:t>
            </w:r>
          </w:p>
        </w:tc>
        <w:tc>
          <w:tcPr>
            <w:tcW w:w="2145" w:type="dxa"/>
            <w:shd w:val="clear" w:color="auto" w:fill="DBE5F1" w:themeFill="accent1" w:themeFillTint="33"/>
          </w:tcPr>
          <w:p w14:paraId="310EA95B" w14:textId="77777777" w:rsidR="008F7659" w:rsidRPr="009872F3" w:rsidRDefault="008F7659" w:rsidP="00A62A63">
            <w:pPr>
              <w:jc w:val="both"/>
              <w:rPr>
                <w:rFonts w:ascii="Arial" w:hAnsi="Arial" w:cs="Arial"/>
                <w:sz w:val="18"/>
                <w:szCs w:val="18"/>
              </w:rPr>
            </w:pPr>
            <w:r w:rsidRPr="009872F3">
              <w:rPr>
                <w:rFonts w:ascii="Arial" w:hAnsi="Arial" w:cs="Arial"/>
                <w:sz w:val="18"/>
                <w:szCs w:val="18"/>
              </w:rPr>
              <w:t>Intervention Berichtsjahr:</w:t>
            </w:r>
          </w:p>
        </w:tc>
        <w:tc>
          <w:tcPr>
            <w:tcW w:w="5103" w:type="dxa"/>
            <w:gridSpan w:val="3"/>
            <w:shd w:val="clear" w:color="auto" w:fill="DBE5F1" w:themeFill="accent1" w:themeFillTint="33"/>
          </w:tcPr>
          <w:p w14:paraId="1A83D2EA" w14:textId="77777777" w:rsidR="008F7659" w:rsidRPr="009872F3" w:rsidRDefault="008F7659" w:rsidP="00A62A63">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8F7659" w:rsidRPr="009872F3" w14:paraId="5E3896A7" w14:textId="77777777" w:rsidTr="00272756">
        <w:trPr>
          <w:trHeight w:val="698"/>
        </w:trPr>
        <w:tc>
          <w:tcPr>
            <w:tcW w:w="2070" w:type="dxa"/>
            <w:gridSpan w:val="2"/>
            <w:shd w:val="clear" w:color="auto" w:fill="DBE5F1" w:themeFill="accent1" w:themeFillTint="33"/>
          </w:tcPr>
          <w:p w14:paraId="66BEFE53" w14:textId="77777777" w:rsidR="008F7659" w:rsidRPr="006749F0" w:rsidRDefault="008F7659" w:rsidP="00A62A63">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shd w:val="clear" w:color="auto" w:fill="DBE5F1" w:themeFill="accent1" w:themeFillTint="33"/>
          </w:tcPr>
          <w:p w14:paraId="482FAC8A" w14:textId="77777777" w:rsidR="008F7659" w:rsidRPr="006749F0" w:rsidRDefault="008F7659" w:rsidP="00A62A63">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shd w:val="clear" w:color="auto" w:fill="DBE5F1" w:themeFill="accent1" w:themeFillTint="33"/>
          </w:tcPr>
          <w:p w14:paraId="67FB03AC" w14:textId="77777777" w:rsidR="008F7659" w:rsidRPr="009872F3" w:rsidRDefault="008F7659" w:rsidP="00A62A63">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gridSpan w:val="2"/>
            <w:shd w:val="clear" w:color="auto" w:fill="DBE5F1" w:themeFill="accent1" w:themeFillTint="33"/>
          </w:tcPr>
          <w:p w14:paraId="23C8B9A6" w14:textId="77777777" w:rsidR="008F7659" w:rsidRDefault="008F7659" w:rsidP="00A62A63">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686D8D0" w14:textId="77777777" w:rsidR="008F7659" w:rsidRPr="006749F0" w:rsidRDefault="008F7659" w:rsidP="00A62A63">
            <w:pPr>
              <w:jc w:val="both"/>
              <w:rPr>
                <w:rFonts w:ascii="Arial" w:hAnsi="Arial" w:cs="Arial"/>
                <w:i/>
                <w:sz w:val="18"/>
                <w:szCs w:val="18"/>
              </w:rPr>
            </w:pPr>
            <w:r w:rsidRPr="006749F0">
              <w:rPr>
                <w:rFonts w:ascii="Arial" w:hAnsi="Arial" w:cs="Arial"/>
                <w:i/>
                <w:sz w:val="18"/>
                <w:szCs w:val="18"/>
                <w:highlight w:val="yellow"/>
              </w:rPr>
              <w:t>Jahr</w:t>
            </w:r>
          </w:p>
        </w:tc>
      </w:tr>
      <w:tr w:rsidR="008F7659" w:rsidRPr="00E75BEB" w14:paraId="5197AA3A" w14:textId="77777777" w:rsidTr="00272756">
        <w:trPr>
          <w:trHeight w:val="636"/>
        </w:trPr>
        <w:tc>
          <w:tcPr>
            <w:tcW w:w="9318" w:type="dxa"/>
            <w:gridSpan w:val="6"/>
            <w:shd w:val="clear" w:color="auto" w:fill="DBE5F1" w:themeFill="accent1" w:themeFillTint="33"/>
          </w:tcPr>
          <w:p w14:paraId="78749CCD" w14:textId="77777777" w:rsidR="00521DAD" w:rsidRDefault="008F7659" w:rsidP="000B44E4">
            <w:pPr>
              <w:rPr>
                <w:rFonts w:ascii="Arial" w:hAnsi="Arial" w:cs="Arial"/>
                <w:i/>
                <w:sz w:val="18"/>
                <w:szCs w:val="18"/>
              </w:rPr>
            </w:pPr>
            <w:r w:rsidRPr="00DD758F">
              <w:rPr>
                <w:rFonts w:ascii="Arial" w:hAnsi="Arial" w:cs="Arial"/>
                <w:i/>
                <w:sz w:val="18"/>
                <w:szCs w:val="18"/>
              </w:rPr>
              <w:t>Referenzen (demonstrativ):</w:t>
            </w:r>
          </w:p>
          <w:p w14:paraId="14AC7B93" w14:textId="2CB04E7F" w:rsidR="00827926" w:rsidRDefault="00521DAD" w:rsidP="00521DAD">
            <w:pPr>
              <w:pStyle w:val="Listenabsatz"/>
              <w:numPr>
                <w:ilvl w:val="0"/>
                <w:numId w:val="9"/>
              </w:numPr>
              <w:ind w:left="308"/>
              <w:jc w:val="both"/>
              <w:rPr>
                <w:rFonts w:cs="Arial"/>
                <w:sz w:val="18"/>
                <w:szCs w:val="18"/>
              </w:rPr>
            </w:pPr>
            <w:r>
              <w:rPr>
                <w:rFonts w:cs="Arial"/>
                <w:sz w:val="18"/>
                <w:szCs w:val="18"/>
              </w:rPr>
              <w:t>D</w:t>
            </w:r>
            <w:r w:rsidR="00827926" w:rsidRPr="008165F5">
              <w:rPr>
                <w:rFonts w:cs="Arial"/>
                <w:sz w:val="18"/>
                <w:szCs w:val="18"/>
              </w:rPr>
              <w:t>elegierte Verordnung (EU) 2016/1401 im Hinblick auf technische Regulierungsstandards für Methoden und Grundsätze der Bewertung von aus Derivaten entstehenden Verbindlichkeiten</w:t>
            </w:r>
            <w:r w:rsidR="00827926">
              <w:rPr>
                <w:rFonts w:cs="Arial"/>
                <w:sz w:val="18"/>
                <w:szCs w:val="18"/>
              </w:rPr>
              <w:t xml:space="preserve"> (</w:t>
            </w:r>
            <w:proofErr w:type="spellStart"/>
            <w:r w:rsidR="000227C5">
              <w:rPr>
                <w:rFonts w:cs="Arial"/>
                <w:sz w:val="18"/>
                <w:szCs w:val="18"/>
              </w:rPr>
              <w:t>d</w:t>
            </w:r>
            <w:r w:rsidR="00827926">
              <w:rPr>
                <w:rFonts w:cs="Arial"/>
                <w:sz w:val="18"/>
                <w:szCs w:val="18"/>
              </w:rPr>
              <w:t>elVO</w:t>
            </w:r>
            <w:proofErr w:type="spellEnd"/>
            <w:r w:rsidR="00827926">
              <w:rPr>
                <w:rFonts w:cs="Arial"/>
                <w:sz w:val="18"/>
                <w:szCs w:val="18"/>
              </w:rPr>
              <w:t xml:space="preserve"> Derivate)</w:t>
            </w:r>
          </w:p>
          <w:p w14:paraId="1E2A9A76" w14:textId="23824396" w:rsidR="00DA033C" w:rsidRPr="002527F4" w:rsidRDefault="00DA033C" w:rsidP="00DA033C">
            <w:pPr>
              <w:pStyle w:val="Listenabsatz"/>
              <w:numPr>
                <w:ilvl w:val="0"/>
                <w:numId w:val="9"/>
              </w:numPr>
              <w:ind w:left="308"/>
              <w:jc w:val="both"/>
              <w:rPr>
                <w:rFonts w:cs="Arial"/>
                <w:sz w:val="18"/>
                <w:szCs w:val="18"/>
              </w:rPr>
            </w:pPr>
            <w:r w:rsidRPr="002527F4">
              <w:rPr>
                <w:rFonts w:cs="Arial"/>
                <w:sz w:val="18"/>
                <w:szCs w:val="18"/>
              </w:rPr>
              <w:t>Delegierte Verordnung (EU) 2018/344 der Kommission vom 14. November 2017 zur Ergänzung der Richtlinie 2014/59/EU des Europäischen Parlaments und des Rates im Hinblick auf technische Regulierungsstandards zur Festlegung der Kriterien für die Methoden zur Bewertung einer unterschiedlichen Behandlung bei der Abwicklung («delV</w:t>
            </w:r>
            <w:r w:rsidR="000227C5">
              <w:rPr>
                <w:rFonts w:cs="Arial"/>
                <w:sz w:val="18"/>
                <w:szCs w:val="18"/>
              </w:rPr>
              <w:t>O</w:t>
            </w:r>
            <w:r w:rsidRPr="002527F4">
              <w:rPr>
                <w:rFonts w:cs="Arial"/>
                <w:sz w:val="18"/>
                <w:szCs w:val="18"/>
              </w:rPr>
              <w:t xml:space="preserve"> Bewertung»)</w:t>
            </w:r>
          </w:p>
          <w:p w14:paraId="78B74AF9" w14:textId="31349245" w:rsidR="00827926" w:rsidRPr="00997881" w:rsidRDefault="00DA033C" w:rsidP="001812B4">
            <w:pPr>
              <w:pStyle w:val="Listenabsatz"/>
              <w:numPr>
                <w:ilvl w:val="0"/>
                <w:numId w:val="9"/>
              </w:numPr>
              <w:ind w:left="308"/>
              <w:jc w:val="both"/>
              <w:rPr>
                <w:rFonts w:cs="Arial"/>
                <w:sz w:val="18"/>
                <w:szCs w:val="18"/>
              </w:rPr>
            </w:pPr>
            <w:r w:rsidRPr="002527F4">
              <w:rPr>
                <w:rFonts w:cs="Arial"/>
                <w:sz w:val="18"/>
                <w:szCs w:val="18"/>
              </w:rPr>
              <w:t>Delegierte Verordnung (EU) 2018/345 der Kommission vom 14. November 2017 zur Ergänzung der Richtlinie 2014/59/EU des Europäischen Parlaments und des Rates durch technische Regulierungsstandards zur Präzisierung der Kriterien im Zusammenhang mit der Methode zur Bewertung der Vermögenswerte und Verbindlichkeiten von Instituten oder Unternehmen («delV</w:t>
            </w:r>
            <w:r w:rsidR="000227C5">
              <w:rPr>
                <w:rFonts w:cs="Arial"/>
                <w:sz w:val="18"/>
                <w:szCs w:val="18"/>
              </w:rPr>
              <w:t>O</w:t>
            </w:r>
            <w:r w:rsidRPr="002527F4">
              <w:rPr>
                <w:rFonts w:cs="Arial"/>
                <w:sz w:val="18"/>
                <w:szCs w:val="18"/>
              </w:rPr>
              <w:t xml:space="preserve"> Bewertung A/L»)</w:t>
            </w:r>
          </w:p>
          <w:p w14:paraId="2AC42194" w14:textId="77777777" w:rsidR="00827926" w:rsidRPr="00997881" w:rsidRDefault="00827926" w:rsidP="00827926">
            <w:pPr>
              <w:pStyle w:val="Listenabsatz"/>
              <w:numPr>
                <w:ilvl w:val="0"/>
                <w:numId w:val="9"/>
              </w:numPr>
              <w:ind w:left="308"/>
              <w:jc w:val="both"/>
              <w:rPr>
                <w:rFonts w:cs="Arial"/>
                <w:sz w:val="18"/>
                <w:szCs w:val="18"/>
              </w:rPr>
            </w:pPr>
            <w:r w:rsidRPr="00997881">
              <w:rPr>
                <w:rFonts w:cs="Arial"/>
                <w:sz w:val="18"/>
                <w:szCs w:val="18"/>
              </w:rPr>
              <w:t>EBA Leitlinien zur Verbesserung der Abwicklungsfähigkeit für Institute und Abwicklungsbehörden</w:t>
            </w:r>
          </w:p>
          <w:p w14:paraId="4148ECA1" w14:textId="77777777" w:rsidR="00827926" w:rsidRPr="0096765A" w:rsidRDefault="00827926" w:rsidP="00827926">
            <w:pPr>
              <w:pStyle w:val="Listenabsatz"/>
              <w:ind w:left="308"/>
              <w:jc w:val="both"/>
              <w:rPr>
                <w:rFonts w:cs="Arial"/>
                <w:sz w:val="18"/>
                <w:szCs w:val="18"/>
                <w:lang w:val="en-US"/>
              </w:rPr>
            </w:pPr>
            <w:r w:rsidRPr="0096765A">
              <w:rPr>
                <w:rFonts w:cs="Arial"/>
                <w:sz w:val="18"/>
                <w:szCs w:val="18"/>
                <w:lang w:val="en-US"/>
              </w:rPr>
              <w:t>(Resolvability Guidelines; EBA/GL/2022/01)</w:t>
            </w:r>
          </w:p>
          <w:p w14:paraId="1093A84A" w14:textId="77777777" w:rsidR="00827926" w:rsidRDefault="00827926" w:rsidP="00827926">
            <w:pPr>
              <w:pStyle w:val="Listenabsatz"/>
              <w:ind w:left="308"/>
              <w:jc w:val="both"/>
              <w:rPr>
                <w:rFonts w:cs="Arial"/>
                <w:sz w:val="18"/>
                <w:szCs w:val="18"/>
                <w:lang w:val="en-US"/>
              </w:rPr>
            </w:pPr>
            <w:r w:rsidRPr="00543B51">
              <w:rPr>
                <w:rFonts w:cs="Arial"/>
                <w:sz w:val="18"/>
                <w:szCs w:val="18"/>
                <w:lang w:val="en-US"/>
              </w:rPr>
              <w:t>EBA Valuation Handbook (“Handbook of valuation for purposes of resolution”)</w:t>
            </w:r>
          </w:p>
          <w:p w14:paraId="4E2DE42E" w14:textId="09FD2F31" w:rsidR="00E75BEB" w:rsidRPr="0096765A" w:rsidRDefault="00E75BEB" w:rsidP="0096765A">
            <w:pPr>
              <w:pStyle w:val="Listenabsatz"/>
              <w:numPr>
                <w:ilvl w:val="0"/>
                <w:numId w:val="9"/>
              </w:numPr>
              <w:ind w:left="308"/>
              <w:jc w:val="both"/>
              <w:rPr>
                <w:rFonts w:cs="Arial"/>
                <w:sz w:val="18"/>
                <w:szCs w:val="18"/>
              </w:rPr>
            </w:pPr>
            <w:r w:rsidRPr="00997881">
              <w:rPr>
                <w:rFonts w:cs="Arial"/>
                <w:sz w:val="18"/>
                <w:szCs w:val="18"/>
              </w:rPr>
              <w:t>FMA-Mitteilung 2022/02 betreffend die Festlegung der Mindestanforderung an Eigenmittel und berücksichtigungsfähige Verbindlichkeiten und entsprechender Schnittstellen zur Abwicklungsplanung für Banken und Wertpapierfirmen («MREL-Policy»)</w:t>
            </w:r>
          </w:p>
        </w:tc>
      </w:tr>
      <w:tr w:rsidR="008F7659" w:rsidRPr="00E75BEB" w14:paraId="04266C09" w14:textId="77777777" w:rsidTr="00272756">
        <w:trPr>
          <w:trHeight w:val="294"/>
        </w:trPr>
        <w:tc>
          <w:tcPr>
            <w:tcW w:w="9318" w:type="dxa"/>
            <w:gridSpan w:val="6"/>
          </w:tcPr>
          <w:p w14:paraId="426A5407" w14:textId="77777777" w:rsidR="008F7659" w:rsidRPr="00E75BEB" w:rsidRDefault="008F7659" w:rsidP="00A62A63">
            <w:pPr>
              <w:jc w:val="both"/>
              <w:rPr>
                <w:rFonts w:ascii="Arial" w:hAnsi="Arial" w:cs="Arial"/>
                <w:sz w:val="18"/>
                <w:szCs w:val="18"/>
              </w:rPr>
            </w:pPr>
          </w:p>
        </w:tc>
      </w:tr>
      <w:tr w:rsidR="00272756" w:rsidRPr="009872F3" w14:paraId="6E9DC3ED" w14:textId="77777777" w:rsidTr="00272756">
        <w:trPr>
          <w:trHeight w:val="294"/>
        </w:trPr>
        <w:tc>
          <w:tcPr>
            <w:tcW w:w="417" w:type="dxa"/>
          </w:tcPr>
          <w:p w14:paraId="392A5CDF" w14:textId="18C7A323" w:rsidR="00272756" w:rsidRDefault="00272756" w:rsidP="00272756">
            <w:pPr>
              <w:jc w:val="both"/>
              <w:rPr>
                <w:rFonts w:ascii="Arial" w:hAnsi="Arial" w:cs="Arial"/>
                <w:sz w:val="18"/>
                <w:szCs w:val="18"/>
              </w:rPr>
            </w:pPr>
            <w:r>
              <w:rPr>
                <w:rFonts w:ascii="Arial" w:hAnsi="Arial" w:cs="Arial"/>
                <w:sz w:val="18"/>
                <w:szCs w:val="18"/>
              </w:rPr>
              <w:t>1</w:t>
            </w:r>
          </w:p>
        </w:tc>
        <w:tc>
          <w:tcPr>
            <w:tcW w:w="6341" w:type="dxa"/>
            <w:gridSpan w:val="4"/>
          </w:tcPr>
          <w:p w14:paraId="2939B0ED" w14:textId="7A709830" w:rsidR="00272756" w:rsidRPr="00CB06D0" w:rsidRDefault="00272756" w:rsidP="00272756">
            <w:pPr>
              <w:jc w:val="both"/>
              <w:rPr>
                <w:rFonts w:ascii="Arial" w:hAnsi="Arial" w:cs="Arial"/>
                <w:sz w:val="18"/>
                <w:szCs w:val="18"/>
              </w:rPr>
            </w:pPr>
            <w:r>
              <w:rPr>
                <w:rFonts w:ascii="Arial" w:hAnsi="Arial" w:cs="Arial"/>
                <w:sz w:val="18"/>
                <w:szCs w:val="18"/>
              </w:rPr>
              <w:t xml:space="preserve">Bestätigung, dass die internen Verfahren eine angemessene Dateninfrastruktur </w:t>
            </w:r>
            <w:r w:rsidRPr="06D9602D">
              <w:rPr>
                <w:rFonts w:ascii="Arial" w:hAnsi="Arial" w:cs="Arial"/>
                <w:sz w:val="18"/>
                <w:szCs w:val="18"/>
              </w:rPr>
              <w:t>ermöglichen</w:t>
            </w:r>
            <w:r>
              <w:rPr>
                <w:rFonts w:ascii="Arial" w:hAnsi="Arial" w:cs="Arial"/>
                <w:sz w:val="18"/>
                <w:szCs w:val="18"/>
              </w:rPr>
              <w:t xml:space="preserve">, welche die erforderlichen Informationen für die Umsetzung der Abwicklungsinstrumente gemäss EBA/GL/2022/01 enthält (inkl. Informationen über das Eigentum an Vermögenswerten und Infrastruktur, die Preisgestaltung, vertragliche Rechte und Vereinbarungen, sowie Auslagerungsvereinbarungen). </w:t>
            </w:r>
          </w:p>
        </w:tc>
        <w:tc>
          <w:tcPr>
            <w:tcW w:w="2560" w:type="dxa"/>
          </w:tcPr>
          <w:p w14:paraId="25454CBD" w14:textId="4C8B73AE" w:rsidR="00272756" w:rsidRPr="00E109DF" w:rsidRDefault="00272756" w:rsidP="0027275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800CF" w:rsidRPr="009872F3" w14:paraId="6811CA1F" w14:textId="77777777" w:rsidTr="00272756">
        <w:trPr>
          <w:trHeight w:val="294"/>
        </w:trPr>
        <w:tc>
          <w:tcPr>
            <w:tcW w:w="417" w:type="dxa"/>
          </w:tcPr>
          <w:p w14:paraId="141EA8DB" w14:textId="01C5CB93" w:rsidR="00272756" w:rsidRDefault="00272756" w:rsidP="00272756">
            <w:pPr>
              <w:jc w:val="both"/>
              <w:rPr>
                <w:rFonts w:ascii="Arial" w:hAnsi="Arial" w:cs="Arial"/>
                <w:sz w:val="18"/>
                <w:szCs w:val="18"/>
              </w:rPr>
            </w:pPr>
          </w:p>
          <w:p w14:paraId="0E9837B7" w14:textId="7740889C" w:rsidR="007800CF" w:rsidRPr="009872F3" w:rsidRDefault="00272756" w:rsidP="00A62A63">
            <w:pPr>
              <w:jc w:val="both"/>
              <w:rPr>
                <w:rFonts w:ascii="Arial" w:hAnsi="Arial" w:cs="Arial"/>
                <w:sz w:val="18"/>
                <w:szCs w:val="18"/>
              </w:rPr>
            </w:pPr>
            <w:r>
              <w:rPr>
                <w:rFonts w:ascii="Arial" w:hAnsi="Arial" w:cs="Arial"/>
                <w:sz w:val="18"/>
                <w:szCs w:val="18"/>
              </w:rPr>
              <w:t>2</w:t>
            </w:r>
          </w:p>
        </w:tc>
        <w:tc>
          <w:tcPr>
            <w:tcW w:w="6341" w:type="dxa"/>
            <w:gridSpan w:val="4"/>
          </w:tcPr>
          <w:p w14:paraId="009E2E4B" w14:textId="7E0F2BD0" w:rsidR="007800CF" w:rsidRPr="009872F3" w:rsidRDefault="00D40400" w:rsidP="00A62A63">
            <w:pPr>
              <w:jc w:val="both"/>
              <w:rPr>
                <w:rFonts w:ascii="Arial" w:hAnsi="Arial" w:cs="Arial"/>
                <w:sz w:val="18"/>
                <w:szCs w:val="18"/>
              </w:rPr>
            </w:pPr>
            <w:r w:rsidRPr="00CB06D0">
              <w:rPr>
                <w:rFonts w:ascii="Arial" w:hAnsi="Arial" w:cs="Arial"/>
                <w:sz w:val="18"/>
                <w:szCs w:val="18"/>
              </w:rPr>
              <w:t xml:space="preserve">Bestätigung, dass </w:t>
            </w:r>
            <w:r>
              <w:rPr>
                <w:rFonts w:ascii="Arial" w:hAnsi="Arial" w:cs="Arial"/>
                <w:sz w:val="18"/>
                <w:szCs w:val="18"/>
              </w:rPr>
              <w:t xml:space="preserve">die internen Verfahren auch in Krisenzeiten ein angemessenes Management Information System (MIS) </w:t>
            </w:r>
            <w:r w:rsidR="007C6380">
              <w:rPr>
                <w:rFonts w:ascii="Arial" w:hAnsi="Arial" w:cs="Arial"/>
                <w:sz w:val="18"/>
                <w:szCs w:val="18"/>
              </w:rPr>
              <w:t>ermöglichen</w:t>
            </w:r>
            <w:r w:rsidR="00812D1C">
              <w:rPr>
                <w:rFonts w:ascii="Arial" w:hAnsi="Arial" w:cs="Arial"/>
                <w:sz w:val="18"/>
                <w:szCs w:val="18"/>
              </w:rPr>
              <w:t>,</w:t>
            </w:r>
            <w:r w:rsidR="00543B51">
              <w:rPr>
                <w:rFonts w:ascii="Arial" w:hAnsi="Arial" w:cs="Arial"/>
                <w:sz w:val="18"/>
                <w:szCs w:val="18"/>
              </w:rPr>
              <w:t xml:space="preserve"> </w:t>
            </w:r>
            <w:r w:rsidR="009B1BAB">
              <w:rPr>
                <w:rFonts w:ascii="Arial" w:hAnsi="Arial" w:cs="Arial"/>
                <w:sz w:val="18"/>
                <w:szCs w:val="18"/>
              </w:rPr>
              <w:t>welches</w:t>
            </w:r>
            <w:r w:rsidR="00543B51">
              <w:rPr>
                <w:rFonts w:ascii="Arial" w:hAnsi="Arial" w:cs="Arial"/>
                <w:sz w:val="18"/>
                <w:szCs w:val="18"/>
              </w:rPr>
              <w:t xml:space="preserve"> </w:t>
            </w:r>
            <w:r w:rsidR="00812D1C">
              <w:rPr>
                <w:rFonts w:ascii="Arial" w:hAnsi="Arial" w:cs="Arial"/>
                <w:sz w:val="18"/>
                <w:szCs w:val="18"/>
              </w:rPr>
              <w:t>die Abwick</w:t>
            </w:r>
            <w:r w:rsidR="00C65E7D">
              <w:rPr>
                <w:rFonts w:ascii="Arial" w:hAnsi="Arial" w:cs="Arial"/>
                <w:sz w:val="18"/>
                <w:szCs w:val="18"/>
              </w:rPr>
              <w:t>l</w:t>
            </w:r>
            <w:r w:rsidR="00812D1C">
              <w:rPr>
                <w:rFonts w:ascii="Arial" w:hAnsi="Arial" w:cs="Arial"/>
                <w:sz w:val="18"/>
                <w:szCs w:val="18"/>
              </w:rPr>
              <w:t>ungsbehörde</w:t>
            </w:r>
            <w:r w:rsidR="00C65E7D">
              <w:rPr>
                <w:rFonts w:ascii="Arial" w:hAnsi="Arial" w:cs="Arial"/>
                <w:sz w:val="18"/>
                <w:szCs w:val="18"/>
              </w:rPr>
              <w:t xml:space="preserve"> </w:t>
            </w:r>
            <w:r w:rsidR="00124D1B">
              <w:rPr>
                <w:rFonts w:ascii="Arial" w:hAnsi="Arial" w:cs="Arial"/>
                <w:sz w:val="18"/>
                <w:szCs w:val="18"/>
              </w:rPr>
              <w:t xml:space="preserve">in </w:t>
            </w:r>
            <w:r w:rsidR="00204033">
              <w:rPr>
                <w:rFonts w:ascii="Arial" w:hAnsi="Arial" w:cs="Arial"/>
                <w:sz w:val="18"/>
                <w:szCs w:val="18"/>
              </w:rPr>
              <w:t xml:space="preserve">angemessener Frist </w:t>
            </w:r>
            <w:r w:rsidR="00812D1C">
              <w:rPr>
                <w:rFonts w:ascii="Arial" w:hAnsi="Arial" w:cs="Arial"/>
                <w:sz w:val="18"/>
                <w:szCs w:val="18"/>
              </w:rPr>
              <w:t xml:space="preserve">mit </w:t>
            </w:r>
            <w:r w:rsidR="00272756">
              <w:rPr>
                <w:rFonts w:ascii="Arial" w:hAnsi="Arial" w:cs="Arial"/>
                <w:sz w:val="18"/>
                <w:szCs w:val="18"/>
              </w:rPr>
              <w:t>relevanten Informationen</w:t>
            </w:r>
            <w:r w:rsidR="003E0AB3">
              <w:rPr>
                <w:rFonts w:ascii="Arial" w:hAnsi="Arial" w:cs="Arial"/>
                <w:sz w:val="18"/>
                <w:szCs w:val="18"/>
              </w:rPr>
              <w:t xml:space="preserve"> (inkl. Informationen über das Eigentum an Vermögenswerten und Infrastruktur, die Preisgestaltung, vertragliche Rechte und Vereinbarungen, sowie Auslagerungsvereinbarungen)</w:t>
            </w:r>
            <w:r w:rsidR="00812D1C">
              <w:rPr>
                <w:rFonts w:ascii="Arial" w:hAnsi="Arial" w:cs="Arial"/>
                <w:sz w:val="18"/>
                <w:szCs w:val="18"/>
              </w:rPr>
              <w:t xml:space="preserve"> vor </w:t>
            </w:r>
            <w:r w:rsidR="005E6FC3">
              <w:rPr>
                <w:rFonts w:ascii="Arial" w:hAnsi="Arial" w:cs="Arial"/>
                <w:sz w:val="18"/>
                <w:szCs w:val="18"/>
              </w:rPr>
              <w:t xml:space="preserve">und </w:t>
            </w:r>
            <w:r w:rsidR="00812D1C">
              <w:rPr>
                <w:rFonts w:ascii="Arial" w:hAnsi="Arial" w:cs="Arial"/>
                <w:sz w:val="18"/>
                <w:szCs w:val="18"/>
              </w:rPr>
              <w:t xml:space="preserve">während der </w:t>
            </w:r>
            <w:r w:rsidR="00C65E7D">
              <w:rPr>
                <w:rFonts w:ascii="Arial" w:hAnsi="Arial" w:cs="Arial"/>
                <w:sz w:val="18"/>
                <w:szCs w:val="18"/>
              </w:rPr>
              <w:t>Abwicklung versorg</w:t>
            </w:r>
            <w:r w:rsidR="00543B51">
              <w:rPr>
                <w:rFonts w:ascii="Arial" w:hAnsi="Arial" w:cs="Arial"/>
                <w:sz w:val="18"/>
                <w:szCs w:val="18"/>
              </w:rPr>
              <w:t>en kann</w:t>
            </w:r>
            <w:r w:rsidR="00C65E7D">
              <w:rPr>
                <w:rFonts w:ascii="Arial" w:hAnsi="Arial" w:cs="Arial"/>
                <w:sz w:val="18"/>
                <w:szCs w:val="18"/>
              </w:rPr>
              <w:t>.</w:t>
            </w:r>
          </w:p>
        </w:tc>
        <w:tc>
          <w:tcPr>
            <w:tcW w:w="2560" w:type="dxa"/>
          </w:tcPr>
          <w:p w14:paraId="506FB223" w14:textId="652B0A29" w:rsidR="007800CF" w:rsidRPr="009872F3" w:rsidRDefault="007800CF" w:rsidP="00A62A6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F6ADA38" w14:textId="77777777" w:rsidR="008F7659" w:rsidRDefault="008F7659" w:rsidP="009A53E3">
      <w:pPr>
        <w:pStyle w:val="FINMAGliederungEbene2"/>
        <w:numPr>
          <w:ilvl w:val="1"/>
          <w:numId w:val="0"/>
        </w:numPr>
      </w:pPr>
    </w:p>
    <w:tbl>
      <w:tblPr>
        <w:tblStyle w:val="Tabellenraster"/>
        <w:tblW w:w="0" w:type="auto"/>
        <w:tblLook w:val="04A0" w:firstRow="1" w:lastRow="0" w:firstColumn="1" w:lastColumn="0" w:noHBand="0" w:noVBand="1"/>
      </w:tblPr>
      <w:tblGrid>
        <w:gridCol w:w="1980"/>
        <w:gridCol w:w="7371"/>
      </w:tblGrid>
      <w:tr w:rsidR="009A53E3" w:rsidRPr="00DA7E95" w14:paraId="6F564BF9" w14:textId="77777777" w:rsidTr="5BDDCDE6">
        <w:trPr>
          <w:trHeight w:val="300"/>
        </w:trPr>
        <w:tc>
          <w:tcPr>
            <w:tcW w:w="1980" w:type="dxa"/>
          </w:tcPr>
          <w:p w14:paraId="6198AC12" w14:textId="77777777" w:rsidR="009A53E3" w:rsidRPr="00DA7E95" w:rsidRDefault="009A53E3" w:rsidP="00387D17">
            <w:pPr>
              <w:jc w:val="both"/>
              <w:rPr>
                <w:rFonts w:ascii="Arial" w:hAnsi="Arial" w:cs="Arial"/>
                <w:b/>
                <w:bCs/>
                <w:i/>
                <w:iCs/>
                <w:sz w:val="18"/>
                <w:szCs w:val="18"/>
              </w:rPr>
            </w:pPr>
            <w:r w:rsidRPr="00DA7E95">
              <w:rPr>
                <w:rFonts w:ascii="Arial" w:hAnsi="Arial" w:cs="Arial"/>
                <w:b/>
                <w:bCs/>
                <w:i/>
                <w:iCs/>
                <w:sz w:val="18"/>
                <w:szCs w:val="18"/>
              </w:rPr>
              <w:t>Prüfelemente</w:t>
            </w:r>
          </w:p>
        </w:tc>
        <w:tc>
          <w:tcPr>
            <w:tcW w:w="7371" w:type="dxa"/>
          </w:tcPr>
          <w:p w14:paraId="390E2961" w14:textId="77777777" w:rsidR="009A53E3" w:rsidRPr="00DA7E95" w:rsidRDefault="009A53E3" w:rsidP="00387D17">
            <w:pPr>
              <w:jc w:val="both"/>
              <w:rPr>
                <w:rFonts w:ascii="Arial" w:hAnsi="Arial" w:cs="Arial"/>
                <w:b/>
                <w:bCs/>
                <w:i/>
                <w:iCs/>
                <w:sz w:val="18"/>
                <w:szCs w:val="18"/>
              </w:rPr>
            </w:pPr>
            <w:r w:rsidRPr="00DA7E95">
              <w:rPr>
                <w:rFonts w:ascii="Arial" w:hAnsi="Arial" w:cs="Arial"/>
                <w:b/>
                <w:bCs/>
                <w:i/>
                <w:iCs/>
                <w:sz w:val="18"/>
                <w:szCs w:val="18"/>
              </w:rPr>
              <w:t>Mindestprüfinhalte («Muster»)</w:t>
            </w:r>
          </w:p>
        </w:tc>
      </w:tr>
      <w:tr w:rsidR="00E922A6" w:rsidRPr="00DA7E95" w14:paraId="4D42BD49" w14:textId="77777777" w:rsidTr="5BDDCDE6">
        <w:trPr>
          <w:trHeight w:val="300"/>
        </w:trPr>
        <w:tc>
          <w:tcPr>
            <w:tcW w:w="1980" w:type="dxa"/>
          </w:tcPr>
          <w:p w14:paraId="57505F35" w14:textId="3FD62CFD" w:rsidR="00E922A6" w:rsidRPr="00DA7E95" w:rsidRDefault="00E922A6" w:rsidP="00387D17">
            <w:pPr>
              <w:spacing w:line="259" w:lineRule="auto"/>
              <w:jc w:val="both"/>
              <w:rPr>
                <w:rFonts w:ascii="Arial" w:hAnsi="Arial" w:cs="Arial"/>
                <w:i/>
                <w:iCs/>
                <w:sz w:val="18"/>
                <w:szCs w:val="18"/>
              </w:rPr>
            </w:pPr>
            <w:r>
              <w:rPr>
                <w:rFonts w:ascii="Arial" w:hAnsi="Arial" w:cs="Arial"/>
                <w:i/>
                <w:iCs/>
                <w:sz w:val="18"/>
                <w:szCs w:val="18"/>
              </w:rPr>
              <w:lastRenderedPageBreak/>
              <w:t xml:space="preserve">Interne Organisation </w:t>
            </w:r>
          </w:p>
        </w:tc>
        <w:tc>
          <w:tcPr>
            <w:tcW w:w="7371" w:type="dxa"/>
          </w:tcPr>
          <w:p w14:paraId="595A8E3A" w14:textId="09E3CF27" w:rsidR="00E922A6" w:rsidRDefault="00E922A6" w:rsidP="00C37D08">
            <w:pPr>
              <w:pStyle w:val="Listenabsatz"/>
              <w:numPr>
                <w:ilvl w:val="1"/>
                <w:numId w:val="6"/>
              </w:numPr>
              <w:spacing w:line="259" w:lineRule="auto"/>
              <w:ind w:left="317" w:hanging="283"/>
              <w:jc w:val="both"/>
              <w:rPr>
                <w:rFonts w:cs="Arial"/>
                <w:i/>
                <w:iCs/>
                <w:sz w:val="18"/>
                <w:szCs w:val="18"/>
              </w:rPr>
            </w:pPr>
            <w:r w:rsidRPr="00C3378F">
              <w:rPr>
                <w:rFonts w:cs="Arial"/>
                <w:i/>
                <w:iCs/>
                <w:sz w:val="18"/>
                <w:szCs w:val="18"/>
              </w:rPr>
              <w:t>Die interne Organisationsstruktur (z.B.</w:t>
            </w:r>
            <w:r w:rsidR="006E1207">
              <w:rPr>
                <w:rFonts w:cs="Arial"/>
                <w:i/>
                <w:iCs/>
                <w:sz w:val="18"/>
                <w:szCs w:val="18"/>
              </w:rPr>
              <w:t xml:space="preserve"> t</w:t>
            </w:r>
            <w:r w:rsidRPr="00685831">
              <w:rPr>
                <w:rFonts w:cs="Arial"/>
                <w:i/>
                <w:iCs/>
                <w:sz w:val="18"/>
                <w:szCs w:val="18"/>
              </w:rPr>
              <w:t>echnische</w:t>
            </w:r>
            <w:r w:rsidR="006E1207">
              <w:rPr>
                <w:rFonts w:cs="Arial"/>
                <w:i/>
                <w:iCs/>
                <w:sz w:val="18"/>
                <w:szCs w:val="18"/>
              </w:rPr>
              <w:t xml:space="preserve">, </w:t>
            </w:r>
            <w:r w:rsidRPr="00685831">
              <w:rPr>
                <w:rFonts w:cs="Arial"/>
                <w:i/>
                <w:iCs/>
                <w:sz w:val="18"/>
                <w:szCs w:val="18"/>
              </w:rPr>
              <w:t>personelle und fachliche Ressourcen</w:t>
            </w:r>
            <w:r w:rsidR="006E1207">
              <w:rPr>
                <w:rFonts w:cs="Arial"/>
                <w:i/>
                <w:iCs/>
                <w:sz w:val="18"/>
                <w:szCs w:val="18"/>
              </w:rPr>
              <w:t xml:space="preserve"> sowie IT-Systeme</w:t>
            </w:r>
            <w:r w:rsidRPr="00685831">
              <w:rPr>
                <w:rFonts w:cs="Arial"/>
                <w:i/>
                <w:iCs/>
                <w:sz w:val="18"/>
                <w:szCs w:val="18"/>
              </w:rPr>
              <w:t xml:space="preserve">) </w:t>
            </w:r>
            <w:r w:rsidR="000D5A91">
              <w:rPr>
                <w:rFonts w:cs="Arial"/>
                <w:i/>
                <w:iCs/>
                <w:sz w:val="18"/>
                <w:szCs w:val="18"/>
              </w:rPr>
              <w:t xml:space="preserve">stellt </w:t>
            </w:r>
            <w:r w:rsidR="00266A05">
              <w:rPr>
                <w:rFonts w:cs="Arial"/>
                <w:i/>
                <w:iCs/>
                <w:sz w:val="18"/>
                <w:szCs w:val="18"/>
              </w:rPr>
              <w:t xml:space="preserve">das dauernde Funktionieren eines angemessenen MIS </w:t>
            </w:r>
            <w:r w:rsidR="00AD3645">
              <w:rPr>
                <w:rFonts w:cs="Arial"/>
                <w:i/>
                <w:iCs/>
                <w:sz w:val="18"/>
                <w:szCs w:val="18"/>
              </w:rPr>
              <w:t xml:space="preserve">auch in Abwicklungszeiten </w:t>
            </w:r>
            <w:r w:rsidR="00266A05">
              <w:rPr>
                <w:rFonts w:cs="Arial"/>
                <w:i/>
                <w:iCs/>
                <w:sz w:val="18"/>
                <w:szCs w:val="18"/>
              </w:rPr>
              <w:t>sicher</w:t>
            </w:r>
          </w:p>
          <w:p w14:paraId="41614FE4" w14:textId="5CF08A87" w:rsidR="00827926" w:rsidRPr="00DA7E95" w:rsidRDefault="00786028" w:rsidP="000B44E4">
            <w:pPr>
              <w:pStyle w:val="Listenabsatz"/>
              <w:numPr>
                <w:ilvl w:val="1"/>
                <w:numId w:val="6"/>
              </w:numPr>
              <w:spacing w:line="259" w:lineRule="auto"/>
              <w:ind w:left="317" w:hanging="283"/>
              <w:jc w:val="both"/>
              <w:rPr>
                <w:rFonts w:cs="Arial"/>
                <w:i/>
                <w:iCs/>
                <w:sz w:val="18"/>
                <w:szCs w:val="18"/>
              </w:rPr>
            </w:pPr>
            <w:r>
              <w:rPr>
                <w:rFonts w:cs="Arial"/>
                <w:i/>
                <w:iCs/>
                <w:sz w:val="18"/>
                <w:szCs w:val="18"/>
              </w:rPr>
              <w:t xml:space="preserve">Es besteht eine angemessene </w:t>
            </w:r>
            <w:r w:rsidR="001E79F3">
              <w:rPr>
                <w:rFonts w:cs="Arial"/>
                <w:i/>
                <w:iCs/>
                <w:sz w:val="18"/>
                <w:szCs w:val="18"/>
              </w:rPr>
              <w:t>Dateninfrastruktur</w:t>
            </w:r>
            <w:r w:rsidR="004F333F">
              <w:rPr>
                <w:rFonts w:cs="Arial"/>
                <w:i/>
                <w:iCs/>
                <w:sz w:val="18"/>
                <w:szCs w:val="18"/>
              </w:rPr>
              <w:t xml:space="preserve">, </w:t>
            </w:r>
            <w:r>
              <w:rPr>
                <w:rFonts w:cs="Arial"/>
                <w:i/>
                <w:iCs/>
                <w:sz w:val="18"/>
                <w:szCs w:val="18"/>
              </w:rPr>
              <w:t xml:space="preserve">welche </w:t>
            </w:r>
            <w:r w:rsidR="004F333F">
              <w:rPr>
                <w:rFonts w:cs="Arial"/>
                <w:i/>
                <w:iCs/>
                <w:sz w:val="18"/>
                <w:szCs w:val="18"/>
              </w:rPr>
              <w:t xml:space="preserve">unter anderem </w:t>
            </w:r>
            <w:r w:rsidR="004D4AB5" w:rsidRPr="00DA7E95">
              <w:rPr>
                <w:rFonts w:cs="Arial"/>
                <w:i/>
                <w:iCs/>
                <w:sz w:val="18"/>
                <w:szCs w:val="18"/>
              </w:rPr>
              <w:t xml:space="preserve">Informationen über </w:t>
            </w:r>
            <w:r w:rsidR="00977D14" w:rsidRPr="008C2875">
              <w:rPr>
                <w:rFonts w:cs="Arial"/>
                <w:i/>
                <w:sz w:val="18"/>
                <w:szCs w:val="18"/>
              </w:rPr>
              <w:t xml:space="preserve">die betriebenen </w:t>
            </w:r>
            <w:r w:rsidR="00204033" w:rsidRPr="008C2875">
              <w:rPr>
                <w:rFonts w:cs="Arial"/>
                <w:i/>
                <w:iCs/>
                <w:sz w:val="18"/>
                <w:szCs w:val="18"/>
              </w:rPr>
              <w:t>Service-</w:t>
            </w:r>
            <w:r w:rsidR="00977D14" w:rsidRPr="008C2875">
              <w:rPr>
                <w:rFonts w:cs="Arial"/>
                <w:i/>
                <w:sz w:val="18"/>
                <w:szCs w:val="18"/>
              </w:rPr>
              <w:t>Dienstleistungen</w:t>
            </w:r>
            <w:r w:rsidR="00977D14">
              <w:rPr>
                <w:rFonts w:cs="Arial"/>
                <w:i/>
                <w:iCs/>
                <w:sz w:val="18"/>
                <w:szCs w:val="18"/>
              </w:rPr>
              <w:t xml:space="preserve">, </w:t>
            </w:r>
            <w:r w:rsidR="004D4AB5" w:rsidRPr="00DA7E95">
              <w:rPr>
                <w:rFonts w:cs="Arial"/>
                <w:i/>
                <w:iCs/>
                <w:sz w:val="18"/>
                <w:szCs w:val="18"/>
              </w:rPr>
              <w:t>das Eigentum an Vermögenswerten und Infrastruktur, die Preisgestaltung, vertragliche Rechte und Vereinbarungen sowie Auslagerungsvereinbarungen</w:t>
            </w:r>
            <w:r w:rsidR="004F333F">
              <w:rPr>
                <w:rFonts w:cs="Arial"/>
                <w:i/>
                <w:iCs/>
                <w:sz w:val="18"/>
                <w:szCs w:val="18"/>
              </w:rPr>
              <w:t xml:space="preserve"> enthält</w:t>
            </w:r>
            <w:r w:rsidR="00041637">
              <w:rPr>
                <w:rFonts w:cs="Arial"/>
                <w:i/>
                <w:iCs/>
                <w:sz w:val="18"/>
                <w:szCs w:val="18"/>
              </w:rPr>
              <w:t xml:space="preserve"> («Leistungskatalog»)</w:t>
            </w:r>
          </w:p>
        </w:tc>
      </w:tr>
      <w:tr w:rsidR="00E922A6" w:rsidRPr="00DA7E95" w14:paraId="291AD886" w14:textId="77777777" w:rsidTr="5BDDCDE6">
        <w:trPr>
          <w:trHeight w:val="300"/>
        </w:trPr>
        <w:tc>
          <w:tcPr>
            <w:tcW w:w="1980" w:type="dxa"/>
          </w:tcPr>
          <w:p w14:paraId="4945011B" w14:textId="617F4F20" w:rsidR="00E922A6" w:rsidRPr="00DA7E95" w:rsidRDefault="00266A05" w:rsidP="00387D17">
            <w:pPr>
              <w:spacing w:line="259" w:lineRule="auto"/>
              <w:jc w:val="both"/>
              <w:rPr>
                <w:rFonts w:ascii="Arial" w:hAnsi="Arial" w:cs="Arial"/>
                <w:i/>
                <w:iCs/>
                <w:sz w:val="18"/>
                <w:szCs w:val="18"/>
              </w:rPr>
            </w:pPr>
            <w:r>
              <w:rPr>
                <w:rFonts w:ascii="Arial" w:hAnsi="Arial" w:cs="Arial"/>
                <w:i/>
                <w:iCs/>
                <w:sz w:val="18"/>
                <w:szCs w:val="18"/>
              </w:rPr>
              <w:t xml:space="preserve">Interne Kontrollen </w:t>
            </w:r>
          </w:p>
        </w:tc>
        <w:tc>
          <w:tcPr>
            <w:tcW w:w="7371" w:type="dxa"/>
          </w:tcPr>
          <w:p w14:paraId="09220230" w14:textId="7818BD7B" w:rsidR="00230ECF" w:rsidRPr="00B3666B" w:rsidRDefault="00230ECF" w:rsidP="00C37D08">
            <w:pPr>
              <w:pStyle w:val="Listenabsatz"/>
              <w:numPr>
                <w:ilvl w:val="1"/>
                <w:numId w:val="10"/>
              </w:numPr>
              <w:spacing w:line="259" w:lineRule="auto"/>
              <w:ind w:left="317" w:hanging="283"/>
              <w:jc w:val="both"/>
              <w:rPr>
                <w:i/>
                <w:iCs/>
                <w:sz w:val="18"/>
                <w:szCs w:val="18"/>
              </w:rPr>
            </w:pPr>
            <w:r w:rsidRPr="00B3666B">
              <w:rPr>
                <w:i/>
                <w:iCs/>
                <w:sz w:val="18"/>
                <w:szCs w:val="18"/>
              </w:rPr>
              <w:t>Die IT-Systeme</w:t>
            </w:r>
            <w:r w:rsidR="00D674EC" w:rsidRPr="00B3666B">
              <w:rPr>
                <w:i/>
                <w:iCs/>
                <w:sz w:val="18"/>
                <w:szCs w:val="18"/>
              </w:rPr>
              <w:t xml:space="preserve"> </w:t>
            </w:r>
            <w:r w:rsidR="005F0165">
              <w:rPr>
                <w:i/>
                <w:iCs/>
                <w:sz w:val="18"/>
                <w:szCs w:val="18"/>
              </w:rPr>
              <w:t xml:space="preserve">ermöglichen eine </w:t>
            </w:r>
            <w:r w:rsidR="00CA4C0C">
              <w:rPr>
                <w:i/>
                <w:iCs/>
                <w:sz w:val="18"/>
                <w:szCs w:val="18"/>
              </w:rPr>
              <w:t>E</w:t>
            </w:r>
            <w:r w:rsidR="00146F26">
              <w:rPr>
                <w:i/>
                <w:iCs/>
                <w:sz w:val="18"/>
                <w:szCs w:val="18"/>
              </w:rPr>
              <w:t>xtraktion von</w:t>
            </w:r>
            <w:r w:rsidR="007D5A3F">
              <w:rPr>
                <w:i/>
                <w:iCs/>
                <w:sz w:val="18"/>
                <w:szCs w:val="18"/>
              </w:rPr>
              <w:t xml:space="preserve"> relevanten</w:t>
            </w:r>
            <w:r w:rsidR="00146F26">
              <w:rPr>
                <w:i/>
                <w:iCs/>
                <w:sz w:val="18"/>
                <w:szCs w:val="18"/>
              </w:rPr>
              <w:t xml:space="preserve"> Informationen</w:t>
            </w:r>
            <w:r w:rsidR="00D12C1B">
              <w:rPr>
                <w:i/>
                <w:iCs/>
                <w:sz w:val="18"/>
                <w:szCs w:val="18"/>
              </w:rPr>
              <w:t xml:space="preserve"> </w:t>
            </w:r>
            <w:r w:rsidR="00204033" w:rsidRPr="00124D1B">
              <w:rPr>
                <w:rFonts w:cs="Arial"/>
                <w:i/>
                <w:iCs/>
                <w:sz w:val="18"/>
                <w:szCs w:val="18"/>
              </w:rPr>
              <w:t>(inkl. Informationen über das Eigentum an Vermögenswerten und Infrastruktur, die Preisgestaltung, vertragliche Rechte und Vereinbarungen, sowie Auslagerungsvereinbarungen)</w:t>
            </w:r>
            <w:r w:rsidR="00124D1B" w:rsidRPr="00124D1B">
              <w:rPr>
                <w:rFonts w:cs="Arial"/>
                <w:i/>
                <w:iCs/>
                <w:sz w:val="18"/>
                <w:szCs w:val="18"/>
              </w:rPr>
              <w:t xml:space="preserve"> in angemessener Frist</w:t>
            </w:r>
            <w:r w:rsidR="00D12C1B">
              <w:rPr>
                <w:i/>
                <w:iCs/>
                <w:sz w:val="18"/>
                <w:szCs w:val="18"/>
              </w:rPr>
              <w:t xml:space="preserve"> </w:t>
            </w:r>
            <w:r w:rsidRPr="00B3666B">
              <w:rPr>
                <w:i/>
                <w:iCs/>
                <w:sz w:val="18"/>
                <w:szCs w:val="18"/>
              </w:rPr>
              <w:t xml:space="preserve"> </w:t>
            </w:r>
          </w:p>
          <w:p w14:paraId="1D3E886E" w14:textId="66A544E6" w:rsidR="00326731" w:rsidRDefault="00326731" w:rsidP="00C37D08">
            <w:pPr>
              <w:pStyle w:val="Listenabsatz"/>
              <w:numPr>
                <w:ilvl w:val="1"/>
                <w:numId w:val="6"/>
              </w:numPr>
              <w:spacing w:line="259" w:lineRule="auto"/>
              <w:ind w:left="317" w:hanging="283"/>
              <w:jc w:val="both"/>
              <w:rPr>
                <w:rFonts w:cs="Arial"/>
                <w:i/>
                <w:iCs/>
                <w:sz w:val="18"/>
                <w:szCs w:val="18"/>
              </w:rPr>
            </w:pPr>
            <w:r w:rsidRPr="00B3666B">
              <w:rPr>
                <w:rFonts w:cs="Arial"/>
                <w:i/>
                <w:iCs/>
                <w:sz w:val="18"/>
                <w:szCs w:val="18"/>
              </w:rPr>
              <w:t>Die internen Verfahren gewährleisten ein angemessenes Dokumentations- und Archivierungswesen</w:t>
            </w:r>
          </w:p>
          <w:p w14:paraId="77483B60" w14:textId="5081B3EA" w:rsidR="00BF5173" w:rsidRPr="009F1D61" w:rsidRDefault="00BF5173" w:rsidP="000B44E4">
            <w:pPr>
              <w:pStyle w:val="Listenabsatz"/>
              <w:numPr>
                <w:ilvl w:val="1"/>
                <w:numId w:val="6"/>
              </w:numPr>
              <w:spacing w:line="259" w:lineRule="auto"/>
              <w:ind w:left="317" w:hanging="283"/>
              <w:jc w:val="both"/>
              <w:rPr>
                <w:rFonts w:cs="Arial"/>
                <w:i/>
                <w:iCs/>
                <w:sz w:val="18"/>
                <w:szCs w:val="18"/>
              </w:rPr>
            </w:pPr>
            <w:r w:rsidRPr="00BF5173">
              <w:rPr>
                <w:rFonts w:cs="Arial"/>
                <w:i/>
                <w:iCs/>
                <w:sz w:val="18"/>
                <w:szCs w:val="18"/>
              </w:rPr>
              <w:t>Die internen Verfahren sehen die Anwendung des 4-Augen-Prinzips bzw. Funktionstrennung bei Schlüsselkontrollen vor</w:t>
            </w:r>
          </w:p>
        </w:tc>
      </w:tr>
    </w:tbl>
    <w:p w14:paraId="35136BB9" w14:textId="664D7FF3" w:rsidR="61EE8D92" w:rsidRDefault="61EE8D92" w:rsidP="61EE8D92">
      <w:pPr>
        <w:pStyle w:val="FINMAGliederungEbene2"/>
        <w:numPr>
          <w:ilvl w:val="1"/>
          <w:numId w:val="0"/>
        </w:numPr>
      </w:pPr>
    </w:p>
    <w:p w14:paraId="0EBB309A" w14:textId="4C4E916B" w:rsidR="009C13AD" w:rsidRDefault="007B201B" w:rsidP="00C37D08">
      <w:pPr>
        <w:pStyle w:val="FINMAGliederungEbene2"/>
      </w:pPr>
      <w:bookmarkStart w:id="30" w:name="_Toc147141454"/>
      <w:r>
        <w:t>Operative Kontinuität</w:t>
      </w:r>
      <w:bookmarkEnd w:id="30"/>
    </w:p>
    <w:p w14:paraId="409F0E54" w14:textId="77777777" w:rsidR="009C13AD" w:rsidRDefault="009C13AD" w:rsidP="009C13AD">
      <w:pPr>
        <w:pStyle w:val="FINMAGliederungEbene2"/>
        <w:numPr>
          <w:ilvl w:val="0"/>
          <w:numId w:val="0"/>
        </w:numPr>
        <w:ind w:left="576"/>
      </w:pPr>
    </w:p>
    <w:tbl>
      <w:tblPr>
        <w:tblStyle w:val="Tabellenraster"/>
        <w:tblpPr w:leftFromText="141" w:rightFromText="141" w:vertAnchor="text" w:tblpY="1"/>
        <w:tblOverlap w:val="never"/>
        <w:tblW w:w="0" w:type="auto"/>
        <w:tblLook w:val="04A0" w:firstRow="1" w:lastRow="0" w:firstColumn="1" w:lastColumn="0" w:noHBand="0" w:noVBand="1"/>
      </w:tblPr>
      <w:tblGrid>
        <w:gridCol w:w="417"/>
        <w:gridCol w:w="1653"/>
        <w:gridCol w:w="2145"/>
        <w:gridCol w:w="1721"/>
        <w:gridCol w:w="860"/>
        <w:gridCol w:w="2522"/>
      </w:tblGrid>
      <w:tr w:rsidR="009C13AD" w:rsidRPr="009872F3" w14:paraId="14F1B752" w14:textId="77777777" w:rsidTr="001F28F8">
        <w:trPr>
          <w:trHeight w:val="563"/>
        </w:trPr>
        <w:tc>
          <w:tcPr>
            <w:tcW w:w="2070" w:type="dxa"/>
            <w:gridSpan w:val="2"/>
            <w:shd w:val="clear" w:color="auto" w:fill="DBE5F1" w:themeFill="accent1" w:themeFillTint="33"/>
          </w:tcPr>
          <w:p w14:paraId="7D47FBA1" w14:textId="77777777" w:rsidR="009C13AD" w:rsidRPr="009872F3" w:rsidRDefault="009C13AD" w:rsidP="00592FF4">
            <w:pPr>
              <w:jc w:val="both"/>
              <w:rPr>
                <w:rFonts w:ascii="Arial" w:hAnsi="Arial" w:cs="Arial"/>
                <w:sz w:val="18"/>
                <w:szCs w:val="18"/>
              </w:rPr>
            </w:pPr>
            <w:r w:rsidRPr="009872F3">
              <w:rPr>
                <w:rFonts w:ascii="Arial" w:hAnsi="Arial" w:cs="Arial"/>
                <w:sz w:val="18"/>
                <w:szCs w:val="18"/>
              </w:rPr>
              <w:t>Nettorisiko</w:t>
            </w:r>
          </w:p>
        </w:tc>
        <w:tc>
          <w:tcPr>
            <w:tcW w:w="2145" w:type="dxa"/>
            <w:shd w:val="clear" w:color="auto" w:fill="DBE5F1" w:themeFill="accent1" w:themeFillTint="33"/>
          </w:tcPr>
          <w:p w14:paraId="4D8D5AEE" w14:textId="77777777" w:rsidR="009C13AD" w:rsidRPr="009872F3" w:rsidRDefault="009C13AD" w:rsidP="00592FF4">
            <w:pPr>
              <w:jc w:val="both"/>
              <w:rPr>
                <w:rFonts w:ascii="Arial" w:hAnsi="Arial" w:cs="Arial"/>
                <w:sz w:val="18"/>
                <w:szCs w:val="18"/>
              </w:rPr>
            </w:pPr>
            <w:r w:rsidRPr="009872F3">
              <w:rPr>
                <w:rFonts w:ascii="Arial" w:hAnsi="Arial" w:cs="Arial"/>
                <w:sz w:val="18"/>
                <w:szCs w:val="18"/>
              </w:rPr>
              <w:t>Intervention Berichtsjahr:</w:t>
            </w:r>
          </w:p>
        </w:tc>
        <w:tc>
          <w:tcPr>
            <w:tcW w:w="5103" w:type="dxa"/>
            <w:gridSpan w:val="3"/>
            <w:shd w:val="clear" w:color="auto" w:fill="DBE5F1" w:themeFill="accent1" w:themeFillTint="33"/>
          </w:tcPr>
          <w:p w14:paraId="42E637A6" w14:textId="77777777" w:rsidR="009C13AD" w:rsidRPr="009872F3" w:rsidRDefault="009C13AD" w:rsidP="00592FF4">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9C13AD" w:rsidRPr="009872F3" w14:paraId="242E8D57" w14:textId="77777777" w:rsidTr="001F28F8">
        <w:trPr>
          <w:trHeight w:val="698"/>
        </w:trPr>
        <w:tc>
          <w:tcPr>
            <w:tcW w:w="2070" w:type="dxa"/>
            <w:gridSpan w:val="2"/>
            <w:shd w:val="clear" w:color="auto" w:fill="DBE5F1" w:themeFill="accent1" w:themeFillTint="33"/>
          </w:tcPr>
          <w:p w14:paraId="18127A5E" w14:textId="77777777" w:rsidR="009C13AD" w:rsidRPr="006749F0" w:rsidRDefault="009C13AD" w:rsidP="00592FF4">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shd w:val="clear" w:color="auto" w:fill="DBE5F1" w:themeFill="accent1" w:themeFillTint="33"/>
          </w:tcPr>
          <w:p w14:paraId="17ED16C2" w14:textId="77777777" w:rsidR="009C13AD" w:rsidRPr="006749F0" w:rsidRDefault="009C13AD" w:rsidP="00592FF4">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shd w:val="clear" w:color="auto" w:fill="DBE5F1" w:themeFill="accent1" w:themeFillTint="33"/>
          </w:tcPr>
          <w:p w14:paraId="7D8EC333" w14:textId="77777777" w:rsidR="009C13AD" w:rsidRPr="009872F3" w:rsidRDefault="009C13AD" w:rsidP="00592FF4">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gridSpan w:val="2"/>
            <w:shd w:val="clear" w:color="auto" w:fill="DBE5F1" w:themeFill="accent1" w:themeFillTint="33"/>
          </w:tcPr>
          <w:p w14:paraId="68E37A9B" w14:textId="77777777" w:rsidR="009C13AD" w:rsidRDefault="009C13AD" w:rsidP="00592FF4">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9E3688B" w14:textId="77777777" w:rsidR="009C13AD" w:rsidRPr="006749F0" w:rsidRDefault="009C13AD" w:rsidP="00592FF4">
            <w:pPr>
              <w:jc w:val="both"/>
              <w:rPr>
                <w:rFonts w:ascii="Arial" w:hAnsi="Arial" w:cs="Arial"/>
                <w:i/>
                <w:sz w:val="18"/>
                <w:szCs w:val="18"/>
              </w:rPr>
            </w:pPr>
            <w:r w:rsidRPr="006749F0">
              <w:rPr>
                <w:rFonts w:ascii="Arial" w:hAnsi="Arial" w:cs="Arial"/>
                <w:i/>
                <w:sz w:val="18"/>
                <w:szCs w:val="18"/>
                <w:highlight w:val="yellow"/>
              </w:rPr>
              <w:t>Jahr</w:t>
            </w:r>
          </w:p>
        </w:tc>
      </w:tr>
      <w:tr w:rsidR="009C13AD" w:rsidRPr="009872F3" w14:paraId="133A4C2A" w14:textId="77777777" w:rsidTr="001F28F8">
        <w:trPr>
          <w:trHeight w:val="636"/>
        </w:trPr>
        <w:tc>
          <w:tcPr>
            <w:tcW w:w="9318" w:type="dxa"/>
            <w:gridSpan w:val="6"/>
            <w:shd w:val="clear" w:color="auto" w:fill="DBE5F1" w:themeFill="accent1" w:themeFillTint="33"/>
          </w:tcPr>
          <w:p w14:paraId="17BA0BFD" w14:textId="77777777" w:rsidR="00200C79" w:rsidRDefault="00614454" w:rsidP="000B44E4">
            <w:pPr>
              <w:jc w:val="both"/>
              <w:rPr>
                <w:rFonts w:ascii="Arial" w:hAnsi="Arial" w:cs="Arial"/>
                <w:i/>
                <w:sz w:val="18"/>
                <w:szCs w:val="18"/>
              </w:rPr>
            </w:pPr>
            <w:r w:rsidRPr="00DD758F">
              <w:rPr>
                <w:rFonts w:ascii="Arial" w:hAnsi="Arial" w:cs="Arial"/>
                <w:i/>
                <w:sz w:val="18"/>
                <w:szCs w:val="18"/>
              </w:rPr>
              <w:t>Referenzen (demonstrativ):</w:t>
            </w:r>
          </w:p>
          <w:p w14:paraId="4321ED11" w14:textId="095EDFBD" w:rsidR="00B615BC" w:rsidRPr="000B44E4" w:rsidRDefault="005B59C4" w:rsidP="00200C79">
            <w:pPr>
              <w:pStyle w:val="Listenabsatz"/>
              <w:numPr>
                <w:ilvl w:val="0"/>
                <w:numId w:val="9"/>
              </w:numPr>
              <w:ind w:left="308"/>
              <w:jc w:val="both"/>
              <w:rPr>
                <w:rFonts w:cs="Arial"/>
                <w:sz w:val="18"/>
                <w:szCs w:val="18"/>
              </w:rPr>
            </w:pPr>
            <w:r w:rsidRPr="000B44E4">
              <w:rPr>
                <w:rFonts w:cs="Arial"/>
                <w:sz w:val="18"/>
                <w:szCs w:val="18"/>
              </w:rPr>
              <w:t>Delegierte Verordnung (EU) 2016/778 in Bezug auf die Kriterien für die Bestimmung der Tätigkeiten, Dienstleistungen und Geschäfte im Zusammenhang mit „kritischen Funktionen“ und zur Präzisierung der Kriterien für die Bestimmung der Geschäftsbereiche und damit verbundenen Dienste im Zusammenhang mit den Kerngeschäftsbereichen</w:t>
            </w:r>
            <w:r w:rsidR="00467B85" w:rsidRPr="000B44E4">
              <w:rPr>
                <w:rFonts w:cs="Arial"/>
                <w:sz w:val="18"/>
                <w:szCs w:val="18"/>
              </w:rPr>
              <w:t xml:space="preserve"> </w:t>
            </w:r>
            <w:r w:rsidR="00B615BC" w:rsidRPr="000B44E4">
              <w:rPr>
                <w:rFonts w:cs="Arial"/>
                <w:sz w:val="18"/>
                <w:szCs w:val="18"/>
              </w:rPr>
              <w:t>Durchführungsverordnung (EU) 2018/1624</w:t>
            </w:r>
          </w:p>
          <w:p w14:paraId="0994E200" w14:textId="77777777" w:rsidR="00614454" w:rsidRPr="00997881" w:rsidRDefault="00614454" w:rsidP="00C37D08">
            <w:pPr>
              <w:pStyle w:val="Listenabsatz"/>
              <w:numPr>
                <w:ilvl w:val="0"/>
                <w:numId w:val="9"/>
              </w:numPr>
              <w:ind w:left="308"/>
              <w:jc w:val="both"/>
              <w:rPr>
                <w:rFonts w:cs="Arial"/>
                <w:sz w:val="18"/>
                <w:szCs w:val="18"/>
              </w:rPr>
            </w:pPr>
            <w:r w:rsidRPr="00997881">
              <w:rPr>
                <w:rFonts w:cs="Arial"/>
                <w:sz w:val="18"/>
                <w:szCs w:val="18"/>
              </w:rPr>
              <w:t>EBA Leitlinien zur Verbesserung der Abwicklungsfähigkeit für Institute und Abwicklungsbehörden</w:t>
            </w:r>
          </w:p>
          <w:p w14:paraId="59C56B91" w14:textId="77777777" w:rsidR="009C13AD" w:rsidRDefault="00614454" w:rsidP="00543B51">
            <w:pPr>
              <w:pStyle w:val="Listenabsatz"/>
              <w:ind w:left="308"/>
              <w:jc w:val="both"/>
              <w:rPr>
                <w:rFonts w:cs="Arial"/>
                <w:sz w:val="18"/>
                <w:szCs w:val="18"/>
              </w:rPr>
            </w:pPr>
            <w:r w:rsidRPr="00997881">
              <w:rPr>
                <w:rFonts w:cs="Arial"/>
                <w:sz w:val="18"/>
                <w:szCs w:val="18"/>
              </w:rPr>
              <w:t>(Resolvability Guidelines; EBA/GL/2022/01)</w:t>
            </w:r>
          </w:p>
          <w:p w14:paraId="3DD9D91D" w14:textId="77777777" w:rsidR="0003219D" w:rsidRPr="0003219D" w:rsidRDefault="0003219D" w:rsidP="00C37D08">
            <w:pPr>
              <w:pStyle w:val="Listenabsatz"/>
              <w:numPr>
                <w:ilvl w:val="0"/>
                <w:numId w:val="9"/>
              </w:numPr>
              <w:ind w:left="308"/>
              <w:jc w:val="both"/>
              <w:rPr>
                <w:rFonts w:cs="Arial"/>
                <w:sz w:val="18"/>
                <w:szCs w:val="18"/>
              </w:rPr>
            </w:pPr>
            <w:r w:rsidRPr="0003219D">
              <w:rPr>
                <w:rFonts w:cs="Arial"/>
                <w:sz w:val="18"/>
                <w:szCs w:val="18"/>
              </w:rPr>
              <w:t>EBA Leitlinien hinsichtlich der Mindestliste an Diensten und Einrichtungen, die ein übernehmender</w:t>
            </w:r>
          </w:p>
          <w:p w14:paraId="696B15D5" w14:textId="77777777" w:rsidR="0003219D" w:rsidRPr="0003219D" w:rsidRDefault="0003219D" w:rsidP="00543B51">
            <w:pPr>
              <w:pStyle w:val="Listenabsatz"/>
              <w:ind w:left="308"/>
              <w:jc w:val="both"/>
              <w:rPr>
                <w:rFonts w:cs="Arial"/>
                <w:sz w:val="18"/>
                <w:szCs w:val="18"/>
              </w:rPr>
            </w:pPr>
            <w:r w:rsidRPr="0003219D">
              <w:rPr>
                <w:rFonts w:cs="Arial"/>
                <w:sz w:val="18"/>
                <w:szCs w:val="18"/>
              </w:rPr>
              <w:t>Rechtsträger für den Betrieb des auf ihn übertragenen Geschäfts gemäß Artikel 65 Absatz 5 der</w:t>
            </w:r>
          </w:p>
          <w:p w14:paraId="79EA690C" w14:textId="77777777" w:rsidR="0003219D" w:rsidRDefault="0003219D" w:rsidP="00543B51">
            <w:pPr>
              <w:pStyle w:val="Listenabsatz"/>
              <w:ind w:left="308"/>
              <w:jc w:val="both"/>
              <w:rPr>
                <w:rFonts w:cs="Arial"/>
                <w:sz w:val="18"/>
                <w:szCs w:val="18"/>
              </w:rPr>
            </w:pPr>
            <w:r w:rsidRPr="0003219D">
              <w:rPr>
                <w:rFonts w:cs="Arial"/>
                <w:sz w:val="18"/>
                <w:szCs w:val="18"/>
              </w:rPr>
              <w:t>Richtlinie 2014/59/EU benötigt (EBA/GL/2015/06)</w:t>
            </w:r>
          </w:p>
          <w:p w14:paraId="21DF6BE1" w14:textId="714CB659" w:rsidR="00E75BEB" w:rsidRPr="0096765A" w:rsidRDefault="00E75BEB" w:rsidP="0096765A">
            <w:pPr>
              <w:pStyle w:val="Listenabsatz"/>
              <w:numPr>
                <w:ilvl w:val="0"/>
                <w:numId w:val="9"/>
              </w:numPr>
              <w:ind w:left="308"/>
              <w:jc w:val="both"/>
              <w:rPr>
                <w:rFonts w:cs="Arial"/>
                <w:sz w:val="18"/>
                <w:szCs w:val="18"/>
              </w:rPr>
            </w:pPr>
            <w:r w:rsidRPr="00997881">
              <w:rPr>
                <w:rFonts w:cs="Arial"/>
                <w:sz w:val="18"/>
                <w:szCs w:val="18"/>
              </w:rPr>
              <w:t>FMA-Mitteilung 2022/02 betreffend die Festlegung der Mindestanforderung an Eigenmittel und berücksichtigungsfähige Verbindlichkeiten und entsprechender Schnittstellen zur Abwicklungsplanung für Banken und Wertpapierfirmen («MREL-Policy»)</w:t>
            </w:r>
          </w:p>
        </w:tc>
      </w:tr>
      <w:tr w:rsidR="009C13AD" w:rsidRPr="009872F3" w14:paraId="1C932E38" w14:textId="77777777" w:rsidTr="001F28F8">
        <w:trPr>
          <w:trHeight w:val="294"/>
        </w:trPr>
        <w:tc>
          <w:tcPr>
            <w:tcW w:w="9318" w:type="dxa"/>
            <w:gridSpan w:val="6"/>
          </w:tcPr>
          <w:p w14:paraId="3E88AE4A" w14:textId="77777777" w:rsidR="009C13AD" w:rsidRPr="009872F3" w:rsidRDefault="009C13AD" w:rsidP="00592FF4">
            <w:pPr>
              <w:jc w:val="both"/>
              <w:rPr>
                <w:rFonts w:ascii="Arial" w:hAnsi="Arial" w:cs="Arial"/>
                <w:sz w:val="18"/>
                <w:szCs w:val="18"/>
              </w:rPr>
            </w:pPr>
          </w:p>
        </w:tc>
      </w:tr>
      <w:tr w:rsidR="00F53A6F" w:rsidRPr="009872F3" w14:paraId="1FFF00AB" w14:textId="77777777" w:rsidTr="0096765A">
        <w:trPr>
          <w:trHeight w:val="294"/>
        </w:trPr>
        <w:tc>
          <w:tcPr>
            <w:tcW w:w="417" w:type="dxa"/>
          </w:tcPr>
          <w:p w14:paraId="73F2F4C6" w14:textId="38E78D62" w:rsidR="00F53A6F" w:rsidRPr="009872F3" w:rsidRDefault="00F53A6F" w:rsidP="00592FF4">
            <w:pPr>
              <w:jc w:val="both"/>
              <w:rPr>
                <w:rFonts w:ascii="Arial" w:hAnsi="Arial" w:cs="Arial"/>
                <w:sz w:val="18"/>
                <w:szCs w:val="18"/>
              </w:rPr>
            </w:pPr>
            <w:r>
              <w:rPr>
                <w:rFonts w:ascii="Arial" w:hAnsi="Arial" w:cs="Arial"/>
                <w:sz w:val="18"/>
                <w:szCs w:val="18"/>
              </w:rPr>
              <w:t>1</w:t>
            </w:r>
          </w:p>
        </w:tc>
        <w:tc>
          <w:tcPr>
            <w:tcW w:w="6379" w:type="dxa"/>
            <w:gridSpan w:val="4"/>
          </w:tcPr>
          <w:p w14:paraId="4AA53528" w14:textId="7257D16E" w:rsidR="00F53A6F" w:rsidRPr="009872F3" w:rsidRDefault="00F53A6F" w:rsidP="00592FF4">
            <w:pPr>
              <w:jc w:val="both"/>
              <w:rPr>
                <w:rFonts w:ascii="Arial" w:hAnsi="Arial" w:cs="Arial"/>
                <w:sz w:val="18"/>
                <w:szCs w:val="18"/>
              </w:rPr>
            </w:pPr>
            <w:r w:rsidRPr="00CB06D0">
              <w:rPr>
                <w:rFonts w:ascii="Arial" w:hAnsi="Arial" w:cs="Arial"/>
                <w:sz w:val="18"/>
                <w:szCs w:val="18"/>
              </w:rPr>
              <w:t xml:space="preserve">Bestätigung, dass interne Verfahren </w:t>
            </w:r>
            <w:r>
              <w:rPr>
                <w:rFonts w:ascii="Arial" w:hAnsi="Arial" w:cs="Arial"/>
                <w:sz w:val="18"/>
                <w:szCs w:val="18"/>
              </w:rPr>
              <w:t>die Aufrechterhaltung kritischer Funktionen vor</w:t>
            </w:r>
            <w:r w:rsidR="00622C55">
              <w:rPr>
                <w:rFonts w:ascii="Arial" w:hAnsi="Arial" w:cs="Arial"/>
                <w:sz w:val="18"/>
                <w:szCs w:val="18"/>
              </w:rPr>
              <w:t xml:space="preserve"> und</w:t>
            </w:r>
            <w:r>
              <w:rPr>
                <w:rFonts w:ascii="Arial" w:hAnsi="Arial" w:cs="Arial"/>
                <w:sz w:val="18"/>
                <w:szCs w:val="18"/>
              </w:rPr>
              <w:t xml:space="preserve"> während einer Abwicklung</w:t>
            </w:r>
            <w:r w:rsidR="00622C55">
              <w:rPr>
                <w:rFonts w:ascii="Arial" w:hAnsi="Arial" w:cs="Arial"/>
                <w:sz w:val="18"/>
                <w:szCs w:val="18"/>
              </w:rPr>
              <w:t xml:space="preserve"> ermöglichen und dass diese </w:t>
            </w:r>
            <w:r w:rsidR="007253AD">
              <w:rPr>
                <w:rFonts w:ascii="Arial" w:hAnsi="Arial" w:cs="Arial"/>
                <w:sz w:val="18"/>
                <w:szCs w:val="18"/>
              </w:rPr>
              <w:t>kohärent und/oder komplementär zur Business-Continuity-Management (BCM)</w:t>
            </w:r>
            <w:r w:rsidR="00A44937">
              <w:rPr>
                <w:rFonts w:ascii="Arial" w:hAnsi="Arial" w:cs="Arial"/>
                <w:sz w:val="18"/>
                <w:szCs w:val="18"/>
              </w:rPr>
              <w:t xml:space="preserve"> ausgestaltet sind (EBA/GL/2022/01</w:t>
            </w:r>
            <w:r w:rsidR="009851BA">
              <w:rPr>
                <w:rFonts w:ascii="Arial" w:hAnsi="Arial" w:cs="Arial"/>
                <w:sz w:val="18"/>
                <w:szCs w:val="18"/>
              </w:rPr>
              <w:t>, 4.1.1</w:t>
            </w:r>
            <w:r w:rsidR="00A44937">
              <w:rPr>
                <w:rFonts w:ascii="Arial" w:hAnsi="Arial" w:cs="Arial"/>
                <w:sz w:val="18"/>
                <w:szCs w:val="18"/>
              </w:rPr>
              <w:t>).</w:t>
            </w:r>
          </w:p>
        </w:tc>
        <w:tc>
          <w:tcPr>
            <w:tcW w:w="2522" w:type="dxa"/>
          </w:tcPr>
          <w:p w14:paraId="797887CF" w14:textId="6451E0F9" w:rsidR="00F53A6F" w:rsidRPr="009872F3" w:rsidRDefault="00F53A6F" w:rsidP="00592FF4">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615BC" w:rsidRPr="009872F3" w14:paraId="17E18CD2" w14:textId="0FCEB927" w:rsidTr="001F28F8">
        <w:trPr>
          <w:trHeight w:val="294"/>
        </w:trPr>
        <w:tc>
          <w:tcPr>
            <w:tcW w:w="417" w:type="dxa"/>
          </w:tcPr>
          <w:p w14:paraId="1E8AB3BC" w14:textId="066D8C0B" w:rsidR="00B615BC" w:rsidRDefault="00B615BC" w:rsidP="00592FF4">
            <w:pPr>
              <w:jc w:val="both"/>
              <w:rPr>
                <w:rFonts w:ascii="Arial" w:hAnsi="Arial" w:cs="Arial"/>
                <w:sz w:val="18"/>
                <w:szCs w:val="18"/>
              </w:rPr>
            </w:pPr>
            <w:r>
              <w:rPr>
                <w:rFonts w:ascii="Arial" w:hAnsi="Arial" w:cs="Arial"/>
                <w:sz w:val="18"/>
                <w:szCs w:val="18"/>
              </w:rPr>
              <w:t>2</w:t>
            </w:r>
          </w:p>
        </w:tc>
        <w:tc>
          <w:tcPr>
            <w:tcW w:w="6379" w:type="dxa"/>
            <w:gridSpan w:val="4"/>
          </w:tcPr>
          <w:p w14:paraId="4A1E0498" w14:textId="6A20D319" w:rsidR="00B615BC" w:rsidRPr="00CB06D0" w:rsidRDefault="00B615BC" w:rsidP="00592FF4">
            <w:pPr>
              <w:jc w:val="both"/>
              <w:rPr>
                <w:rFonts w:ascii="Arial" w:hAnsi="Arial" w:cs="Arial"/>
                <w:sz w:val="18"/>
                <w:szCs w:val="18"/>
              </w:rPr>
            </w:pPr>
            <w:r w:rsidRPr="00CB06D0">
              <w:rPr>
                <w:rFonts w:ascii="Arial" w:hAnsi="Arial" w:cs="Arial"/>
                <w:sz w:val="18"/>
                <w:szCs w:val="18"/>
              </w:rPr>
              <w:t xml:space="preserve">Bestätigung, dass die internen Verfahren </w:t>
            </w:r>
            <w:r>
              <w:rPr>
                <w:rFonts w:ascii="Arial" w:hAnsi="Arial" w:cs="Arial"/>
                <w:sz w:val="18"/>
                <w:szCs w:val="18"/>
              </w:rPr>
              <w:t xml:space="preserve">eine korrekte </w:t>
            </w:r>
            <w:r w:rsidRPr="00B615BC">
              <w:rPr>
                <w:rFonts w:ascii="Arial" w:hAnsi="Arial" w:cs="Arial"/>
                <w:sz w:val="18"/>
                <w:szCs w:val="18"/>
              </w:rPr>
              <w:t>Zuordnung von Kerngeschäftsbereichen und kritischen Funktionen</w:t>
            </w:r>
            <w:r>
              <w:rPr>
                <w:rFonts w:ascii="Arial" w:hAnsi="Arial" w:cs="Arial"/>
                <w:sz w:val="18"/>
                <w:szCs w:val="18"/>
              </w:rPr>
              <w:t xml:space="preserve"> gemäss der </w:t>
            </w:r>
            <w:r w:rsidRPr="00B615BC">
              <w:rPr>
                <w:rFonts w:ascii="Arial" w:hAnsi="Arial" w:cs="Arial"/>
                <w:sz w:val="18"/>
                <w:szCs w:val="18"/>
              </w:rPr>
              <w:t>Durchführungsverordnung (EU) 2018/1624</w:t>
            </w:r>
            <w:r>
              <w:rPr>
                <w:rFonts w:ascii="Arial" w:hAnsi="Arial" w:cs="Arial"/>
                <w:sz w:val="18"/>
                <w:szCs w:val="18"/>
              </w:rPr>
              <w:t xml:space="preserve"> </w:t>
            </w:r>
            <w:proofErr w:type="spellStart"/>
            <w:r w:rsidR="001A42C4">
              <w:rPr>
                <w:rFonts w:ascii="Arial" w:hAnsi="Arial" w:cs="Arial"/>
                <w:sz w:val="18"/>
                <w:szCs w:val="18"/>
              </w:rPr>
              <w:t>i.V.m</w:t>
            </w:r>
            <w:proofErr w:type="spellEnd"/>
            <w:r w:rsidR="001A42C4">
              <w:rPr>
                <w:rFonts w:ascii="Arial" w:hAnsi="Arial" w:cs="Arial"/>
                <w:sz w:val="18"/>
                <w:szCs w:val="18"/>
              </w:rPr>
              <w:t>. SAG Anhang 2 und 3</w:t>
            </w:r>
            <w:r w:rsidR="00347D74">
              <w:rPr>
                <w:rFonts w:ascii="Arial" w:hAnsi="Arial" w:cs="Arial"/>
                <w:sz w:val="18"/>
                <w:szCs w:val="18"/>
              </w:rPr>
              <w:t xml:space="preserve"> </w:t>
            </w:r>
            <w:r w:rsidR="4139E272" w:rsidRPr="4A737A38">
              <w:rPr>
                <w:rFonts w:ascii="Arial" w:hAnsi="Arial" w:cs="Arial"/>
                <w:sz w:val="18"/>
                <w:szCs w:val="18"/>
              </w:rPr>
              <w:t>ermöglichen</w:t>
            </w:r>
            <w:r w:rsidR="00347D74">
              <w:rPr>
                <w:rFonts w:ascii="Arial" w:hAnsi="Arial" w:cs="Arial"/>
                <w:sz w:val="18"/>
                <w:szCs w:val="18"/>
              </w:rPr>
              <w:t>.</w:t>
            </w:r>
          </w:p>
        </w:tc>
        <w:tc>
          <w:tcPr>
            <w:tcW w:w="2522" w:type="dxa"/>
          </w:tcPr>
          <w:p w14:paraId="7CA31820" w14:textId="46DFB926" w:rsidR="00B615BC" w:rsidRPr="00E109DF" w:rsidRDefault="00B615BC" w:rsidP="00592FF4">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C39CF" w:rsidRPr="009872F3" w14:paraId="45C66B1D" w14:textId="77777777" w:rsidTr="001F28F8">
        <w:trPr>
          <w:trHeight w:val="294"/>
        </w:trPr>
        <w:tc>
          <w:tcPr>
            <w:tcW w:w="417" w:type="dxa"/>
          </w:tcPr>
          <w:p w14:paraId="234ED1E0" w14:textId="5C01FB09" w:rsidR="000C39CF" w:rsidRPr="000C39CF" w:rsidRDefault="00B615BC" w:rsidP="000C39CF">
            <w:pPr>
              <w:jc w:val="both"/>
              <w:rPr>
                <w:rFonts w:ascii="Arial" w:hAnsi="Arial" w:cs="Arial"/>
                <w:sz w:val="18"/>
                <w:szCs w:val="18"/>
              </w:rPr>
            </w:pPr>
            <w:r>
              <w:rPr>
                <w:rFonts w:ascii="Arial" w:hAnsi="Arial" w:cs="Arial"/>
                <w:sz w:val="18"/>
                <w:szCs w:val="18"/>
              </w:rPr>
              <w:t>3</w:t>
            </w:r>
          </w:p>
        </w:tc>
        <w:tc>
          <w:tcPr>
            <w:tcW w:w="6379" w:type="dxa"/>
            <w:gridSpan w:val="4"/>
          </w:tcPr>
          <w:p w14:paraId="21D647BB" w14:textId="2E0A6F75" w:rsidR="000C39CF" w:rsidRPr="000C39CF" w:rsidRDefault="000C39CF" w:rsidP="000C39CF">
            <w:pPr>
              <w:jc w:val="both"/>
              <w:rPr>
                <w:rFonts w:ascii="Arial" w:hAnsi="Arial" w:cs="Arial"/>
                <w:sz w:val="18"/>
                <w:szCs w:val="18"/>
              </w:rPr>
            </w:pPr>
            <w:r w:rsidRPr="000C39CF">
              <w:rPr>
                <w:rFonts w:ascii="Arial" w:hAnsi="Arial" w:cs="Arial"/>
                <w:sz w:val="18"/>
                <w:szCs w:val="18"/>
              </w:rPr>
              <w:t xml:space="preserve">Bestätigung, dass interne Verfahren </w:t>
            </w:r>
            <w:r w:rsidR="00647902">
              <w:rPr>
                <w:rFonts w:ascii="Arial" w:hAnsi="Arial" w:cs="Arial"/>
                <w:sz w:val="18"/>
                <w:szCs w:val="18"/>
              </w:rPr>
              <w:t>die Aufrechterhaltung</w:t>
            </w:r>
            <w:r w:rsidR="00F33368">
              <w:rPr>
                <w:rFonts w:ascii="Arial" w:hAnsi="Arial" w:cs="Arial"/>
                <w:sz w:val="18"/>
                <w:szCs w:val="18"/>
              </w:rPr>
              <w:t xml:space="preserve"> </w:t>
            </w:r>
            <w:r w:rsidRPr="000C39CF">
              <w:rPr>
                <w:rFonts w:ascii="Arial" w:hAnsi="Arial" w:cs="Arial"/>
                <w:sz w:val="18"/>
                <w:szCs w:val="18"/>
              </w:rPr>
              <w:t>eine</w:t>
            </w:r>
            <w:r w:rsidR="00F33368">
              <w:rPr>
                <w:rFonts w:ascii="Arial" w:hAnsi="Arial" w:cs="Arial"/>
                <w:sz w:val="18"/>
                <w:szCs w:val="18"/>
              </w:rPr>
              <w:t>r</w:t>
            </w:r>
            <w:r w:rsidRPr="000C39CF">
              <w:rPr>
                <w:rFonts w:ascii="Arial" w:hAnsi="Arial" w:cs="Arial"/>
                <w:sz w:val="18"/>
                <w:szCs w:val="18"/>
              </w:rPr>
              <w:t xml:space="preserve"> angemessene</w:t>
            </w:r>
            <w:r w:rsidR="00F33368">
              <w:rPr>
                <w:rFonts w:ascii="Arial" w:hAnsi="Arial" w:cs="Arial"/>
                <w:sz w:val="18"/>
                <w:szCs w:val="18"/>
              </w:rPr>
              <w:t>n</w:t>
            </w:r>
            <w:r w:rsidRPr="000C39CF">
              <w:rPr>
                <w:rFonts w:ascii="Arial" w:hAnsi="Arial" w:cs="Arial"/>
                <w:sz w:val="18"/>
                <w:szCs w:val="18"/>
              </w:rPr>
              <w:t xml:space="preserve"> Personalausstattung im Abwicklungsfall sowie </w:t>
            </w:r>
            <w:r w:rsidR="00F33368">
              <w:rPr>
                <w:rFonts w:ascii="Arial" w:hAnsi="Arial" w:cs="Arial"/>
                <w:sz w:val="18"/>
                <w:szCs w:val="18"/>
              </w:rPr>
              <w:t>zum</w:t>
            </w:r>
            <w:r w:rsidR="00F33368" w:rsidRPr="000C39CF">
              <w:rPr>
                <w:rFonts w:ascii="Arial" w:hAnsi="Arial" w:cs="Arial"/>
                <w:sz w:val="18"/>
                <w:szCs w:val="18"/>
              </w:rPr>
              <w:t xml:space="preserve"> </w:t>
            </w:r>
            <w:r w:rsidRPr="000C39CF">
              <w:rPr>
                <w:rFonts w:ascii="Arial" w:hAnsi="Arial" w:cs="Arial"/>
                <w:sz w:val="18"/>
                <w:szCs w:val="18"/>
              </w:rPr>
              <w:t xml:space="preserve">jederzeitigen Zugang zu betriebsnotwendigen </w:t>
            </w:r>
            <w:r w:rsidR="00E25960">
              <w:rPr>
                <w:rFonts w:ascii="Arial" w:hAnsi="Arial" w:cs="Arial"/>
                <w:sz w:val="18"/>
                <w:szCs w:val="18"/>
              </w:rPr>
              <w:t xml:space="preserve">Vermögenswerten und </w:t>
            </w:r>
            <w:r w:rsidRPr="000C39CF">
              <w:rPr>
                <w:rFonts w:ascii="Arial" w:hAnsi="Arial" w:cs="Arial"/>
                <w:sz w:val="18"/>
                <w:szCs w:val="18"/>
              </w:rPr>
              <w:t xml:space="preserve">Ressourcen («operational </w:t>
            </w:r>
            <w:proofErr w:type="spellStart"/>
            <w:r w:rsidRPr="000C39CF">
              <w:rPr>
                <w:rFonts w:ascii="Arial" w:hAnsi="Arial" w:cs="Arial"/>
                <w:sz w:val="18"/>
                <w:szCs w:val="18"/>
              </w:rPr>
              <w:t>assets</w:t>
            </w:r>
            <w:proofErr w:type="spellEnd"/>
            <w:r w:rsidRPr="000C39CF">
              <w:rPr>
                <w:rFonts w:ascii="Arial" w:hAnsi="Arial" w:cs="Arial"/>
                <w:sz w:val="18"/>
                <w:szCs w:val="18"/>
              </w:rPr>
              <w:t xml:space="preserve">» wie z.B. Immobilien, Markenrechte, Patente IT-Systeme und -Anwendungen, Software Datenbanken) </w:t>
            </w:r>
            <w:r w:rsidR="00F33368">
              <w:rPr>
                <w:rFonts w:ascii="Arial" w:hAnsi="Arial" w:cs="Arial"/>
                <w:sz w:val="18"/>
                <w:szCs w:val="18"/>
              </w:rPr>
              <w:t>ermöglichen</w:t>
            </w:r>
            <w:r w:rsidRPr="000C39CF">
              <w:rPr>
                <w:rFonts w:ascii="Arial" w:hAnsi="Arial" w:cs="Arial"/>
                <w:sz w:val="18"/>
                <w:szCs w:val="18"/>
              </w:rPr>
              <w:t>.</w:t>
            </w:r>
          </w:p>
        </w:tc>
        <w:tc>
          <w:tcPr>
            <w:tcW w:w="2522" w:type="dxa"/>
          </w:tcPr>
          <w:p w14:paraId="348AA41B" w14:textId="59E156F1" w:rsidR="000C39CF" w:rsidRPr="00E109DF" w:rsidRDefault="000C39CF" w:rsidP="000C39CF">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C39CF" w:rsidRPr="009872F3" w14:paraId="33936041" w14:textId="77777777" w:rsidTr="001F28F8">
        <w:trPr>
          <w:trHeight w:val="294"/>
        </w:trPr>
        <w:tc>
          <w:tcPr>
            <w:tcW w:w="417" w:type="dxa"/>
          </w:tcPr>
          <w:p w14:paraId="6FAC1628" w14:textId="61315186" w:rsidR="000C39CF" w:rsidRPr="009872F3" w:rsidRDefault="00B615BC" w:rsidP="000C39CF">
            <w:pPr>
              <w:jc w:val="both"/>
              <w:rPr>
                <w:rFonts w:ascii="Arial" w:hAnsi="Arial" w:cs="Arial"/>
                <w:sz w:val="18"/>
                <w:szCs w:val="18"/>
              </w:rPr>
            </w:pPr>
            <w:r>
              <w:rPr>
                <w:rFonts w:ascii="Arial" w:hAnsi="Arial" w:cs="Arial"/>
                <w:sz w:val="18"/>
                <w:szCs w:val="18"/>
              </w:rPr>
              <w:t>4</w:t>
            </w:r>
          </w:p>
        </w:tc>
        <w:tc>
          <w:tcPr>
            <w:tcW w:w="6379" w:type="dxa"/>
            <w:gridSpan w:val="4"/>
          </w:tcPr>
          <w:p w14:paraId="37DAEF19" w14:textId="6960D195" w:rsidR="000C39CF" w:rsidRPr="00CB06D0" w:rsidRDefault="000C39CF" w:rsidP="000C39CF">
            <w:pPr>
              <w:jc w:val="both"/>
              <w:rPr>
                <w:rFonts w:ascii="Arial" w:hAnsi="Arial" w:cs="Arial"/>
                <w:sz w:val="18"/>
                <w:szCs w:val="18"/>
              </w:rPr>
            </w:pPr>
            <w:r w:rsidRPr="00CB06D0">
              <w:rPr>
                <w:rFonts w:ascii="Arial" w:hAnsi="Arial" w:cs="Arial"/>
                <w:sz w:val="18"/>
                <w:szCs w:val="18"/>
              </w:rPr>
              <w:t xml:space="preserve">Bestätigung, dass interne Verfahren </w:t>
            </w:r>
            <w:r>
              <w:rPr>
                <w:rFonts w:ascii="Arial" w:hAnsi="Arial" w:cs="Arial"/>
                <w:sz w:val="18"/>
                <w:szCs w:val="18"/>
              </w:rPr>
              <w:t xml:space="preserve">eine angemessene Bewertung von Dienstleitungsverträgen (z.B. Service Level Agreements) in Hinblick auf ihre Liquidations- und </w:t>
            </w:r>
            <w:proofErr w:type="spellStart"/>
            <w:r w:rsidRPr="007076C2">
              <w:rPr>
                <w:rFonts w:ascii="Arial" w:hAnsi="Arial" w:cs="Arial"/>
                <w:sz w:val="18"/>
                <w:szCs w:val="18"/>
              </w:rPr>
              <w:t>Abwicklungsresilien</w:t>
            </w:r>
            <w:r>
              <w:rPr>
                <w:rFonts w:ascii="Arial" w:hAnsi="Arial" w:cs="Arial"/>
                <w:sz w:val="18"/>
                <w:szCs w:val="18"/>
              </w:rPr>
              <w:t>z</w:t>
            </w:r>
            <w:proofErr w:type="spellEnd"/>
            <w:r>
              <w:rPr>
                <w:rFonts w:ascii="Arial" w:hAnsi="Arial" w:cs="Arial"/>
                <w:sz w:val="18"/>
                <w:szCs w:val="18"/>
              </w:rPr>
              <w:t xml:space="preserve"> («BRRD-robust») </w:t>
            </w:r>
            <w:r w:rsidR="00115361">
              <w:rPr>
                <w:rFonts w:ascii="Arial" w:hAnsi="Arial" w:cs="Arial"/>
                <w:sz w:val="18"/>
                <w:szCs w:val="18"/>
              </w:rPr>
              <w:t>ermöglichen</w:t>
            </w:r>
            <w:r w:rsidR="00D72677">
              <w:rPr>
                <w:rFonts w:ascii="Arial" w:hAnsi="Arial" w:cs="Arial"/>
                <w:sz w:val="18"/>
                <w:szCs w:val="18"/>
              </w:rPr>
              <w:t xml:space="preserve"> (EBA/GL/2022/01</w:t>
            </w:r>
            <w:r w:rsidR="001B301C">
              <w:rPr>
                <w:rFonts w:ascii="Arial" w:hAnsi="Arial" w:cs="Arial"/>
                <w:sz w:val="18"/>
                <w:szCs w:val="18"/>
              </w:rPr>
              <w:t xml:space="preserve">, </w:t>
            </w:r>
            <w:proofErr w:type="spellStart"/>
            <w:r w:rsidR="001B301C">
              <w:rPr>
                <w:rFonts w:ascii="Arial" w:hAnsi="Arial" w:cs="Arial"/>
                <w:sz w:val="18"/>
                <w:szCs w:val="18"/>
              </w:rPr>
              <w:t>Rn</w:t>
            </w:r>
            <w:proofErr w:type="spellEnd"/>
            <w:r w:rsidR="001B301C">
              <w:rPr>
                <w:rFonts w:ascii="Arial" w:hAnsi="Arial" w:cs="Arial"/>
                <w:sz w:val="18"/>
                <w:szCs w:val="18"/>
              </w:rPr>
              <w:t xml:space="preserve"> 17 ff</w:t>
            </w:r>
            <w:r w:rsidR="00D72677">
              <w:rPr>
                <w:rFonts w:ascii="Arial" w:hAnsi="Arial" w:cs="Arial"/>
                <w:sz w:val="18"/>
                <w:szCs w:val="18"/>
              </w:rPr>
              <w:t>)</w:t>
            </w:r>
            <w:r w:rsidR="00115361">
              <w:rPr>
                <w:rFonts w:ascii="Arial" w:hAnsi="Arial" w:cs="Arial"/>
                <w:sz w:val="18"/>
                <w:szCs w:val="18"/>
              </w:rPr>
              <w:t>.</w:t>
            </w:r>
          </w:p>
        </w:tc>
        <w:tc>
          <w:tcPr>
            <w:tcW w:w="2522" w:type="dxa"/>
          </w:tcPr>
          <w:p w14:paraId="65136194" w14:textId="200C1A2F" w:rsidR="000C39CF" w:rsidRPr="00E109DF" w:rsidRDefault="000C39CF" w:rsidP="000C39CF">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C39CF" w:rsidRPr="009872F3" w14:paraId="07CD0891" w14:textId="77777777" w:rsidTr="0096765A">
        <w:trPr>
          <w:trHeight w:val="294"/>
        </w:trPr>
        <w:tc>
          <w:tcPr>
            <w:tcW w:w="417" w:type="dxa"/>
          </w:tcPr>
          <w:p w14:paraId="46719E76" w14:textId="42553C50" w:rsidR="000C39CF" w:rsidRPr="009872F3" w:rsidRDefault="00201E84" w:rsidP="000C39CF">
            <w:pPr>
              <w:jc w:val="both"/>
              <w:rPr>
                <w:rFonts w:ascii="Arial" w:hAnsi="Arial" w:cs="Arial"/>
                <w:sz w:val="18"/>
                <w:szCs w:val="18"/>
              </w:rPr>
            </w:pPr>
            <w:r>
              <w:rPr>
                <w:rFonts w:ascii="Arial" w:hAnsi="Arial" w:cs="Arial"/>
                <w:sz w:val="18"/>
                <w:szCs w:val="18"/>
              </w:rPr>
              <w:t>5</w:t>
            </w:r>
          </w:p>
        </w:tc>
        <w:tc>
          <w:tcPr>
            <w:tcW w:w="6379" w:type="dxa"/>
            <w:gridSpan w:val="4"/>
          </w:tcPr>
          <w:p w14:paraId="0FD8E618" w14:textId="360B2E2B" w:rsidR="000C39CF" w:rsidRPr="00CB06D0" w:rsidRDefault="000C39CF" w:rsidP="000C39CF">
            <w:pPr>
              <w:jc w:val="both"/>
              <w:rPr>
                <w:rFonts w:ascii="Arial" w:hAnsi="Arial" w:cs="Arial"/>
                <w:sz w:val="18"/>
                <w:szCs w:val="18"/>
              </w:rPr>
            </w:pPr>
            <w:r>
              <w:rPr>
                <w:rFonts w:ascii="Arial" w:hAnsi="Arial" w:cs="Arial"/>
                <w:sz w:val="18"/>
                <w:szCs w:val="18"/>
              </w:rPr>
              <w:t xml:space="preserve">Bestätigung, dass </w:t>
            </w:r>
            <w:r w:rsidRPr="006E3054">
              <w:rPr>
                <w:rFonts w:ascii="Arial" w:hAnsi="Arial" w:cs="Arial"/>
                <w:sz w:val="18"/>
                <w:szCs w:val="18"/>
              </w:rPr>
              <w:t xml:space="preserve">interne Verfahren die gruppeninterne Bereitstellung von Diensten und Einrichtungen gemäss Art. 84 SAG </w:t>
            </w:r>
            <w:r>
              <w:rPr>
                <w:rFonts w:ascii="Arial" w:hAnsi="Arial" w:cs="Arial"/>
                <w:sz w:val="18"/>
                <w:szCs w:val="18"/>
              </w:rPr>
              <w:t xml:space="preserve">sowohl aktiv </w:t>
            </w:r>
            <w:r>
              <w:rPr>
                <w:rFonts w:ascii="Arial" w:hAnsi="Arial" w:cs="Arial"/>
                <w:sz w:val="18"/>
                <w:szCs w:val="18"/>
              </w:rPr>
              <w:lastRenderedPageBreak/>
              <w:t xml:space="preserve">(Abwicklungseinheit als Dienstleister) als auch passiv (Abwicklungseinheit als Dienstleistungsnehmer) </w:t>
            </w:r>
            <w:r w:rsidR="000C68AF">
              <w:rPr>
                <w:rFonts w:ascii="Arial" w:hAnsi="Arial" w:cs="Arial"/>
                <w:sz w:val="18"/>
                <w:szCs w:val="18"/>
              </w:rPr>
              <w:t>ermöglichen</w:t>
            </w:r>
            <w:r w:rsidRPr="006E3054">
              <w:rPr>
                <w:rFonts w:ascii="Arial" w:hAnsi="Arial" w:cs="Arial"/>
                <w:sz w:val="18"/>
                <w:szCs w:val="18"/>
              </w:rPr>
              <w:t>.</w:t>
            </w:r>
          </w:p>
        </w:tc>
        <w:tc>
          <w:tcPr>
            <w:tcW w:w="2522" w:type="dxa"/>
          </w:tcPr>
          <w:p w14:paraId="0EFFD64D" w14:textId="03164812" w:rsidR="000C39CF" w:rsidRPr="00E109DF" w:rsidRDefault="000C39CF" w:rsidP="000C39CF">
            <w:pPr>
              <w:jc w:val="both"/>
              <w:rPr>
                <w:rFonts w:ascii="Arial" w:hAnsi="Arial" w:cs="Arial"/>
                <w:i/>
                <w:sz w:val="18"/>
                <w:szCs w:val="18"/>
                <w:highlight w:val="yellow"/>
              </w:rPr>
            </w:pPr>
            <w:r w:rsidRPr="00E109DF">
              <w:rPr>
                <w:rFonts w:ascii="Arial" w:hAnsi="Arial" w:cs="Arial"/>
                <w:i/>
                <w:sz w:val="18"/>
                <w:szCs w:val="18"/>
                <w:highlight w:val="yellow"/>
              </w:rPr>
              <w:lastRenderedPageBreak/>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4285581" w14:textId="40C0390D" w:rsidR="4A737A38" w:rsidRDefault="4A737A38" w:rsidP="4A737A38">
      <w:pPr>
        <w:pStyle w:val="FINMAGliederungEbene1"/>
        <w:numPr>
          <w:ilvl w:val="0"/>
          <w:numId w:val="0"/>
        </w:numPr>
      </w:pPr>
    </w:p>
    <w:tbl>
      <w:tblPr>
        <w:tblStyle w:val="Tabellenraster"/>
        <w:tblW w:w="0" w:type="auto"/>
        <w:tblLook w:val="04A0" w:firstRow="1" w:lastRow="0" w:firstColumn="1" w:lastColumn="0" w:noHBand="0" w:noVBand="1"/>
      </w:tblPr>
      <w:tblGrid>
        <w:gridCol w:w="1980"/>
        <w:gridCol w:w="7371"/>
      </w:tblGrid>
      <w:tr w:rsidR="00343BBB" w14:paraId="2933306E" w14:textId="77777777" w:rsidTr="0096765A">
        <w:trPr>
          <w:trHeight w:val="300"/>
        </w:trPr>
        <w:tc>
          <w:tcPr>
            <w:tcW w:w="1980" w:type="dxa"/>
          </w:tcPr>
          <w:p w14:paraId="4FD1AF0C" w14:textId="77777777" w:rsidR="00343BBB" w:rsidRDefault="00343BBB">
            <w:pPr>
              <w:jc w:val="both"/>
              <w:rPr>
                <w:rFonts w:ascii="Arial" w:hAnsi="Arial" w:cs="Arial"/>
                <w:b/>
                <w:bCs/>
                <w:i/>
                <w:iCs/>
                <w:sz w:val="18"/>
                <w:szCs w:val="18"/>
              </w:rPr>
            </w:pPr>
            <w:r w:rsidRPr="4A737A38">
              <w:rPr>
                <w:rFonts w:ascii="Arial" w:hAnsi="Arial" w:cs="Arial"/>
                <w:b/>
                <w:bCs/>
                <w:i/>
                <w:iCs/>
                <w:sz w:val="18"/>
                <w:szCs w:val="18"/>
              </w:rPr>
              <w:t>Prüfelemente</w:t>
            </w:r>
          </w:p>
        </w:tc>
        <w:tc>
          <w:tcPr>
            <w:tcW w:w="7371" w:type="dxa"/>
          </w:tcPr>
          <w:p w14:paraId="3A3548B6" w14:textId="77777777" w:rsidR="00343BBB" w:rsidRDefault="00343BBB">
            <w:pPr>
              <w:jc w:val="both"/>
              <w:rPr>
                <w:rFonts w:ascii="Arial" w:hAnsi="Arial" w:cs="Arial"/>
                <w:b/>
                <w:bCs/>
                <w:i/>
                <w:iCs/>
                <w:sz w:val="18"/>
                <w:szCs w:val="18"/>
              </w:rPr>
            </w:pPr>
            <w:r w:rsidRPr="4A737A38">
              <w:rPr>
                <w:rFonts w:ascii="Arial" w:hAnsi="Arial" w:cs="Arial"/>
                <w:b/>
                <w:bCs/>
                <w:i/>
                <w:iCs/>
                <w:sz w:val="18"/>
                <w:szCs w:val="18"/>
              </w:rPr>
              <w:t>Mindestprüfinhalte («Muster»)</w:t>
            </w:r>
          </w:p>
        </w:tc>
      </w:tr>
      <w:tr w:rsidR="00343BBB" w14:paraId="73B9ABB7" w14:textId="77777777" w:rsidTr="0096765A">
        <w:trPr>
          <w:trHeight w:val="300"/>
        </w:trPr>
        <w:tc>
          <w:tcPr>
            <w:tcW w:w="1980" w:type="dxa"/>
          </w:tcPr>
          <w:p w14:paraId="2BD5BC49" w14:textId="77777777" w:rsidR="00343BBB" w:rsidRDefault="00343BBB">
            <w:pPr>
              <w:spacing w:line="259" w:lineRule="auto"/>
              <w:jc w:val="both"/>
              <w:rPr>
                <w:rFonts w:ascii="Arial" w:hAnsi="Arial" w:cs="Arial"/>
                <w:i/>
                <w:iCs/>
                <w:sz w:val="18"/>
                <w:szCs w:val="18"/>
              </w:rPr>
            </w:pPr>
            <w:r w:rsidRPr="4A737A38">
              <w:rPr>
                <w:rFonts w:ascii="Arial" w:eastAsia="Arial" w:hAnsi="Arial" w:cs="Arial"/>
                <w:i/>
                <w:iCs/>
                <w:sz w:val="18"/>
                <w:szCs w:val="18"/>
              </w:rPr>
              <w:t xml:space="preserve">Interne Organisation </w:t>
            </w:r>
          </w:p>
        </w:tc>
        <w:tc>
          <w:tcPr>
            <w:tcW w:w="7371" w:type="dxa"/>
          </w:tcPr>
          <w:p w14:paraId="41A50B92" w14:textId="77777777" w:rsidR="00343BBB" w:rsidRDefault="00343BBB">
            <w:pPr>
              <w:pStyle w:val="Listenabsatz"/>
              <w:numPr>
                <w:ilvl w:val="1"/>
                <w:numId w:val="10"/>
              </w:numPr>
              <w:spacing w:line="259" w:lineRule="auto"/>
              <w:ind w:left="317" w:hanging="283"/>
              <w:jc w:val="both"/>
              <w:rPr>
                <w:rFonts w:cs="Arial"/>
                <w:i/>
                <w:iCs/>
                <w:sz w:val="18"/>
                <w:szCs w:val="18"/>
              </w:rPr>
            </w:pPr>
            <w:r w:rsidRPr="5BDDCDE6">
              <w:rPr>
                <w:rFonts w:cs="Arial"/>
                <w:i/>
                <w:iCs/>
                <w:sz w:val="18"/>
                <w:szCs w:val="18"/>
              </w:rPr>
              <w:t>Die interne Organisationsstruktur (z.B. Weisungswesen, technische und personelle und fachliche Ressourcen) stellt sicher, dass Verfahren existieren, welche die Durchführbarkeit des Abwicklungsplans im Bedarfsfall ermöglichen</w:t>
            </w:r>
          </w:p>
        </w:tc>
      </w:tr>
      <w:tr w:rsidR="00343BBB" w14:paraId="3AE494DD" w14:textId="77777777" w:rsidTr="0096765A">
        <w:trPr>
          <w:trHeight w:val="300"/>
        </w:trPr>
        <w:tc>
          <w:tcPr>
            <w:tcW w:w="1980" w:type="dxa"/>
          </w:tcPr>
          <w:p w14:paraId="34FD76DB" w14:textId="77777777" w:rsidR="00343BBB" w:rsidRDefault="00343BBB">
            <w:pPr>
              <w:spacing w:line="259" w:lineRule="auto"/>
              <w:jc w:val="both"/>
              <w:rPr>
                <w:rFonts w:ascii="Arial" w:hAnsi="Arial" w:cs="Arial"/>
                <w:i/>
                <w:iCs/>
                <w:sz w:val="18"/>
                <w:szCs w:val="18"/>
              </w:rPr>
            </w:pPr>
            <w:r w:rsidRPr="4A737A38">
              <w:rPr>
                <w:rFonts w:ascii="Arial" w:eastAsia="Arial" w:hAnsi="Arial" w:cs="Arial"/>
                <w:i/>
                <w:iCs/>
                <w:sz w:val="18"/>
                <w:szCs w:val="18"/>
              </w:rPr>
              <w:t>Internes Kontrollsystem, Prozesse und Berichterstattung</w:t>
            </w:r>
          </w:p>
        </w:tc>
        <w:tc>
          <w:tcPr>
            <w:tcW w:w="7371" w:type="dxa"/>
          </w:tcPr>
          <w:p w14:paraId="7AC56E45" w14:textId="77777777" w:rsidR="00343BBB" w:rsidRDefault="00343BBB">
            <w:pPr>
              <w:pStyle w:val="Listenabsatz"/>
              <w:numPr>
                <w:ilvl w:val="0"/>
                <w:numId w:val="14"/>
              </w:numPr>
              <w:spacing w:line="259" w:lineRule="auto"/>
              <w:ind w:left="317" w:hanging="283"/>
              <w:jc w:val="both"/>
              <w:rPr>
                <w:i/>
                <w:iCs/>
                <w:szCs w:val="20"/>
              </w:rPr>
            </w:pPr>
            <w:r w:rsidRPr="4A737A38">
              <w:rPr>
                <w:rFonts w:cs="Arial"/>
                <w:i/>
                <w:iCs/>
                <w:sz w:val="18"/>
                <w:szCs w:val="18"/>
              </w:rPr>
              <w:t xml:space="preserve">Die internen Verfahren sehen die Anwendung des 4-Augen-Prinzips </w:t>
            </w:r>
            <w:r>
              <w:rPr>
                <w:rFonts w:cs="Arial"/>
                <w:i/>
                <w:iCs/>
                <w:sz w:val="18"/>
                <w:szCs w:val="18"/>
              </w:rPr>
              <w:t>bzw.</w:t>
            </w:r>
            <w:r w:rsidRPr="4A737A38">
              <w:rPr>
                <w:rFonts w:cs="Arial"/>
                <w:i/>
                <w:iCs/>
                <w:sz w:val="18"/>
                <w:szCs w:val="18"/>
              </w:rPr>
              <w:t xml:space="preserve"> Funktionstrennung bei Schlüsselkontrollen vor </w:t>
            </w:r>
          </w:p>
          <w:p w14:paraId="03244E8C" w14:textId="77777777" w:rsidR="00343BBB" w:rsidRDefault="00343BBB">
            <w:pPr>
              <w:pStyle w:val="Listenabsatz"/>
              <w:numPr>
                <w:ilvl w:val="0"/>
                <w:numId w:val="14"/>
              </w:numPr>
              <w:spacing w:line="259" w:lineRule="auto"/>
              <w:ind w:left="317" w:hanging="283"/>
              <w:jc w:val="both"/>
              <w:rPr>
                <w:i/>
                <w:iCs/>
                <w:szCs w:val="20"/>
              </w:rPr>
            </w:pPr>
            <w:r w:rsidRPr="4A737A38">
              <w:rPr>
                <w:rFonts w:cs="Arial"/>
                <w:i/>
                <w:iCs/>
                <w:sz w:val="18"/>
                <w:szCs w:val="18"/>
              </w:rPr>
              <w:t xml:space="preserve">Die internen Verfahren zur Aufrechterhaltung kritischer Funktionen </w:t>
            </w:r>
            <w:r>
              <w:rPr>
                <w:rFonts w:cs="Arial"/>
                <w:i/>
                <w:iCs/>
                <w:sz w:val="18"/>
                <w:szCs w:val="18"/>
              </w:rPr>
              <w:t>stehen im Einklang mit</w:t>
            </w:r>
            <w:r w:rsidRPr="4A737A38">
              <w:rPr>
                <w:rFonts w:cs="Arial"/>
                <w:i/>
                <w:iCs/>
                <w:sz w:val="18"/>
                <w:szCs w:val="18"/>
              </w:rPr>
              <w:t xml:space="preserve"> dem BCM</w:t>
            </w:r>
          </w:p>
          <w:p w14:paraId="22E5FF8B" w14:textId="77777777" w:rsidR="00343BBB" w:rsidRDefault="00343BBB">
            <w:pPr>
              <w:pStyle w:val="Listenabsatz"/>
              <w:numPr>
                <w:ilvl w:val="0"/>
                <w:numId w:val="14"/>
              </w:numPr>
              <w:spacing w:line="259" w:lineRule="auto"/>
              <w:ind w:left="317" w:hanging="283"/>
              <w:jc w:val="both"/>
              <w:rPr>
                <w:rFonts w:cs="Arial"/>
                <w:i/>
                <w:iCs/>
                <w:sz w:val="18"/>
                <w:szCs w:val="18"/>
              </w:rPr>
            </w:pPr>
            <w:r w:rsidRPr="7718DEBD">
              <w:rPr>
                <w:rFonts w:cs="Arial"/>
                <w:i/>
                <w:iCs/>
                <w:sz w:val="18"/>
                <w:szCs w:val="18"/>
              </w:rPr>
              <w:t>Es sind Verfahren zur Zuordnung von Kerngeschäftsbereichen und kritischen Funktionen auf juristische Personen definiert</w:t>
            </w:r>
          </w:p>
          <w:p w14:paraId="6C893131" w14:textId="77777777" w:rsidR="00343BBB" w:rsidRPr="006E6632" w:rsidRDefault="00343BBB">
            <w:pPr>
              <w:pStyle w:val="Listenabsatz"/>
              <w:numPr>
                <w:ilvl w:val="0"/>
                <w:numId w:val="14"/>
              </w:numPr>
              <w:spacing w:line="259" w:lineRule="auto"/>
              <w:ind w:left="317" w:hanging="283"/>
              <w:jc w:val="both"/>
              <w:rPr>
                <w:i/>
                <w:iCs/>
                <w:szCs w:val="20"/>
              </w:rPr>
            </w:pPr>
            <w:r w:rsidRPr="4A737A38">
              <w:rPr>
                <w:rFonts w:cs="Arial"/>
                <w:i/>
                <w:iCs/>
                <w:sz w:val="18"/>
                <w:szCs w:val="18"/>
              </w:rPr>
              <w:t xml:space="preserve">Es sind Verfahren zur Aufrechterhaltung einer angemessenen Personal- und Ressourcenausstattung im Abwicklungsfall definiert </w:t>
            </w:r>
          </w:p>
          <w:p w14:paraId="66311065" w14:textId="65F7031B" w:rsidR="00343BBB" w:rsidRDefault="00343BBB">
            <w:pPr>
              <w:pStyle w:val="Listenabsatz"/>
              <w:numPr>
                <w:ilvl w:val="0"/>
                <w:numId w:val="14"/>
              </w:numPr>
              <w:spacing w:line="259" w:lineRule="auto"/>
              <w:ind w:left="317" w:hanging="283"/>
              <w:jc w:val="both"/>
              <w:rPr>
                <w:i/>
                <w:iCs/>
                <w:szCs w:val="20"/>
              </w:rPr>
            </w:pPr>
            <w:r>
              <w:rPr>
                <w:rFonts w:cs="Arial"/>
                <w:i/>
                <w:iCs/>
                <w:sz w:val="18"/>
                <w:szCs w:val="18"/>
              </w:rPr>
              <w:t xml:space="preserve">Es sind Verfahren zum jederzeitigen Zugang zu </w:t>
            </w:r>
            <w:r w:rsidRPr="4A737A38">
              <w:rPr>
                <w:rFonts w:cs="Arial"/>
                <w:i/>
                <w:iCs/>
                <w:sz w:val="18"/>
                <w:szCs w:val="18"/>
              </w:rPr>
              <w:t>betriebsnotwendigen Vermögenswerte</w:t>
            </w:r>
            <w:r>
              <w:rPr>
                <w:rFonts w:cs="Arial"/>
                <w:i/>
                <w:iCs/>
                <w:sz w:val="18"/>
                <w:szCs w:val="18"/>
              </w:rPr>
              <w:t>n definiert</w:t>
            </w:r>
          </w:p>
          <w:p w14:paraId="034EEC9B" w14:textId="77777777" w:rsidR="00343BBB" w:rsidRDefault="00343BBB">
            <w:pPr>
              <w:pStyle w:val="Listenabsatz"/>
              <w:numPr>
                <w:ilvl w:val="0"/>
                <w:numId w:val="14"/>
              </w:numPr>
              <w:spacing w:line="259" w:lineRule="auto"/>
              <w:ind w:left="317" w:hanging="283"/>
              <w:jc w:val="both"/>
              <w:rPr>
                <w:rFonts w:cs="Arial"/>
                <w:i/>
                <w:iCs/>
                <w:sz w:val="18"/>
                <w:szCs w:val="18"/>
              </w:rPr>
            </w:pPr>
            <w:r w:rsidRPr="4A737A38">
              <w:rPr>
                <w:rFonts w:cs="Arial"/>
                <w:i/>
                <w:iCs/>
                <w:sz w:val="18"/>
                <w:szCs w:val="18"/>
              </w:rPr>
              <w:t xml:space="preserve">Es sind Verfahren zur Bewertung von Dienstleistungsverträgen bezüglich ihrer Liquidations- und </w:t>
            </w:r>
            <w:proofErr w:type="spellStart"/>
            <w:r w:rsidRPr="4A737A38">
              <w:rPr>
                <w:rFonts w:cs="Arial"/>
                <w:i/>
                <w:iCs/>
                <w:sz w:val="18"/>
                <w:szCs w:val="18"/>
              </w:rPr>
              <w:t>Abwicklungsresilienz</w:t>
            </w:r>
            <w:proofErr w:type="spellEnd"/>
            <w:r w:rsidRPr="4A737A38">
              <w:rPr>
                <w:rFonts w:cs="Arial"/>
                <w:i/>
                <w:iCs/>
                <w:sz w:val="18"/>
                <w:szCs w:val="18"/>
              </w:rPr>
              <w:t xml:space="preserve"> definiert</w:t>
            </w:r>
          </w:p>
          <w:p w14:paraId="05D797BB" w14:textId="77777777" w:rsidR="00343BBB" w:rsidRDefault="00343BBB">
            <w:pPr>
              <w:pStyle w:val="Listenabsatz"/>
              <w:numPr>
                <w:ilvl w:val="1"/>
                <w:numId w:val="6"/>
              </w:numPr>
              <w:spacing w:line="259" w:lineRule="auto"/>
              <w:ind w:left="317" w:hanging="283"/>
              <w:jc w:val="both"/>
              <w:rPr>
                <w:rFonts w:cs="Arial"/>
                <w:i/>
                <w:iCs/>
                <w:sz w:val="18"/>
                <w:szCs w:val="18"/>
              </w:rPr>
            </w:pPr>
            <w:r w:rsidRPr="4A737A38">
              <w:rPr>
                <w:rFonts w:cs="Arial"/>
                <w:i/>
                <w:iCs/>
                <w:sz w:val="18"/>
                <w:szCs w:val="18"/>
              </w:rPr>
              <w:t>Es sind Verfahren zur gruppeninternen Bereitstellung von Diensten und Einrichtungen im Abwicklungsfall definiert</w:t>
            </w:r>
          </w:p>
        </w:tc>
      </w:tr>
    </w:tbl>
    <w:p w14:paraId="0DB2AE16" w14:textId="6D4853EA" w:rsidR="009C13AD" w:rsidRDefault="009C13AD" w:rsidP="4A737A38">
      <w:pPr>
        <w:pStyle w:val="FINMAGliederungEbene1"/>
        <w:numPr>
          <w:ilvl w:val="0"/>
          <w:numId w:val="0"/>
        </w:numPr>
      </w:pPr>
    </w:p>
    <w:p w14:paraId="727E7955" w14:textId="62B8E1CF" w:rsidR="00321DB7" w:rsidRDefault="007C02AE" w:rsidP="00C37D08">
      <w:pPr>
        <w:pStyle w:val="FINMAGliederungEbene2"/>
      </w:pPr>
      <w:bookmarkStart w:id="31" w:name="_Toc140849827"/>
      <w:bookmarkStart w:id="32" w:name="_Toc141095446"/>
      <w:bookmarkStart w:id="33" w:name="_Toc141284984"/>
      <w:bookmarkStart w:id="34" w:name="_Toc140849849"/>
      <w:bookmarkStart w:id="35" w:name="_Toc141095468"/>
      <w:bookmarkStart w:id="36" w:name="_Toc141285006"/>
      <w:bookmarkStart w:id="37" w:name="_Toc140849871"/>
      <w:bookmarkStart w:id="38" w:name="_Toc141095490"/>
      <w:bookmarkStart w:id="39" w:name="_Toc141285028"/>
      <w:bookmarkStart w:id="40" w:name="_Toc140849872"/>
      <w:bookmarkStart w:id="41" w:name="_Toc141095491"/>
      <w:bookmarkStart w:id="42" w:name="_Toc141285029"/>
      <w:bookmarkStart w:id="43" w:name="_Toc140849883"/>
      <w:bookmarkStart w:id="44" w:name="_Toc141095502"/>
      <w:bookmarkStart w:id="45" w:name="_Toc141285040"/>
      <w:bookmarkStart w:id="46" w:name="_Toc140849884"/>
      <w:bookmarkStart w:id="47" w:name="_Toc141095503"/>
      <w:bookmarkStart w:id="48" w:name="_Toc141285041"/>
      <w:bookmarkStart w:id="49" w:name="_Toc140849885"/>
      <w:bookmarkStart w:id="50" w:name="_Toc141095504"/>
      <w:bookmarkStart w:id="51" w:name="_Toc141285042"/>
      <w:bookmarkStart w:id="52" w:name="_Toc140849886"/>
      <w:bookmarkStart w:id="53" w:name="_Toc141095505"/>
      <w:bookmarkStart w:id="54" w:name="_Toc141285043"/>
      <w:bookmarkStart w:id="55" w:name="_Toc139361778"/>
      <w:bookmarkStart w:id="56" w:name="_Toc139361821"/>
      <w:bookmarkStart w:id="57" w:name="_Toc14714145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Verlustabsorption und Rekapitalisierung</w:t>
      </w:r>
      <w:bookmarkEnd w:id="57"/>
    </w:p>
    <w:p w14:paraId="09527E16" w14:textId="77777777" w:rsidR="00A63A2D" w:rsidRPr="006067FE" w:rsidRDefault="00A63A2D" w:rsidP="00A63A2D">
      <w:pPr>
        <w:jc w:val="both"/>
      </w:pPr>
    </w:p>
    <w:tbl>
      <w:tblPr>
        <w:tblStyle w:val="Tabellenraster"/>
        <w:tblW w:w="0" w:type="auto"/>
        <w:tblLook w:val="04A0" w:firstRow="1" w:lastRow="0" w:firstColumn="1" w:lastColumn="0" w:noHBand="0" w:noVBand="1"/>
      </w:tblPr>
      <w:tblGrid>
        <w:gridCol w:w="317"/>
        <w:gridCol w:w="1653"/>
        <w:gridCol w:w="2145"/>
        <w:gridCol w:w="1721"/>
        <w:gridCol w:w="860"/>
        <w:gridCol w:w="2522"/>
      </w:tblGrid>
      <w:tr w:rsidR="00A63A2D" w:rsidRPr="009872F3" w14:paraId="25CB6F47" w14:textId="77777777" w:rsidTr="5BDDCDE6">
        <w:trPr>
          <w:trHeight w:val="563"/>
        </w:trPr>
        <w:tc>
          <w:tcPr>
            <w:tcW w:w="1970" w:type="dxa"/>
            <w:gridSpan w:val="2"/>
            <w:shd w:val="clear" w:color="auto" w:fill="DBE5F1" w:themeFill="accent1" w:themeFillTint="33"/>
          </w:tcPr>
          <w:p w14:paraId="3CBBCE76" w14:textId="77777777" w:rsidR="00A63A2D" w:rsidRPr="009872F3" w:rsidRDefault="00A63A2D" w:rsidP="00C747F0">
            <w:pPr>
              <w:jc w:val="both"/>
              <w:rPr>
                <w:rFonts w:ascii="Arial" w:hAnsi="Arial" w:cs="Arial"/>
                <w:sz w:val="18"/>
                <w:szCs w:val="18"/>
              </w:rPr>
            </w:pPr>
            <w:r w:rsidRPr="009872F3">
              <w:rPr>
                <w:rFonts w:ascii="Arial" w:hAnsi="Arial" w:cs="Arial"/>
                <w:sz w:val="18"/>
                <w:szCs w:val="18"/>
              </w:rPr>
              <w:t>Nettorisiko</w:t>
            </w:r>
          </w:p>
        </w:tc>
        <w:tc>
          <w:tcPr>
            <w:tcW w:w="2145" w:type="dxa"/>
            <w:shd w:val="clear" w:color="auto" w:fill="DBE5F1" w:themeFill="accent1" w:themeFillTint="33"/>
          </w:tcPr>
          <w:p w14:paraId="0BEC4EC0" w14:textId="77777777" w:rsidR="00A63A2D" w:rsidRPr="009872F3" w:rsidRDefault="00A63A2D" w:rsidP="00C747F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3"/>
            <w:shd w:val="clear" w:color="auto" w:fill="DBE5F1" w:themeFill="accent1" w:themeFillTint="33"/>
          </w:tcPr>
          <w:p w14:paraId="0395D2FA" w14:textId="77777777" w:rsidR="00A63A2D" w:rsidRPr="009872F3" w:rsidRDefault="00A63A2D" w:rsidP="00C747F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63A2D" w:rsidRPr="009872F3" w14:paraId="703CD951" w14:textId="77777777" w:rsidTr="5BDDCDE6">
        <w:trPr>
          <w:trHeight w:val="698"/>
        </w:trPr>
        <w:tc>
          <w:tcPr>
            <w:tcW w:w="1970" w:type="dxa"/>
            <w:gridSpan w:val="2"/>
            <w:shd w:val="clear" w:color="auto" w:fill="DBE5F1" w:themeFill="accent1" w:themeFillTint="33"/>
          </w:tcPr>
          <w:p w14:paraId="0878C1F3" w14:textId="77777777" w:rsidR="00A63A2D" w:rsidRPr="006749F0" w:rsidRDefault="00A63A2D" w:rsidP="00C747F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shd w:val="clear" w:color="auto" w:fill="DBE5F1" w:themeFill="accent1" w:themeFillTint="33"/>
          </w:tcPr>
          <w:p w14:paraId="1BB541E0" w14:textId="77777777" w:rsidR="00A63A2D" w:rsidRPr="006749F0" w:rsidRDefault="00A63A2D" w:rsidP="00C747F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shd w:val="clear" w:color="auto" w:fill="DBE5F1" w:themeFill="accent1" w:themeFillTint="33"/>
          </w:tcPr>
          <w:p w14:paraId="13ACE381" w14:textId="77777777" w:rsidR="00A63A2D" w:rsidRPr="009872F3" w:rsidRDefault="00A63A2D" w:rsidP="00C747F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gridSpan w:val="2"/>
            <w:shd w:val="clear" w:color="auto" w:fill="DBE5F1" w:themeFill="accent1" w:themeFillTint="33"/>
          </w:tcPr>
          <w:p w14:paraId="6AA07705" w14:textId="77777777" w:rsidR="00A63A2D" w:rsidRDefault="00A63A2D" w:rsidP="00C747F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902ECA2" w14:textId="77777777" w:rsidR="00A63A2D" w:rsidRPr="006749F0" w:rsidRDefault="00A63A2D" w:rsidP="00C747F0">
            <w:pPr>
              <w:jc w:val="both"/>
              <w:rPr>
                <w:rFonts w:ascii="Arial" w:hAnsi="Arial" w:cs="Arial"/>
                <w:i/>
                <w:sz w:val="18"/>
                <w:szCs w:val="18"/>
              </w:rPr>
            </w:pPr>
            <w:r w:rsidRPr="006749F0">
              <w:rPr>
                <w:rFonts w:ascii="Arial" w:hAnsi="Arial" w:cs="Arial"/>
                <w:i/>
                <w:sz w:val="18"/>
                <w:szCs w:val="18"/>
                <w:highlight w:val="yellow"/>
              </w:rPr>
              <w:t>Jahr</w:t>
            </w:r>
          </w:p>
        </w:tc>
      </w:tr>
      <w:tr w:rsidR="00A63A2D" w:rsidRPr="006A08D2" w14:paraId="1F2DC44B" w14:textId="77777777" w:rsidTr="5BDDCDE6">
        <w:trPr>
          <w:trHeight w:val="636"/>
        </w:trPr>
        <w:tc>
          <w:tcPr>
            <w:tcW w:w="9218" w:type="dxa"/>
            <w:gridSpan w:val="6"/>
            <w:shd w:val="clear" w:color="auto" w:fill="DBE5F1" w:themeFill="accent1" w:themeFillTint="33"/>
          </w:tcPr>
          <w:p w14:paraId="2901A9D1" w14:textId="77777777" w:rsidR="00DD758F" w:rsidRPr="00DD758F" w:rsidRDefault="00DD758F" w:rsidP="00DD758F">
            <w:pPr>
              <w:jc w:val="both"/>
              <w:rPr>
                <w:rFonts w:ascii="Arial" w:hAnsi="Arial" w:cs="Arial"/>
                <w:i/>
                <w:sz w:val="18"/>
                <w:szCs w:val="18"/>
              </w:rPr>
            </w:pPr>
            <w:r w:rsidRPr="00DD758F">
              <w:rPr>
                <w:rFonts w:ascii="Arial" w:hAnsi="Arial" w:cs="Arial"/>
                <w:i/>
                <w:sz w:val="18"/>
                <w:szCs w:val="18"/>
              </w:rPr>
              <w:t>Referenzen (demonstrativ):</w:t>
            </w:r>
          </w:p>
          <w:p w14:paraId="1D90828B" w14:textId="7151AD32" w:rsidR="00B56AC5" w:rsidRDefault="00B56AC5" w:rsidP="005A78D2">
            <w:pPr>
              <w:pStyle w:val="Listenabsatz"/>
              <w:numPr>
                <w:ilvl w:val="0"/>
                <w:numId w:val="9"/>
              </w:numPr>
              <w:ind w:left="308"/>
              <w:jc w:val="both"/>
              <w:rPr>
                <w:rFonts w:cs="Arial"/>
                <w:sz w:val="18"/>
                <w:szCs w:val="18"/>
              </w:rPr>
            </w:pPr>
            <w:r>
              <w:rPr>
                <w:rFonts w:cs="Arial"/>
                <w:sz w:val="18"/>
                <w:szCs w:val="18"/>
              </w:rPr>
              <w:t>Art. 55 und 78 SAG</w:t>
            </w:r>
          </w:p>
          <w:p w14:paraId="043400EC" w14:textId="1A776BC8" w:rsidR="00A84D51" w:rsidRPr="00467B85" w:rsidRDefault="00A84D51" w:rsidP="005A78D2">
            <w:pPr>
              <w:pStyle w:val="Listenabsatz"/>
              <w:numPr>
                <w:ilvl w:val="0"/>
                <w:numId w:val="9"/>
              </w:numPr>
              <w:ind w:left="308"/>
              <w:jc w:val="both"/>
              <w:rPr>
                <w:rFonts w:cs="Arial"/>
                <w:sz w:val="18"/>
                <w:szCs w:val="18"/>
              </w:rPr>
            </w:pPr>
            <w:r w:rsidRPr="00467B85">
              <w:rPr>
                <w:rFonts w:cs="Arial"/>
                <w:sz w:val="18"/>
                <w:szCs w:val="18"/>
              </w:rPr>
              <w:t xml:space="preserve">Teil 2 Kapitel 5a der Verordnung (EU) Nr. 575/2013 des Europäischen Parlaments und des Rates vom 26. Juni 2013 über Aufsichtsanforderungen an Kreditinstitute und Wertpapierfirmen («CRR») </w:t>
            </w:r>
          </w:p>
          <w:p w14:paraId="01EB3EE8" w14:textId="309929DA" w:rsidR="008F519B" w:rsidRPr="00997881" w:rsidRDefault="008F519B" w:rsidP="00C37D08">
            <w:pPr>
              <w:pStyle w:val="Listenabsatz"/>
              <w:numPr>
                <w:ilvl w:val="0"/>
                <w:numId w:val="9"/>
              </w:numPr>
              <w:ind w:left="308"/>
              <w:jc w:val="both"/>
              <w:rPr>
                <w:rFonts w:cs="Arial"/>
                <w:sz w:val="18"/>
                <w:szCs w:val="18"/>
              </w:rPr>
            </w:pPr>
            <w:r w:rsidRPr="008F519B">
              <w:rPr>
                <w:rFonts w:cs="Arial"/>
                <w:sz w:val="18"/>
                <w:szCs w:val="18"/>
              </w:rPr>
              <w:t>Delegierte Verordnung (EU) 2016/860 der Kommission vom 4. Februar 2016 zur Präzisierung der Umstände, unter denen ein Ausschluss aus dem Anwendungsbereich der Herabschreibungs- oder Umwandlungsbefugnisse gemäß Artikel 44 Absatz 3 der Richtlinie 2014/59/EU des Europäischen Parlaments und des Rates zur Festlegung eines Rahmens für die Sanierung und Abwicklung von Kreditinstituten und Wertpapierfirmen erforderlich ist</w:t>
            </w:r>
          </w:p>
          <w:p w14:paraId="2A5266EC" w14:textId="66BE0B6B" w:rsidR="004861C4" w:rsidRDefault="004861C4" w:rsidP="00C37D08">
            <w:pPr>
              <w:pStyle w:val="Listenabsatz"/>
              <w:numPr>
                <w:ilvl w:val="0"/>
                <w:numId w:val="9"/>
              </w:numPr>
              <w:ind w:left="308"/>
              <w:jc w:val="both"/>
              <w:rPr>
                <w:rFonts w:cs="Arial"/>
                <w:sz w:val="18"/>
                <w:szCs w:val="18"/>
              </w:rPr>
            </w:pPr>
            <w:r w:rsidRPr="004861C4">
              <w:rPr>
                <w:rFonts w:cs="Arial"/>
                <w:sz w:val="18"/>
                <w:szCs w:val="18"/>
              </w:rPr>
              <w:t>Delegierte Verordnung (EU) Nr. 241/2014 der Kommission vom 7. Januar 2014 zur Ergänzung der Verordnung (EU) Nr. 575/2013 des Europäischen Parlaments und des Rates im Hinblick auf technische Regulierungsstandards für die Eigenmittelanforderungen an Institute</w:t>
            </w:r>
          </w:p>
          <w:p w14:paraId="4C3EB4B2" w14:textId="116C87B7" w:rsidR="00B07B98" w:rsidRDefault="005F3C29" w:rsidP="00C37D08">
            <w:pPr>
              <w:pStyle w:val="Listenabsatz"/>
              <w:numPr>
                <w:ilvl w:val="0"/>
                <w:numId w:val="9"/>
              </w:numPr>
              <w:ind w:left="308"/>
              <w:jc w:val="both"/>
              <w:rPr>
                <w:rFonts w:cs="Arial"/>
                <w:sz w:val="18"/>
                <w:szCs w:val="18"/>
              </w:rPr>
            </w:pPr>
            <w:r>
              <w:rPr>
                <w:rFonts w:cs="Arial"/>
                <w:sz w:val="18"/>
                <w:szCs w:val="18"/>
              </w:rPr>
              <w:t xml:space="preserve">Delegierte Verordnung (EU) 2021/1340 zur </w:t>
            </w:r>
            <w:r w:rsidR="008D7B97">
              <w:rPr>
                <w:rFonts w:cs="Arial"/>
                <w:sz w:val="18"/>
                <w:szCs w:val="18"/>
              </w:rPr>
              <w:t>Festlegung des Inhalts der Vertragsklausel über die Anerkennung von Befugnissen zur Aussetzung bei der Abwicklung</w:t>
            </w:r>
          </w:p>
          <w:p w14:paraId="6877A0C1" w14:textId="77777777" w:rsidR="00DD758F" w:rsidRPr="00997881" w:rsidRDefault="00DD758F" w:rsidP="00C37D08">
            <w:pPr>
              <w:pStyle w:val="Listenabsatz"/>
              <w:numPr>
                <w:ilvl w:val="0"/>
                <w:numId w:val="9"/>
              </w:numPr>
              <w:ind w:left="308"/>
              <w:jc w:val="both"/>
              <w:rPr>
                <w:rFonts w:cs="Arial"/>
                <w:sz w:val="18"/>
                <w:szCs w:val="18"/>
              </w:rPr>
            </w:pPr>
            <w:r w:rsidRPr="00997881">
              <w:rPr>
                <w:rFonts w:cs="Arial"/>
                <w:sz w:val="18"/>
                <w:szCs w:val="18"/>
              </w:rPr>
              <w:t>EBA Leitlinien zur Verbesserung der Abwicklungsfähigkeit für Institute und Abwicklungsbehörden</w:t>
            </w:r>
          </w:p>
          <w:p w14:paraId="1D23AC33" w14:textId="77777777" w:rsidR="00A63A2D" w:rsidRDefault="00DD758F" w:rsidP="00543B51">
            <w:pPr>
              <w:pStyle w:val="Listenabsatz"/>
              <w:ind w:left="308"/>
              <w:jc w:val="both"/>
              <w:rPr>
                <w:rFonts w:cs="Arial"/>
                <w:sz w:val="18"/>
                <w:szCs w:val="18"/>
              </w:rPr>
            </w:pPr>
            <w:r w:rsidRPr="00997881">
              <w:rPr>
                <w:rFonts w:cs="Arial"/>
                <w:sz w:val="18"/>
                <w:szCs w:val="18"/>
              </w:rPr>
              <w:t>(Resolvability Guidelines; EBA/GL/2022/01)</w:t>
            </w:r>
          </w:p>
          <w:p w14:paraId="633BCEB8" w14:textId="3487A93F" w:rsidR="00B303A0" w:rsidRPr="00B303A0" w:rsidRDefault="00B303A0" w:rsidP="00C37D08">
            <w:pPr>
              <w:pStyle w:val="Listenabsatz"/>
              <w:numPr>
                <w:ilvl w:val="0"/>
                <w:numId w:val="9"/>
              </w:numPr>
              <w:ind w:left="308"/>
              <w:jc w:val="both"/>
              <w:rPr>
                <w:rFonts w:cs="Arial"/>
                <w:sz w:val="18"/>
                <w:szCs w:val="18"/>
              </w:rPr>
            </w:pPr>
            <w:r w:rsidRPr="00B303A0">
              <w:rPr>
                <w:rFonts w:cs="Arial"/>
                <w:sz w:val="18"/>
                <w:szCs w:val="18"/>
              </w:rPr>
              <w:t xml:space="preserve">EBA Leitlinien betreffend die </w:t>
            </w:r>
            <w:bookmarkStart w:id="58" w:name="_GoBack"/>
            <w:r w:rsidRPr="00B303A0">
              <w:rPr>
                <w:rFonts w:cs="Arial"/>
                <w:sz w:val="18"/>
                <w:szCs w:val="18"/>
              </w:rPr>
              <w:t>Quot</w:t>
            </w:r>
            <w:bookmarkEnd w:id="58"/>
            <w:r w:rsidRPr="00B303A0">
              <w:rPr>
                <w:rFonts w:cs="Arial"/>
                <w:sz w:val="18"/>
                <w:szCs w:val="18"/>
              </w:rPr>
              <w:t>e für die Umwandlung von Verbindlichkeiten in Eigenkapital beim</w:t>
            </w:r>
          </w:p>
          <w:p w14:paraId="33053AAF" w14:textId="77777777" w:rsidR="00B303A0" w:rsidRDefault="00B303A0" w:rsidP="00543B51">
            <w:pPr>
              <w:pStyle w:val="Listenabsatz"/>
              <w:ind w:left="308"/>
              <w:jc w:val="both"/>
              <w:rPr>
                <w:rFonts w:cs="Arial"/>
                <w:sz w:val="18"/>
                <w:szCs w:val="18"/>
              </w:rPr>
            </w:pPr>
            <w:r w:rsidRPr="00B303A0">
              <w:rPr>
                <w:rFonts w:cs="Arial"/>
                <w:sz w:val="18"/>
                <w:szCs w:val="18"/>
              </w:rPr>
              <w:t>Bail-in-Verfahren (EBA/GL/2017/03)</w:t>
            </w:r>
          </w:p>
          <w:p w14:paraId="2D0475F3" w14:textId="780123CC" w:rsidR="00E75BEB" w:rsidRPr="00E75BEB" w:rsidRDefault="00E75BEB" w:rsidP="0096765A">
            <w:pPr>
              <w:pStyle w:val="Listenabsatz"/>
              <w:numPr>
                <w:ilvl w:val="0"/>
                <w:numId w:val="9"/>
              </w:numPr>
              <w:ind w:left="308"/>
              <w:jc w:val="both"/>
              <w:rPr>
                <w:rFonts w:cs="Arial"/>
                <w:sz w:val="18"/>
                <w:szCs w:val="18"/>
              </w:rPr>
            </w:pPr>
            <w:r w:rsidRPr="00997881">
              <w:rPr>
                <w:rFonts w:cs="Arial"/>
                <w:sz w:val="18"/>
                <w:szCs w:val="18"/>
              </w:rPr>
              <w:t>FMA-Mitteilung 2022/02 betreffend die Festlegung der Mindestanforderung an Eigenmittel und berücksichtigungsfähige Verbindlichkeiten und entsprechender Schnittstellen zur Abwicklungsplanung für Banken und Wertpapierfirmen («MREL-Policy»)</w:t>
            </w:r>
          </w:p>
        </w:tc>
      </w:tr>
      <w:tr w:rsidR="00A63A2D" w:rsidRPr="006A08D2" w14:paraId="05A6EAA3" w14:textId="77777777" w:rsidTr="5BDDCDE6">
        <w:trPr>
          <w:trHeight w:val="294"/>
        </w:trPr>
        <w:tc>
          <w:tcPr>
            <w:tcW w:w="9218" w:type="dxa"/>
            <w:gridSpan w:val="6"/>
          </w:tcPr>
          <w:p w14:paraId="39D042FE" w14:textId="77777777" w:rsidR="00A63A2D" w:rsidRPr="00DC71A8" w:rsidRDefault="00A63A2D" w:rsidP="00C747F0">
            <w:pPr>
              <w:jc w:val="both"/>
              <w:rPr>
                <w:rFonts w:ascii="Arial" w:hAnsi="Arial" w:cs="Arial"/>
                <w:sz w:val="18"/>
                <w:szCs w:val="18"/>
              </w:rPr>
            </w:pPr>
          </w:p>
        </w:tc>
      </w:tr>
      <w:tr w:rsidR="00306DAC" w:rsidRPr="006A08D2" w14:paraId="2DFAABDD" w14:textId="77777777" w:rsidTr="5BDDCDE6">
        <w:trPr>
          <w:trHeight w:val="294"/>
        </w:trPr>
        <w:tc>
          <w:tcPr>
            <w:tcW w:w="317" w:type="dxa"/>
          </w:tcPr>
          <w:p w14:paraId="6A598C0C" w14:textId="72E03ABB" w:rsidR="00306DAC" w:rsidRPr="00DC71A8" w:rsidRDefault="00306DAC" w:rsidP="00306DAC">
            <w:pPr>
              <w:jc w:val="both"/>
              <w:rPr>
                <w:rFonts w:ascii="Arial" w:hAnsi="Arial" w:cs="Arial"/>
                <w:sz w:val="18"/>
                <w:szCs w:val="18"/>
              </w:rPr>
            </w:pPr>
            <w:r>
              <w:rPr>
                <w:rFonts w:ascii="Arial" w:hAnsi="Arial" w:cs="Arial"/>
                <w:sz w:val="18"/>
                <w:szCs w:val="18"/>
              </w:rPr>
              <w:t>1</w:t>
            </w:r>
          </w:p>
        </w:tc>
        <w:tc>
          <w:tcPr>
            <w:tcW w:w="6379" w:type="dxa"/>
            <w:gridSpan w:val="4"/>
          </w:tcPr>
          <w:p w14:paraId="085E9695" w14:textId="6DB89EB8" w:rsidR="00306DAC" w:rsidRPr="00306DAC" w:rsidRDefault="00306DAC" w:rsidP="00306DAC">
            <w:pPr>
              <w:jc w:val="both"/>
              <w:rPr>
                <w:rFonts w:ascii="Arial" w:hAnsi="Arial" w:cs="Arial"/>
                <w:sz w:val="18"/>
                <w:szCs w:val="18"/>
              </w:rPr>
            </w:pPr>
            <w:r w:rsidRPr="00306DAC">
              <w:rPr>
                <w:rFonts w:ascii="Arial" w:hAnsi="Arial" w:cs="Arial"/>
                <w:sz w:val="18"/>
                <w:szCs w:val="18"/>
              </w:rPr>
              <w:t xml:space="preserve">Bestätigung, dass die internen Verfahren in der Lage sind, die Kapazität an berücksichtigungsfähigen Verbindlichkeiten </w:t>
            </w:r>
            <w:r w:rsidR="00630AD6">
              <w:rPr>
                <w:rFonts w:ascii="Arial" w:hAnsi="Arial" w:cs="Arial"/>
                <w:sz w:val="18"/>
                <w:szCs w:val="18"/>
              </w:rPr>
              <w:t xml:space="preserve">in Einklang mit </w:t>
            </w:r>
            <w:r w:rsidR="00630AD6" w:rsidRPr="00630AD6">
              <w:rPr>
                <w:rFonts w:ascii="Arial" w:hAnsi="Arial" w:cs="Arial"/>
                <w:sz w:val="18"/>
                <w:szCs w:val="18"/>
              </w:rPr>
              <w:t xml:space="preserve">Teil 2 Kapitel 5a </w:t>
            </w:r>
            <w:r w:rsidR="00630AD6">
              <w:rPr>
                <w:rFonts w:ascii="Arial" w:hAnsi="Arial" w:cs="Arial"/>
                <w:sz w:val="18"/>
                <w:szCs w:val="18"/>
              </w:rPr>
              <w:lastRenderedPageBreak/>
              <w:t xml:space="preserve">CRR </w:t>
            </w:r>
            <w:r w:rsidRPr="00306DAC">
              <w:rPr>
                <w:rFonts w:ascii="Arial" w:hAnsi="Arial" w:cs="Arial"/>
                <w:sz w:val="18"/>
                <w:szCs w:val="18"/>
              </w:rPr>
              <w:t xml:space="preserve">jederzeit </w:t>
            </w:r>
            <w:r w:rsidR="006F42AC">
              <w:rPr>
                <w:rFonts w:ascii="Arial" w:hAnsi="Arial" w:cs="Arial"/>
                <w:sz w:val="18"/>
                <w:szCs w:val="18"/>
              </w:rPr>
              <w:t xml:space="preserve">zu </w:t>
            </w:r>
            <w:r w:rsidRPr="00306DAC">
              <w:rPr>
                <w:rFonts w:ascii="Arial" w:hAnsi="Arial" w:cs="Arial"/>
                <w:sz w:val="18"/>
                <w:szCs w:val="18"/>
              </w:rPr>
              <w:t xml:space="preserve">quantifizieren </w:t>
            </w:r>
            <w:r w:rsidR="008F3B62">
              <w:rPr>
                <w:rFonts w:ascii="Arial" w:hAnsi="Arial" w:cs="Arial"/>
                <w:sz w:val="18"/>
                <w:szCs w:val="18"/>
              </w:rPr>
              <w:t xml:space="preserve">und einzelnen Gläubigern zuordnen </w:t>
            </w:r>
            <w:r w:rsidRPr="00306DAC">
              <w:rPr>
                <w:rFonts w:ascii="Arial" w:hAnsi="Arial" w:cs="Arial"/>
                <w:sz w:val="18"/>
                <w:szCs w:val="18"/>
              </w:rPr>
              <w:t>zu können.</w:t>
            </w:r>
          </w:p>
        </w:tc>
        <w:tc>
          <w:tcPr>
            <w:tcW w:w="2522" w:type="dxa"/>
          </w:tcPr>
          <w:p w14:paraId="0FD9B4D3" w14:textId="4A27EE35" w:rsidR="00306DAC" w:rsidRPr="00DC71A8" w:rsidRDefault="00306DAC" w:rsidP="00306DAC">
            <w:pPr>
              <w:jc w:val="both"/>
              <w:rPr>
                <w:rFonts w:ascii="Arial" w:hAnsi="Arial" w:cs="Arial"/>
                <w:sz w:val="18"/>
                <w:szCs w:val="18"/>
              </w:rPr>
            </w:pPr>
            <w:r w:rsidRPr="00E109DF">
              <w:rPr>
                <w:rFonts w:ascii="Arial" w:hAnsi="Arial" w:cs="Arial"/>
                <w:i/>
                <w:sz w:val="18"/>
                <w:szCs w:val="18"/>
                <w:highlight w:val="yellow"/>
              </w:rPr>
              <w:lastRenderedPageBreak/>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06DAC" w:rsidRPr="006A08D2" w14:paraId="30E24A88" w14:textId="77777777" w:rsidTr="5BDDCDE6">
        <w:trPr>
          <w:trHeight w:val="294"/>
        </w:trPr>
        <w:tc>
          <w:tcPr>
            <w:tcW w:w="317" w:type="dxa"/>
          </w:tcPr>
          <w:p w14:paraId="33913627" w14:textId="1F39FF7D" w:rsidR="00306DAC" w:rsidRPr="00DC71A8" w:rsidRDefault="00306DAC" w:rsidP="00306DAC">
            <w:pPr>
              <w:jc w:val="both"/>
              <w:rPr>
                <w:rFonts w:ascii="Arial" w:hAnsi="Arial" w:cs="Arial"/>
                <w:sz w:val="18"/>
                <w:szCs w:val="18"/>
              </w:rPr>
            </w:pPr>
            <w:r>
              <w:rPr>
                <w:rFonts w:ascii="Arial" w:hAnsi="Arial" w:cs="Arial"/>
                <w:sz w:val="18"/>
                <w:szCs w:val="18"/>
              </w:rPr>
              <w:t>2</w:t>
            </w:r>
          </w:p>
        </w:tc>
        <w:tc>
          <w:tcPr>
            <w:tcW w:w="6379" w:type="dxa"/>
            <w:gridSpan w:val="4"/>
          </w:tcPr>
          <w:p w14:paraId="64D740DF" w14:textId="373CAF58" w:rsidR="00306DAC" w:rsidRPr="00306DAC" w:rsidRDefault="00306DAC" w:rsidP="00306DAC">
            <w:pPr>
              <w:jc w:val="both"/>
              <w:rPr>
                <w:rFonts w:ascii="Arial" w:hAnsi="Arial" w:cs="Arial"/>
                <w:sz w:val="18"/>
                <w:szCs w:val="18"/>
              </w:rPr>
            </w:pPr>
            <w:r w:rsidRPr="00306DAC">
              <w:rPr>
                <w:rFonts w:ascii="Arial" w:hAnsi="Arial" w:cs="Arial"/>
                <w:sz w:val="18"/>
                <w:szCs w:val="18"/>
              </w:rPr>
              <w:t xml:space="preserve">Bestätigung, dass die internen Verfahren die vollständige Herabschreibung und Umwandlung von Kapitalinstrumenten und berücksichtigungsfähigen Verbindlichkeiten gemäss Art. 78 Abs. 3 </w:t>
            </w:r>
            <w:r w:rsidR="007A2463">
              <w:rPr>
                <w:rFonts w:ascii="Arial" w:hAnsi="Arial" w:cs="Arial"/>
                <w:sz w:val="18"/>
                <w:szCs w:val="18"/>
              </w:rPr>
              <w:t xml:space="preserve">CRR </w:t>
            </w:r>
            <w:r w:rsidRPr="00306DAC">
              <w:rPr>
                <w:rFonts w:ascii="Arial" w:hAnsi="Arial" w:cs="Arial"/>
                <w:sz w:val="18"/>
                <w:szCs w:val="18"/>
              </w:rPr>
              <w:t>i</w:t>
            </w:r>
            <w:r w:rsidR="00E10D8C">
              <w:rPr>
                <w:rFonts w:ascii="Arial" w:hAnsi="Arial" w:cs="Arial"/>
                <w:sz w:val="18"/>
                <w:szCs w:val="18"/>
              </w:rPr>
              <w:t>n</w:t>
            </w:r>
            <w:r w:rsidR="006E20DE">
              <w:rPr>
                <w:rFonts w:ascii="Arial" w:hAnsi="Arial" w:cs="Arial"/>
                <w:sz w:val="18"/>
                <w:szCs w:val="18"/>
              </w:rPr>
              <w:t xml:space="preserve"> </w:t>
            </w:r>
            <w:r w:rsidRPr="00306DAC">
              <w:rPr>
                <w:rFonts w:ascii="Arial" w:hAnsi="Arial" w:cs="Arial"/>
                <w:sz w:val="18"/>
                <w:szCs w:val="18"/>
              </w:rPr>
              <w:t>V</w:t>
            </w:r>
            <w:r w:rsidR="006E20DE">
              <w:rPr>
                <w:rFonts w:ascii="Arial" w:hAnsi="Arial" w:cs="Arial"/>
                <w:sz w:val="18"/>
                <w:szCs w:val="18"/>
              </w:rPr>
              <w:t xml:space="preserve">erbindung </w:t>
            </w:r>
            <w:r w:rsidRPr="00306DAC">
              <w:rPr>
                <w:rFonts w:ascii="Arial" w:hAnsi="Arial" w:cs="Arial"/>
                <w:sz w:val="18"/>
                <w:szCs w:val="18"/>
              </w:rPr>
              <w:t>m</w:t>
            </w:r>
            <w:r w:rsidR="006E20DE">
              <w:rPr>
                <w:rFonts w:ascii="Arial" w:hAnsi="Arial" w:cs="Arial"/>
                <w:sz w:val="18"/>
                <w:szCs w:val="18"/>
              </w:rPr>
              <w:t>it</w:t>
            </w:r>
            <w:r w:rsidRPr="00306DAC">
              <w:rPr>
                <w:rFonts w:ascii="Arial" w:hAnsi="Arial" w:cs="Arial"/>
                <w:sz w:val="18"/>
                <w:szCs w:val="18"/>
              </w:rPr>
              <w:t xml:space="preserve"> Art. 49 Abs. 2 SAG </w:t>
            </w:r>
            <w:r w:rsidR="003B44EA">
              <w:rPr>
                <w:rFonts w:ascii="Arial" w:hAnsi="Arial" w:cs="Arial"/>
                <w:sz w:val="18"/>
                <w:szCs w:val="18"/>
              </w:rPr>
              <w:t>ermöglichen</w:t>
            </w:r>
            <w:r w:rsidR="00D467E5">
              <w:rPr>
                <w:rFonts w:ascii="Arial" w:hAnsi="Arial" w:cs="Arial"/>
                <w:sz w:val="18"/>
                <w:szCs w:val="18"/>
              </w:rPr>
              <w:t xml:space="preserve"> und </w:t>
            </w:r>
            <w:r w:rsidR="00D467E5" w:rsidRPr="00306DAC">
              <w:rPr>
                <w:rFonts w:ascii="Arial" w:hAnsi="Arial" w:cs="Arial"/>
                <w:sz w:val="18"/>
                <w:szCs w:val="18"/>
              </w:rPr>
              <w:t>quantifizieren</w:t>
            </w:r>
            <w:r w:rsidR="002D697F">
              <w:rPr>
                <w:rFonts w:ascii="Arial" w:hAnsi="Arial" w:cs="Arial"/>
                <w:sz w:val="18"/>
                <w:szCs w:val="18"/>
              </w:rPr>
              <w:t xml:space="preserve"> können</w:t>
            </w:r>
            <w:r w:rsidRPr="00306DAC">
              <w:rPr>
                <w:rFonts w:ascii="Arial" w:hAnsi="Arial" w:cs="Arial"/>
                <w:sz w:val="18"/>
                <w:szCs w:val="18"/>
              </w:rPr>
              <w:t>.</w:t>
            </w:r>
          </w:p>
        </w:tc>
        <w:tc>
          <w:tcPr>
            <w:tcW w:w="2522" w:type="dxa"/>
          </w:tcPr>
          <w:p w14:paraId="30E08886" w14:textId="595AF700" w:rsidR="00306DAC" w:rsidRPr="00E109DF" w:rsidRDefault="00306DAC" w:rsidP="00306DAC">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14645E" w:rsidRPr="006A08D2" w14:paraId="39991EE8" w14:textId="77777777" w:rsidTr="5BDDCDE6">
        <w:trPr>
          <w:trHeight w:val="294"/>
        </w:trPr>
        <w:tc>
          <w:tcPr>
            <w:tcW w:w="317" w:type="dxa"/>
          </w:tcPr>
          <w:p w14:paraId="45B9038C" w14:textId="42437D9A" w:rsidR="0014645E" w:rsidRDefault="0014645E" w:rsidP="00306DAC">
            <w:pPr>
              <w:jc w:val="both"/>
              <w:rPr>
                <w:rFonts w:ascii="Arial" w:hAnsi="Arial" w:cs="Arial"/>
                <w:sz w:val="18"/>
                <w:szCs w:val="18"/>
              </w:rPr>
            </w:pPr>
            <w:r>
              <w:rPr>
                <w:rFonts w:ascii="Arial" w:hAnsi="Arial" w:cs="Arial"/>
                <w:sz w:val="18"/>
                <w:szCs w:val="18"/>
              </w:rPr>
              <w:t>3</w:t>
            </w:r>
          </w:p>
        </w:tc>
        <w:tc>
          <w:tcPr>
            <w:tcW w:w="6379" w:type="dxa"/>
            <w:gridSpan w:val="4"/>
          </w:tcPr>
          <w:p w14:paraId="65C9F92F" w14:textId="72CDE100" w:rsidR="0014645E" w:rsidRPr="00306DAC" w:rsidRDefault="0014645E" w:rsidP="00306DAC">
            <w:pPr>
              <w:jc w:val="both"/>
              <w:rPr>
                <w:rFonts w:ascii="Arial" w:hAnsi="Arial" w:cs="Arial"/>
                <w:sz w:val="18"/>
                <w:szCs w:val="18"/>
              </w:rPr>
            </w:pPr>
            <w:r w:rsidRPr="00306DAC">
              <w:rPr>
                <w:rFonts w:ascii="Arial" w:hAnsi="Arial" w:cs="Arial"/>
                <w:sz w:val="18"/>
                <w:szCs w:val="18"/>
              </w:rPr>
              <w:t xml:space="preserve">Bestätigung, dass </w:t>
            </w:r>
            <w:r w:rsidR="00716AAE">
              <w:rPr>
                <w:rFonts w:ascii="Arial" w:hAnsi="Arial" w:cs="Arial"/>
                <w:sz w:val="18"/>
                <w:szCs w:val="18"/>
              </w:rPr>
              <w:t xml:space="preserve">keine Hinweise </w:t>
            </w:r>
            <w:r w:rsidR="00C7174A">
              <w:rPr>
                <w:rFonts w:ascii="Arial" w:hAnsi="Arial" w:cs="Arial"/>
                <w:sz w:val="18"/>
                <w:szCs w:val="18"/>
              </w:rPr>
              <w:t>auf Einschränkungen</w:t>
            </w:r>
            <w:r w:rsidR="00B75CD1">
              <w:rPr>
                <w:rFonts w:ascii="Arial" w:hAnsi="Arial" w:cs="Arial"/>
                <w:sz w:val="18"/>
                <w:szCs w:val="18"/>
              </w:rPr>
              <w:t xml:space="preserve"> </w:t>
            </w:r>
            <w:r w:rsidR="006D117A">
              <w:rPr>
                <w:rFonts w:ascii="Arial" w:hAnsi="Arial" w:cs="Arial"/>
                <w:sz w:val="18"/>
                <w:szCs w:val="18"/>
              </w:rPr>
              <w:t>zur</w:t>
            </w:r>
            <w:r w:rsidR="00B75CD1">
              <w:rPr>
                <w:rFonts w:ascii="Arial" w:hAnsi="Arial" w:cs="Arial"/>
                <w:sz w:val="18"/>
                <w:szCs w:val="18"/>
              </w:rPr>
              <w:t xml:space="preserve"> Anwendung</w:t>
            </w:r>
            <w:r w:rsidR="00D86CBD">
              <w:rPr>
                <w:rFonts w:ascii="Arial" w:hAnsi="Arial" w:cs="Arial"/>
                <w:sz w:val="18"/>
                <w:szCs w:val="18"/>
              </w:rPr>
              <w:t xml:space="preserve"> </w:t>
            </w:r>
            <w:r w:rsidR="006D117A">
              <w:rPr>
                <w:rFonts w:ascii="Arial" w:hAnsi="Arial" w:cs="Arial"/>
                <w:sz w:val="18"/>
                <w:szCs w:val="18"/>
              </w:rPr>
              <w:t xml:space="preserve">des </w:t>
            </w:r>
            <w:r w:rsidR="00E87AC3">
              <w:rPr>
                <w:rFonts w:ascii="Arial" w:hAnsi="Arial" w:cs="Arial"/>
                <w:sz w:val="18"/>
                <w:szCs w:val="18"/>
              </w:rPr>
              <w:t xml:space="preserve">Bail-in </w:t>
            </w:r>
            <w:r w:rsidR="00510966">
              <w:rPr>
                <w:rFonts w:ascii="Arial" w:hAnsi="Arial" w:cs="Arial"/>
                <w:sz w:val="18"/>
                <w:szCs w:val="18"/>
              </w:rPr>
              <w:t>I</w:t>
            </w:r>
            <w:r w:rsidR="00E87AC3">
              <w:rPr>
                <w:rFonts w:ascii="Arial" w:hAnsi="Arial" w:cs="Arial"/>
                <w:sz w:val="18"/>
                <w:szCs w:val="18"/>
              </w:rPr>
              <w:t>nstrument</w:t>
            </w:r>
            <w:r w:rsidR="006D117A">
              <w:rPr>
                <w:rFonts w:ascii="Arial" w:hAnsi="Arial" w:cs="Arial"/>
                <w:sz w:val="18"/>
                <w:szCs w:val="18"/>
              </w:rPr>
              <w:t xml:space="preserve">s </w:t>
            </w:r>
            <w:r w:rsidR="00BF56DB">
              <w:rPr>
                <w:rFonts w:ascii="Arial" w:hAnsi="Arial" w:cs="Arial"/>
                <w:sz w:val="18"/>
                <w:szCs w:val="18"/>
              </w:rPr>
              <w:t>identifiziert wurden</w:t>
            </w:r>
            <w:r w:rsidR="00A710D6">
              <w:rPr>
                <w:rFonts w:ascii="Arial" w:hAnsi="Arial" w:cs="Arial"/>
                <w:sz w:val="18"/>
                <w:szCs w:val="18"/>
              </w:rPr>
              <w:t>.</w:t>
            </w:r>
          </w:p>
        </w:tc>
        <w:tc>
          <w:tcPr>
            <w:tcW w:w="2522" w:type="dxa"/>
          </w:tcPr>
          <w:p w14:paraId="10697ACF" w14:textId="1E5273E8" w:rsidR="0014645E" w:rsidRPr="00E109DF" w:rsidRDefault="0014645E" w:rsidP="00306DAC">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C39CF" w:rsidRPr="006A08D2" w14:paraId="191CB35F" w14:textId="77777777" w:rsidTr="5BDDCDE6">
        <w:trPr>
          <w:trHeight w:val="294"/>
        </w:trPr>
        <w:tc>
          <w:tcPr>
            <w:tcW w:w="317" w:type="dxa"/>
          </w:tcPr>
          <w:p w14:paraId="46D6F429" w14:textId="191C6863" w:rsidR="000C39CF" w:rsidRDefault="0014645E" w:rsidP="000C39CF">
            <w:pPr>
              <w:jc w:val="both"/>
              <w:rPr>
                <w:rFonts w:ascii="Arial" w:hAnsi="Arial" w:cs="Arial"/>
                <w:sz w:val="18"/>
                <w:szCs w:val="18"/>
              </w:rPr>
            </w:pPr>
            <w:r>
              <w:rPr>
                <w:rFonts w:ascii="Arial" w:hAnsi="Arial" w:cs="Arial"/>
                <w:sz w:val="18"/>
                <w:szCs w:val="18"/>
              </w:rPr>
              <w:t>4</w:t>
            </w:r>
          </w:p>
        </w:tc>
        <w:tc>
          <w:tcPr>
            <w:tcW w:w="6379" w:type="dxa"/>
            <w:gridSpan w:val="4"/>
          </w:tcPr>
          <w:p w14:paraId="3F61B551" w14:textId="1DC83284" w:rsidR="000C39CF" w:rsidRPr="00306DAC" w:rsidRDefault="355FAF97" w:rsidP="000C39CF">
            <w:pPr>
              <w:jc w:val="both"/>
              <w:rPr>
                <w:rFonts w:ascii="Arial" w:hAnsi="Arial" w:cs="Arial"/>
                <w:sz w:val="18"/>
                <w:szCs w:val="18"/>
              </w:rPr>
            </w:pPr>
            <w:r w:rsidRPr="5BDDCDE6">
              <w:rPr>
                <w:rFonts w:ascii="Arial" w:hAnsi="Arial" w:cs="Arial"/>
                <w:sz w:val="18"/>
                <w:szCs w:val="18"/>
              </w:rPr>
              <w:t>Bestätigung, dass potentielle Abwicklungsmassnahmen in</w:t>
            </w:r>
            <w:r w:rsidR="0EC0273D" w:rsidRPr="5BDDCDE6">
              <w:rPr>
                <w:rFonts w:ascii="Arial" w:hAnsi="Arial" w:cs="Arial"/>
                <w:sz w:val="18"/>
                <w:szCs w:val="18"/>
              </w:rPr>
              <w:t xml:space="preserve"> relevanten</w:t>
            </w:r>
            <w:r w:rsidRPr="5BDDCDE6">
              <w:rPr>
                <w:rFonts w:ascii="Arial" w:hAnsi="Arial" w:cs="Arial"/>
                <w:sz w:val="18"/>
                <w:szCs w:val="18"/>
              </w:rPr>
              <w:t xml:space="preserve"> bankgeschäftlichen und/oder betrieblichen Verträgen (z.B. Herabschreibung und/oder Transfer von Vermögenswerten und Verbindlichkeiten</w:t>
            </w:r>
            <w:r w:rsidR="14E85D32" w:rsidRPr="5BDDCDE6">
              <w:rPr>
                <w:rFonts w:ascii="Arial" w:hAnsi="Arial" w:cs="Arial"/>
                <w:sz w:val="18"/>
                <w:szCs w:val="18"/>
              </w:rPr>
              <w:t>)</w:t>
            </w:r>
            <w:r w:rsidR="79705186" w:rsidRPr="5BDDCDE6">
              <w:rPr>
                <w:rFonts w:ascii="Arial" w:hAnsi="Arial" w:cs="Arial"/>
                <w:sz w:val="18"/>
                <w:szCs w:val="18"/>
              </w:rPr>
              <w:t xml:space="preserve"> </w:t>
            </w:r>
            <w:r w:rsidR="0EC0273D" w:rsidRPr="5BDDCDE6">
              <w:rPr>
                <w:rFonts w:ascii="Arial" w:hAnsi="Arial" w:cs="Arial"/>
                <w:sz w:val="18"/>
                <w:szCs w:val="18"/>
              </w:rPr>
              <w:t>berücksichtigt sind.</w:t>
            </w:r>
          </w:p>
        </w:tc>
        <w:tc>
          <w:tcPr>
            <w:tcW w:w="2522" w:type="dxa"/>
          </w:tcPr>
          <w:p w14:paraId="2275B7E6" w14:textId="440D57BE" w:rsidR="000C39CF" w:rsidRPr="00E109DF" w:rsidRDefault="000C39CF" w:rsidP="000C39CF">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1C7E951" w14:textId="53282540" w:rsidR="5BDDCDE6" w:rsidRDefault="5BDDCDE6" w:rsidP="5BDDCDE6">
      <w:pPr>
        <w:jc w:val="both"/>
        <w:rPr>
          <w:rFonts w:ascii="Arial" w:hAnsi="Arial" w:cs="Arial"/>
          <w:i/>
          <w:iCs/>
          <w:sz w:val="20"/>
          <w:szCs w:val="20"/>
          <w:highlight w:val="yellow"/>
        </w:rPr>
      </w:pPr>
    </w:p>
    <w:tbl>
      <w:tblPr>
        <w:tblStyle w:val="Tabellenraster"/>
        <w:tblW w:w="0" w:type="auto"/>
        <w:tblLook w:val="04A0" w:firstRow="1" w:lastRow="0" w:firstColumn="1" w:lastColumn="0" w:noHBand="0" w:noVBand="1"/>
      </w:tblPr>
      <w:tblGrid>
        <w:gridCol w:w="1980"/>
        <w:gridCol w:w="7229"/>
      </w:tblGrid>
      <w:tr w:rsidR="00343BBB" w14:paraId="350DF88C" w14:textId="77777777" w:rsidTr="00A3201A">
        <w:trPr>
          <w:trHeight w:val="300"/>
        </w:trPr>
        <w:tc>
          <w:tcPr>
            <w:tcW w:w="1980" w:type="dxa"/>
          </w:tcPr>
          <w:p w14:paraId="516CD334" w14:textId="77777777" w:rsidR="00343BBB" w:rsidRDefault="00343BBB">
            <w:pPr>
              <w:jc w:val="both"/>
              <w:rPr>
                <w:rFonts w:ascii="Arial" w:hAnsi="Arial" w:cs="Arial"/>
                <w:b/>
                <w:bCs/>
                <w:i/>
                <w:iCs/>
                <w:sz w:val="18"/>
                <w:szCs w:val="18"/>
              </w:rPr>
            </w:pPr>
            <w:r w:rsidRPr="5BDDCDE6">
              <w:rPr>
                <w:rFonts w:ascii="Arial" w:hAnsi="Arial" w:cs="Arial"/>
                <w:b/>
                <w:bCs/>
                <w:i/>
                <w:iCs/>
                <w:sz w:val="18"/>
                <w:szCs w:val="18"/>
              </w:rPr>
              <w:t>Prüfelemente</w:t>
            </w:r>
          </w:p>
        </w:tc>
        <w:tc>
          <w:tcPr>
            <w:tcW w:w="7229" w:type="dxa"/>
          </w:tcPr>
          <w:p w14:paraId="56EF4A9B" w14:textId="77777777" w:rsidR="00343BBB" w:rsidRDefault="00343BBB">
            <w:pPr>
              <w:jc w:val="both"/>
              <w:rPr>
                <w:rFonts w:ascii="Arial" w:hAnsi="Arial" w:cs="Arial"/>
                <w:b/>
                <w:bCs/>
                <w:i/>
                <w:iCs/>
                <w:sz w:val="18"/>
                <w:szCs w:val="18"/>
              </w:rPr>
            </w:pPr>
            <w:r w:rsidRPr="5BDDCDE6">
              <w:rPr>
                <w:rFonts w:ascii="Arial" w:hAnsi="Arial" w:cs="Arial"/>
                <w:b/>
                <w:bCs/>
                <w:i/>
                <w:iCs/>
                <w:sz w:val="18"/>
                <w:szCs w:val="18"/>
              </w:rPr>
              <w:t>Mindestprüfinhalte («Muster»)</w:t>
            </w:r>
          </w:p>
        </w:tc>
      </w:tr>
      <w:tr w:rsidR="00343BBB" w14:paraId="5A9CC0E8" w14:textId="77777777" w:rsidTr="00A3201A">
        <w:trPr>
          <w:trHeight w:val="300"/>
        </w:trPr>
        <w:tc>
          <w:tcPr>
            <w:tcW w:w="1980" w:type="dxa"/>
          </w:tcPr>
          <w:p w14:paraId="7404DD56" w14:textId="77777777" w:rsidR="00343BBB" w:rsidRDefault="00343BBB">
            <w:pPr>
              <w:spacing w:line="259" w:lineRule="auto"/>
              <w:jc w:val="both"/>
              <w:rPr>
                <w:rFonts w:ascii="Arial" w:hAnsi="Arial" w:cs="Arial"/>
                <w:i/>
                <w:iCs/>
                <w:sz w:val="18"/>
                <w:szCs w:val="18"/>
              </w:rPr>
            </w:pPr>
            <w:r w:rsidRPr="5BDDCDE6">
              <w:rPr>
                <w:rFonts w:ascii="Arial" w:eastAsia="Arial" w:hAnsi="Arial" w:cs="Arial"/>
                <w:i/>
                <w:iCs/>
                <w:sz w:val="18"/>
                <w:szCs w:val="18"/>
              </w:rPr>
              <w:t xml:space="preserve">Interne Organisation </w:t>
            </w:r>
          </w:p>
        </w:tc>
        <w:tc>
          <w:tcPr>
            <w:tcW w:w="7229" w:type="dxa"/>
          </w:tcPr>
          <w:p w14:paraId="79AC1B35" w14:textId="400200B7" w:rsidR="00343BBB" w:rsidRDefault="00343BBB">
            <w:pPr>
              <w:pStyle w:val="Listenabsatz"/>
              <w:numPr>
                <w:ilvl w:val="1"/>
                <w:numId w:val="10"/>
              </w:numPr>
              <w:spacing w:line="259" w:lineRule="auto"/>
              <w:ind w:left="317" w:hanging="283"/>
              <w:jc w:val="both"/>
              <w:rPr>
                <w:rFonts w:cs="Arial"/>
                <w:i/>
                <w:color w:val="FF0000"/>
                <w:sz w:val="18"/>
                <w:szCs w:val="18"/>
              </w:rPr>
            </w:pPr>
            <w:r w:rsidRPr="3E104B00">
              <w:rPr>
                <w:rFonts w:cs="Arial"/>
                <w:i/>
                <w:iCs/>
                <w:sz w:val="18"/>
                <w:szCs w:val="18"/>
              </w:rPr>
              <w:t xml:space="preserve">Die interne Organisationsstruktur (z.B. Weisungswesen, technische, personelle und fachliche Ressourcen) stellt sicher, </w:t>
            </w:r>
            <w:r w:rsidRPr="0DF2805F">
              <w:rPr>
                <w:rFonts w:cs="Arial"/>
                <w:i/>
                <w:sz w:val="18"/>
                <w:szCs w:val="18"/>
              </w:rPr>
              <w:t xml:space="preserve">dass Verfahren </w:t>
            </w:r>
            <w:r>
              <w:rPr>
                <w:rFonts w:cs="Arial"/>
                <w:i/>
                <w:sz w:val="18"/>
                <w:szCs w:val="18"/>
              </w:rPr>
              <w:t>zur</w:t>
            </w:r>
            <w:r w:rsidRPr="0DF2805F">
              <w:rPr>
                <w:rFonts w:cs="Arial"/>
                <w:i/>
                <w:sz w:val="18"/>
                <w:szCs w:val="18"/>
              </w:rPr>
              <w:t xml:space="preserve"> </w:t>
            </w:r>
            <w:r w:rsidRPr="0DF2805F">
              <w:rPr>
                <w:rFonts w:cs="Arial"/>
                <w:i/>
                <w:iCs/>
                <w:sz w:val="18"/>
                <w:szCs w:val="18"/>
              </w:rPr>
              <w:t>Quantifizierung</w:t>
            </w:r>
            <w:r w:rsidRPr="0DF2805F">
              <w:rPr>
                <w:rFonts w:cs="Arial"/>
                <w:i/>
                <w:sz w:val="18"/>
                <w:szCs w:val="18"/>
              </w:rPr>
              <w:t xml:space="preserve"> und Zuordnung </w:t>
            </w:r>
            <w:r w:rsidRPr="0DF2805F">
              <w:rPr>
                <w:rFonts w:cs="Arial"/>
                <w:i/>
                <w:iCs/>
                <w:sz w:val="18"/>
                <w:szCs w:val="18"/>
              </w:rPr>
              <w:t xml:space="preserve">von </w:t>
            </w:r>
            <w:r w:rsidR="00DF4A45">
              <w:rPr>
                <w:rFonts w:cs="Arial"/>
                <w:i/>
                <w:iCs/>
                <w:sz w:val="18"/>
                <w:szCs w:val="18"/>
              </w:rPr>
              <w:t xml:space="preserve">berücksichtigungsfähigen </w:t>
            </w:r>
            <w:r w:rsidRPr="0DF2805F">
              <w:rPr>
                <w:rFonts w:cs="Arial"/>
                <w:i/>
                <w:iCs/>
                <w:sz w:val="18"/>
                <w:szCs w:val="18"/>
              </w:rPr>
              <w:t xml:space="preserve"> Verbindlichkeiten</w:t>
            </w:r>
            <w:r w:rsidR="005B35C8">
              <w:rPr>
                <w:rFonts w:cs="Arial"/>
                <w:i/>
                <w:iCs/>
                <w:sz w:val="18"/>
                <w:szCs w:val="18"/>
              </w:rPr>
              <w:t xml:space="preserve">, zur zulässigen Verringerung der Verbindlichkeiten nach Art 78a CRR, </w:t>
            </w:r>
            <w:r w:rsidRPr="0DF2805F">
              <w:rPr>
                <w:rFonts w:cs="Arial"/>
                <w:i/>
                <w:iCs/>
                <w:sz w:val="18"/>
                <w:szCs w:val="18"/>
              </w:rPr>
              <w:t xml:space="preserve">sowie </w:t>
            </w:r>
            <w:r>
              <w:rPr>
                <w:rFonts w:cs="Arial"/>
                <w:i/>
                <w:iCs/>
                <w:sz w:val="18"/>
                <w:szCs w:val="18"/>
              </w:rPr>
              <w:t>zur</w:t>
            </w:r>
            <w:r w:rsidRPr="0DF2805F">
              <w:rPr>
                <w:rFonts w:cs="Arial"/>
                <w:i/>
                <w:iCs/>
                <w:sz w:val="18"/>
                <w:szCs w:val="18"/>
              </w:rPr>
              <w:t xml:space="preserve"> vollständige</w:t>
            </w:r>
            <w:r>
              <w:rPr>
                <w:rFonts w:cs="Arial"/>
                <w:i/>
                <w:iCs/>
                <w:sz w:val="18"/>
                <w:szCs w:val="18"/>
              </w:rPr>
              <w:t>n</w:t>
            </w:r>
            <w:r w:rsidRPr="0DF2805F">
              <w:rPr>
                <w:rFonts w:cs="Arial"/>
                <w:i/>
                <w:iCs/>
                <w:sz w:val="18"/>
                <w:szCs w:val="18"/>
              </w:rPr>
              <w:t xml:space="preserve"> Herabschreibung oder Umwandlung von Kapitalinstrumenten oder Verbindlichkeiten</w:t>
            </w:r>
            <w:r w:rsidRPr="0DF2805F">
              <w:rPr>
                <w:rFonts w:cs="Arial"/>
                <w:i/>
                <w:sz w:val="18"/>
                <w:szCs w:val="18"/>
              </w:rPr>
              <w:t xml:space="preserve"> </w:t>
            </w:r>
            <w:r>
              <w:rPr>
                <w:rFonts w:cs="Arial"/>
                <w:i/>
                <w:sz w:val="18"/>
                <w:szCs w:val="18"/>
              </w:rPr>
              <w:t>existieren</w:t>
            </w:r>
          </w:p>
        </w:tc>
      </w:tr>
      <w:tr w:rsidR="00343BBB" w14:paraId="1B5C7622" w14:textId="77777777" w:rsidTr="00A3201A">
        <w:trPr>
          <w:trHeight w:val="300"/>
        </w:trPr>
        <w:tc>
          <w:tcPr>
            <w:tcW w:w="1980" w:type="dxa"/>
          </w:tcPr>
          <w:p w14:paraId="4AA15979" w14:textId="77777777" w:rsidR="00343BBB" w:rsidRDefault="00343BBB">
            <w:pPr>
              <w:spacing w:line="259" w:lineRule="auto"/>
              <w:jc w:val="both"/>
              <w:rPr>
                <w:rFonts w:ascii="Arial" w:hAnsi="Arial" w:cs="Arial"/>
                <w:i/>
                <w:iCs/>
                <w:sz w:val="18"/>
                <w:szCs w:val="18"/>
              </w:rPr>
            </w:pPr>
            <w:r w:rsidRPr="5BDDCDE6">
              <w:rPr>
                <w:rFonts w:ascii="Arial" w:eastAsia="Arial" w:hAnsi="Arial" w:cs="Arial"/>
                <w:i/>
                <w:iCs/>
                <w:sz w:val="18"/>
                <w:szCs w:val="18"/>
              </w:rPr>
              <w:t>Internes Kontrollsystem, Prozesse und Berichterstattung</w:t>
            </w:r>
          </w:p>
        </w:tc>
        <w:tc>
          <w:tcPr>
            <w:tcW w:w="7229" w:type="dxa"/>
          </w:tcPr>
          <w:p w14:paraId="2AF264F4" w14:textId="77777777" w:rsidR="00343BBB" w:rsidRPr="00DD4F85" w:rsidRDefault="00343BBB">
            <w:pPr>
              <w:pStyle w:val="Listenabsatz"/>
              <w:numPr>
                <w:ilvl w:val="0"/>
                <w:numId w:val="14"/>
              </w:numPr>
              <w:spacing w:line="259" w:lineRule="auto"/>
              <w:ind w:left="317" w:hanging="283"/>
              <w:jc w:val="both"/>
              <w:rPr>
                <w:i/>
                <w:iCs/>
              </w:rPr>
            </w:pPr>
            <w:r w:rsidRPr="5BDDCDE6">
              <w:rPr>
                <w:rFonts w:cs="Arial"/>
                <w:i/>
                <w:iCs/>
                <w:sz w:val="18"/>
                <w:szCs w:val="18"/>
              </w:rPr>
              <w:t xml:space="preserve">Die internen Verfahren sehen die Anwendung des 4-Augen-Prinzips </w:t>
            </w:r>
            <w:r>
              <w:rPr>
                <w:rFonts w:cs="Arial"/>
                <w:i/>
                <w:iCs/>
                <w:sz w:val="18"/>
                <w:szCs w:val="18"/>
              </w:rPr>
              <w:t>bzw.</w:t>
            </w:r>
            <w:r w:rsidRPr="5BDDCDE6">
              <w:rPr>
                <w:rFonts w:cs="Arial"/>
                <w:i/>
                <w:iCs/>
                <w:sz w:val="18"/>
                <w:szCs w:val="18"/>
              </w:rPr>
              <w:t xml:space="preserve"> Funktionstrennung bei Schlüsselkontrollen vor </w:t>
            </w:r>
          </w:p>
          <w:p w14:paraId="3017B0FE" w14:textId="5A9607A9" w:rsidR="00343BBB" w:rsidRDefault="00343BBB">
            <w:pPr>
              <w:pStyle w:val="Listenabsatz"/>
              <w:numPr>
                <w:ilvl w:val="0"/>
                <w:numId w:val="14"/>
              </w:numPr>
              <w:spacing w:line="259" w:lineRule="auto"/>
              <w:ind w:left="317" w:hanging="283"/>
              <w:jc w:val="both"/>
              <w:rPr>
                <w:rFonts w:cs="Arial"/>
                <w:i/>
                <w:iCs/>
                <w:sz w:val="18"/>
                <w:szCs w:val="18"/>
              </w:rPr>
            </w:pPr>
            <w:r w:rsidRPr="00AB7CEE">
              <w:rPr>
                <w:rFonts w:cs="Arial"/>
                <w:i/>
                <w:iCs/>
                <w:sz w:val="18"/>
                <w:szCs w:val="18"/>
              </w:rPr>
              <w:t>Datenqualitätssichernde Kontrollen sind definiert</w:t>
            </w:r>
          </w:p>
          <w:p w14:paraId="17EDDDA3" w14:textId="41865C77" w:rsidR="00343BBB" w:rsidRDefault="00343BBB">
            <w:pPr>
              <w:pStyle w:val="Listenabsatz"/>
              <w:numPr>
                <w:ilvl w:val="0"/>
                <w:numId w:val="14"/>
              </w:numPr>
              <w:spacing w:line="259" w:lineRule="auto"/>
              <w:ind w:left="317" w:hanging="283"/>
              <w:jc w:val="both"/>
              <w:rPr>
                <w:rFonts w:cs="Arial"/>
                <w:i/>
                <w:sz w:val="18"/>
                <w:szCs w:val="18"/>
              </w:rPr>
            </w:pPr>
            <w:r>
              <w:rPr>
                <w:rFonts w:cs="Arial"/>
                <w:i/>
                <w:sz w:val="18"/>
                <w:szCs w:val="18"/>
              </w:rPr>
              <w:t>Potentielle Abwicklungsmassnahmen</w:t>
            </w:r>
            <w:r w:rsidR="00150A9A">
              <w:rPr>
                <w:rFonts w:cs="Arial"/>
                <w:i/>
                <w:sz w:val="18"/>
                <w:szCs w:val="18"/>
              </w:rPr>
              <w:t xml:space="preserve"> </w:t>
            </w:r>
            <w:r>
              <w:rPr>
                <w:rFonts w:cs="Arial"/>
                <w:i/>
                <w:sz w:val="18"/>
                <w:szCs w:val="18"/>
              </w:rPr>
              <w:t xml:space="preserve">sind in </w:t>
            </w:r>
            <w:r w:rsidRPr="00E20905">
              <w:rPr>
                <w:rFonts w:cs="Arial"/>
                <w:i/>
                <w:sz w:val="18"/>
                <w:szCs w:val="18"/>
              </w:rPr>
              <w:t>bankgeschäftlichen und/oder betrieblichen Verträgen</w:t>
            </w:r>
            <w:r>
              <w:rPr>
                <w:rFonts w:cs="Arial"/>
                <w:i/>
                <w:sz w:val="18"/>
                <w:szCs w:val="18"/>
              </w:rPr>
              <w:t xml:space="preserve"> </w:t>
            </w:r>
            <w:r w:rsidRPr="008C0CCF">
              <w:rPr>
                <w:rFonts w:cs="Arial"/>
                <w:i/>
                <w:sz w:val="18"/>
                <w:szCs w:val="18"/>
              </w:rPr>
              <w:t xml:space="preserve">berücksichtigt </w:t>
            </w:r>
          </w:p>
        </w:tc>
      </w:tr>
    </w:tbl>
    <w:p w14:paraId="3623A09A" w14:textId="6EC11BAC" w:rsidR="5BDDCDE6" w:rsidRDefault="5BDDCDE6" w:rsidP="5BDDCDE6">
      <w:pPr>
        <w:jc w:val="both"/>
        <w:rPr>
          <w:rFonts w:ascii="Arial" w:hAnsi="Arial" w:cs="Arial"/>
          <w:i/>
          <w:iCs/>
          <w:sz w:val="20"/>
          <w:szCs w:val="20"/>
          <w:highlight w:val="yellow"/>
        </w:rPr>
      </w:pPr>
    </w:p>
    <w:p w14:paraId="03FA2994" w14:textId="04ADC144" w:rsidR="00C44FE4" w:rsidRDefault="00C44FE4" w:rsidP="00C37D08">
      <w:pPr>
        <w:pStyle w:val="FINMAGliederungEbene2"/>
      </w:pPr>
      <w:bookmarkStart w:id="59" w:name="_Toc147141456"/>
      <w:r>
        <w:t>Liquidität und Refinanzierung</w:t>
      </w:r>
      <w:bookmarkEnd w:id="59"/>
    </w:p>
    <w:p w14:paraId="2F19C44B" w14:textId="77777777" w:rsidR="00C44FE4" w:rsidRPr="006067FE" w:rsidRDefault="00C44FE4" w:rsidP="00C44FE4">
      <w:pPr>
        <w:jc w:val="both"/>
      </w:pPr>
    </w:p>
    <w:tbl>
      <w:tblPr>
        <w:tblStyle w:val="Tabellenraster"/>
        <w:tblW w:w="0" w:type="auto"/>
        <w:tblLook w:val="04A0" w:firstRow="1" w:lastRow="0" w:firstColumn="1" w:lastColumn="0" w:noHBand="0" w:noVBand="1"/>
      </w:tblPr>
      <w:tblGrid>
        <w:gridCol w:w="417"/>
        <w:gridCol w:w="1653"/>
        <w:gridCol w:w="2145"/>
        <w:gridCol w:w="1721"/>
        <w:gridCol w:w="860"/>
        <w:gridCol w:w="2522"/>
      </w:tblGrid>
      <w:tr w:rsidR="00C44FE4" w:rsidRPr="009872F3" w14:paraId="7D8C39B8" w14:textId="77777777" w:rsidTr="0046461F">
        <w:trPr>
          <w:trHeight w:val="563"/>
        </w:trPr>
        <w:tc>
          <w:tcPr>
            <w:tcW w:w="2070" w:type="dxa"/>
            <w:gridSpan w:val="2"/>
            <w:shd w:val="clear" w:color="auto" w:fill="DBE5F1" w:themeFill="accent1" w:themeFillTint="33"/>
          </w:tcPr>
          <w:p w14:paraId="0A8C4D90" w14:textId="77777777" w:rsidR="00C44FE4" w:rsidRPr="009872F3" w:rsidRDefault="00C44FE4" w:rsidP="00C747F0">
            <w:pPr>
              <w:jc w:val="both"/>
              <w:rPr>
                <w:rFonts w:ascii="Arial" w:hAnsi="Arial" w:cs="Arial"/>
                <w:sz w:val="18"/>
                <w:szCs w:val="18"/>
              </w:rPr>
            </w:pPr>
            <w:r w:rsidRPr="009872F3">
              <w:rPr>
                <w:rFonts w:ascii="Arial" w:hAnsi="Arial" w:cs="Arial"/>
                <w:sz w:val="18"/>
                <w:szCs w:val="18"/>
              </w:rPr>
              <w:t>Nettorisiko</w:t>
            </w:r>
          </w:p>
        </w:tc>
        <w:tc>
          <w:tcPr>
            <w:tcW w:w="2145" w:type="dxa"/>
            <w:shd w:val="clear" w:color="auto" w:fill="DBE5F1" w:themeFill="accent1" w:themeFillTint="33"/>
          </w:tcPr>
          <w:p w14:paraId="43883865" w14:textId="77777777" w:rsidR="00C44FE4" w:rsidRPr="009872F3" w:rsidRDefault="00C44FE4" w:rsidP="00C747F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3"/>
            <w:shd w:val="clear" w:color="auto" w:fill="DBE5F1" w:themeFill="accent1" w:themeFillTint="33"/>
          </w:tcPr>
          <w:p w14:paraId="5BE8658A" w14:textId="77777777" w:rsidR="00C44FE4" w:rsidRPr="009872F3" w:rsidRDefault="00C44FE4" w:rsidP="00C747F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44FE4" w:rsidRPr="009872F3" w14:paraId="30FB6A1C" w14:textId="77777777" w:rsidTr="0046461F">
        <w:trPr>
          <w:trHeight w:val="698"/>
        </w:trPr>
        <w:tc>
          <w:tcPr>
            <w:tcW w:w="2070" w:type="dxa"/>
            <w:gridSpan w:val="2"/>
            <w:shd w:val="clear" w:color="auto" w:fill="DBE5F1" w:themeFill="accent1" w:themeFillTint="33"/>
          </w:tcPr>
          <w:p w14:paraId="078F38D7" w14:textId="77777777" w:rsidR="00C44FE4" w:rsidRPr="006749F0" w:rsidRDefault="00C44FE4" w:rsidP="00C747F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shd w:val="clear" w:color="auto" w:fill="DBE5F1" w:themeFill="accent1" w:themeFillTint="33"/>
          </w:tcPr>
          <w:p w14:paraId="1C844049" w14:textId="77777777" w:rsidR="00C44FE4" w:rsidRPr="006749F0" w:rsidRDefault="00C44FE4" w:rsidP="00C747F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shd w:val="clear" w:color="auto" w:fill="DBE5F1" w:themeFill="accent1" w:themeFillTint="33"/>
          </w:tcPr>
          <w:p w14:paraId="18A3027E" w14:textId="77777777" w:rsidR="00C44FE4" w:rsidRPr="009872F3" w:rsidRDefault="00C44FE4" w:rsidP="00C747F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gridSpan w:val="2"/>
            <w:shd w:val="clear" w:color="auto" w:fill="DBE5F1" w:themeFill="accent1" w:themeFillTint="33"/>
          </w:tcPr>
          <w:p w14:paraId="40A36AAC" w14:textId="77777777" w:rsidR="00C44FE4" w:rsidRDefault="00C44FE4" w:rsidP="00C747F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8402C96" w14:textId="77777777" w:rsidR="00C44FE4" w:rsidRPr="006749F0" w:rsidRDefault="00C44FE4" w:rsidP="00C747F0">
            <w:pPr>
              <w:jc w:val="both"/>
              <w:rPr>
                <w:rFonts w:ascii="Arial" w:hAnsi="Arial" w:cs="Arial"/>
                <w:i/>
                <w:sz w:val="18"/>
                <w:szCs w:val="18"/>
              </w:rPr>
            </w:pPr>
            <w:r w:rsidRPr="006749F0">
              <w:rPr>
                <w:rFonts w:ascii="Arial" w:hAnsi="Arial" w:cs="Arial"/>
                <w:i/>
                <w:sz w:val="18"/>
                <w:szCs w:val="18"/>
                <w:highlight w:val="yellow"/>
              </w:rPr>
              <w:t>Jahr</w:t>
            </w:r>
          </w:p>
        </w:tc>
      </w:tr>
      <w:tr w:rsidR="00C44FE4" w:rsidRPr="009872F3" w14:paraId="10E85CEE" w14:textId="77777777" w:rsidTr="0046461F">
        <w:trPr>
          <w:trHeight w:val="636"/>
        </w:trPr>
        <w:tc>
          <w:tcPr>
            <w:tcW w:w="9318" w:type="dxa"/>
            <w:gridSpan w:val="6"/>
            <w:shd w:val="clear" w:color="auto" w:fill="DBE5F1" w:themeFill="accent1" w:themeFillTint="33"/>
          </w:tcPr>
          <w:p w14:paraId="7BA41C12" w14:textId="77777777" w:rsidR="00DD758F" w:rsidRPr="00DD758F" w:rsidRDefault="00DD758F" w:rsidP="00DD758F">
            <w:pPr>
              <w:jc w:val="both"/>
              <w:rPr>
                <w:rFonts w:ascii="Arial" w:hAnsi="Arial" w:cs="Arial"/>
                <w:i/>
                <w:sz w:val="18"/>
                <w:szCs w:val="18"/>
              </w:rPr>
            </w:pPr>
            <w:r w:rsidRPr="00DD758F">
              <w:rPr>
                <w:rFonts w:ascii="Arial" w:hAnsi="Arial" w:cs="Arial"/>
                <w:i/>
                <w:sz w:val="18"/>
                <w:szCs w:val="18"/>
              </w:rPr>
              <w:t>Referenzen (demonstrativ):</w:t>
            </w:r>
          </w:p>
          <w:p w14:paraId="4F751ABC" w14:textId="77777777" w:rsidR="00DD758F" w:rsidRPr="00997881" w:rsidRDefault="00DD758F" w:rsidP="00C37D08">
            <w:pPr>
              <w:pStyle w:val="Listenabsatz"/>
              <w:numPr>
                <w:ilvl w:val="0"/>
                <w:numId w:val="9"/>
              </w:numPr>
              <w:ind w:left="308"/>
              <w:jc w:val="both"/>
              <w:rPr>
                <w:rFonts w:cs="Arial"/>
                <w:sz w:val="18"/>
                <w:szCs w:val="18"/>
              </w:rPr>
            </w:pPr>
            <w:r w:rsidRPr="00997881">
              <w:rPr>
                <w:rFonts w:cs="Arial"/>
                <w:sz w:val="18"/>
                <w:szCs w:val="18"/>
              </w:rPr>
              <w:t>EBA Leitlinien zur Verbesserung der Abwicklungsfähigkeit für Institute und Abwicklungsbehörden</w:t>
            </w:r>
          </w:p>
          <w:p w14:paraId="13EA0E6F" w14:textId="77777777" w:rsidR="00C44FE4" w:rsidRDefault="00DD758F" w:rsidP="00543B51">
            <w:pPr>
              <w:pStyle w:val="Listenabsatz"/>
              <w:ind w:left="308"/>
              <w:jc w:val="both"/>
              <w:rPr>
                <w:rFonts w:cs="Arial"/>
                <w:sz w:val="18"/>
                <w:szCs w:val="18"/>
              </w:rPr>
            </w:pPr>
            <w:r w:rsidRPr="00997881">
              <w:rPr>
                <w:rFonts w:cs="Arial"/>
                <w:sz w:val="18"/>
                <w:szCs w:val="18"/>
              </w:rPr>
              <w:t>(Resolvability Guidelines; EBA/GL/2022/01)</w:t>
            </w:r>
          </w:p>
          <w:p w14:paraId="01AE25AF" w14:textId="1FE965E9" w:rsidR="00E75BEB" w:rsidRPr="00E75BEB" w:rsidRDefault="00E75BEB" w:rsidP="0096765A">
            <w:pPr>
              <w:pStyle w:val="Listenabsatz"/>
              <w:numPr>
                <w:ilvl w:val="0"/>
                <w:numId w:val="9"/>
              </w:numPr>
              <w:ind w:left="308"/>
              <w:jc w:val="both"/>
              <w:rPr>
                <w:rFonts w:cs="Arial"/>
                <w:sz w:val="18"/>
                <w:szCs w:val="18"/>
              </w:rPr>
            </w:pPr>
            <w:r w:rsidRPr="00997881">
              <w:rPr>
                <w:rFonts w:cs="Arial"/>
                <w:sz w:val="18"/>
                <w:szCs w:val="18"/>
              </w:rPr>
              <w:t>FMA-Mitteilung 2022/02 betreffend die Festlegung der Mindestanforderung an Eigenmittel und berücksichtigungsfähige Verbindlichkeiten und entsprechender Schnittstellen zur Abwicklungsplanung für Banken und Wertpapierfirmen («MREL-Policy»)</w:t>
            </w:r>
          </w:p>
        </w:tc>
      </w:tr>
      <w:tr w:rsidR="00C44FE4" w:rsidRPr="009872F3" w14:paraId="2048E0BA" w14:textId="77777777" w:rsidTr="0046461F">
        <w:trPr>
          <w:trHeight w:val="294"/>
        </w:trPr>
        <w:tc>
          <w:tcPr>
            <w:tcW w:w="9318" w:type="dxa"/>
            <w:gridSpan w:val="6"/>
          </w:tcPr>
          <w:p w14:paraId="3D41CC56" w14:textId="77777777" w:rsidR="00C44FE4" w:rsidRPr="009872F3" w:rsidRDefault="00C44FE4" w:rsidP="00C747F0">
            <w:pPr>
              <w:jc w:val="both"/>
              <w:rPr>
                <w:rFonts w:ascii="Arial" w:hAnsi="Arial" w:cs="Arial"/>
                <w:sz w:val="18"/>
                <w:szCs w:val="18"/>
              </w:rPr>
            </w:pPr>
          </w:p>
        </w:tc>
      </w:tr>
      <w:tr w:rsidR="00E43C84" w:rsidRPr="009872F3" w14:paraId="197C025F" w14:textId="77777777" w:rsidTr="0046461F">
        <w:trPr>
          <w:trHeight w:val="294"/>
        </w:trPr>
        <w:tc>
          <w:tcPr>
            <w:tcW w:w="417" w:type="dxa"/>
          </w:tcPr>
          <w:p w14:paraId="75E070E8" w14:textId="423E0BE2" w:rsidR="00E43C84" w:rsidRPr="009872F3" w:rsidRDefault="00E43C84" w:rsidP="00E43C84">
            <w:pPr>
              <w:jc w:val="both"/>
              <w:rPr>
                <w:rFonts w:ascii="Arial" w:hAnsi="Arial" w:cs="Arial"/>
                <w:sz w:val="18"/>
                <w:szCs w:val="18"/>
              </w:rPr>
            </w:pPr>
            <w:r>
              <w:rPr>
                <w:rFonts w:ascii="Arial" w:hAnsi="Arial" w:cs="Arial"/>
                <w:sz w:val="18"/>
                <w:szCs w:val="18"/>
              </w:rPr>
              <w:t>1</w:t>
            </w:r>
          </w:p>
        </w:tc>
        <w:tc>
          <w:tcPr>
            <w:tcW w:w="6379" w:type="dxa"/>
            <w:gridSpan w:val="4"/>
          </w:tcPr>
          <w:p w14:paraId="3E585F0E" w14:textId="69CD8483" w:rsidR="00E43C84" w:rsidRPr="009872F3" w:rsidRDefault="00E43C84" w:rsidP="00E43C84">
            <w:pPr>
              <w:jc w:val="both"/>
              <w:rPr>
                <w:rFonts w:ascii="Arial" w:hAnsi="Arial" w:cs="Arial"/>
                <w:sz w:val="18"/>
                <w:szCs w:val="18"/>
              </w:rPr>
            </w:pPr>
            <w:r>
              <w:rPr>
                <w:rFonts w:ascii="Arial" w:hAnsi="Arial" w:cs="Arial"/>
                <w:sz w:val="18"/>
                <w:szCs w:val="18"/>
              </w:rPr>
              <w:t xml:space="preserve">Bestätigung, dass die internen </w:t>
            </w:r>
            <w:r w:rsidRPr="006E2516">
              <w:rPr>
                <w:rFonts w:ascii="Arial" w:hAnsi="Arial" w:cs="Arial"/>
                <w:sz w:val="18"/>
                <w:szCs w:val="18"/>
              </w:rPr>
              <w:t>Verfahren</w:t>
            </w:r>
            <w:r>
              <w:rPr>
                <w:rFonts w:ascii="Arial" w:hAnsi="Arial" w:cs="Arial"/>
                <w:sz w:val="18"/>
                <w:szCs w:val="18"/>
              </w:rPr>
              <w:t xml:space="preserve"> </w:t>
            </w:r>
            <w:r w:rsidR="00012701">
              <w:rPr>
                <w:rFonts w:ascii="Arial" w:hAnsi="Arial" w:cs="Arial"/>
                <w:sz w:val="18"/>
                <w:szCs w:val="18"/>
              </w:rPr>
              <w:t xml:space="preserve">eine </w:t>
            </w:r>
            <w:r>
              <w:rPr>
                <w:rFonts w:ascii="Arial" w:hAnsi="Arial" w:cs="Arial"/>
                <w:sz w:val="18"/>
                <w:szCs w:val="18"/>
              </w:rPr>
              <w:t xml:space="preserve">Liquiditätsanalyse </w:t>
            </w:r>
            <w:r w:rsidRPr="006E2516">
              <w:rPr>
                <w:rFonts w:ascii="Arial" w:hAnsi="Arial" w:cs="Arial"/>
                <w:sz w:val="18"/>
                <w:szCs w:val="18"/>
              </w:rPr>
              <w:t xml:space="preserve">nach </w:t>
            </w:r>
            <w:r>
              <w:rPr>
                <w:rFonts w:ascii="Arial" w:hAnsi="Arial" w:cs="Arial"/>
                <w:sz w:val="18"/>
                <w:szCs w:val="18"/>
              </w:rPr>
              <w:t>EBA/GL/2022/01 (</w:t>
            </w:r>
            <w:r w:rsidRPr="00B56D96">
              <w:rPr>
                <w:rFonts w:ascii="Arial" w:hAnsi="Arial" w:cs="Arial"/>
                <w:sz w:val="18"/>
                <w:szCs w:val="18"/>
              </w:rPr>
              <w:t>Kapitel 4.2.1)</w:t>
            </w:r>
            <w:r w:rsidR="003A53AC">
              <w:rPr>
                <w:rFonts w:ascii="Arial" w:hAnsi="Arial" w:cs="Arial"/>
                <w:sz w:val="18"/>
                <w:szCs w:val="18"/>
              </w:rPr>
              <w:t xml:space="preserve"> ermöglichen</w:t>
            </w:r>
            <w:r>
              <w:rPr>
                <w:rFonts w:ascii="Arial" w:hAnsi="Arial" w:cs="Arial"/>
                <w:sz w:val="18"/>
                <w:szCs w:val="18"/>
              </w:rPr>
              <w:t>.</w:t>
            </w:r>
          </w:p>
        </w:tc>
        <w:tc>
          <w:tcPr>
            <w:tcW w:w="2522" w:type="dxa"/>
          </w:tcPr>
          <w:p w14:paraId="6EB7BA89" w14:textId="64D45F7C" w:rsidR="00E43C84" w:rsidRPr="009872F3" w:rsidRDefault="00E43C84" w:rsidP="00E43C84">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43C84" w:rsidRPr="009872F3" w14:paraId="0FA23F5A" w14:textId="77777777" w:rsidTr="0046461F">
        <w:trPr>
          <w:trHeight w:val="294"/>
        </w:trPr>
        <w:tc>
          <w:tcPr>
            <w:tcW w:w="417" w:type="dxa"/>
          </w:tcPr>
          <w:p w14:paraId="369EC6F5" w14:textId="0C6185B0" w:rsidR="00E43C84" w:rsidRPr="009872F3" w:rsidRDefault="00201E84" w:rsidP="00E43C84">
            <w:pPr>
              <w:jc w:val="both"/>
              <w:rPr>
                <w:rFonts w:ascii="Arial" w:hAnsi="Arial" w:cs="Arial"/>
                <w:sz w:val="18"/>
                <w:szCs w:val="18"/>
              </w:rPr>
            </w:pPr>
            <w:r>
              <w:rPr>
                <w:rFonts w:ascii="Arial" w:hAnsi="Arial" w:cs="Arial"/>
                <w:sz w:val="18"/>
                <w:szCs w:val="18"/>
              </w:rPr>
              <w:t>2</w:t>
            </w:r>
          </w:p>
        </w:tc>
        <w:tc>
          <w:tcPr>
            <w:tcW w:w="6379" w:type="dxa"/>
            <w:gridSpan w:val="4"/>
          </w:tcPr>
          <w:p w14:paraId="044387D7" w14:textId="14525A3A" w:rsidR="00E43C84" w:rsidRPr="009872F3" w:rsidRDefault="00E43C84" w:rsidP="00E43C84">
            <w:pPr>
              <w:jc w:val="both"/>
              <w:rPr>
                <w:rFonts w:ascii="Arial" w:hAnsi="Arial" w:cs="Arial"/>
                <w:sz w:val="18"/>
                <w:szCs w:val="18"/>
              </w:rPr>
            </w:pPr>
            <w:r>
              <w:rPr>
                <w:rFonts w:ascii="Arial" w:hAnsi="Arial" w:cs="Arial"/>
                <w:sz w:val="18"/>
                <w:szCs w:val="18"/>
              </w:rPr>
              <w:t xml:space="preserve">Bestätigung, dass die </w:t>
            </w:r>
            <w:r w:rsidRPr="00BD6CC3">
              <w:rPr>
                <w:rFonts w:ascii="Arial" w:hAnsi="Arial" w:cs="Arial"/>
                <w:sz w:val="18"/>
                <w:szCs w:val="18"/>
              </w:rPr>
              <w:t xml:space="preserve">internen Verfahren </w:t>
            </w:r>
            <w:r w:rsidR="00534C60">
              <w:rPr>
                <w:rFonts w:ascii="Arial" w:hAnsi="Arial" w:cs="Arial"/>
                <w:sz w:val="18"/>
                <w:szCs w:val="18"/>
              </w:rPr>
              <w:t>ermöglichen</w:t>
            </w:r>
            <w:r w:rsidRPr="00BD6CC3">
              <w:rPr>
                <w:rFonts w:ascii="Arial" w:hAnsi="Arial" w:cs="Arial"/>
                <w:sz w:val="18"/>
                <w:szCs w:val="18"/>
              </w:rPr>
              <w:t xml:space="preserve">, dass das </w:t>
            </w:r>
            <w:r>
              <w:rPr>
                <w:rFonts w:ascii="Arial" w:hAnsi="Arial" w:cs="Arial"/>
                <w:sz w:val="18"/>
                <w:szCs w:val="18"/>
              </w:rPr>
              <w:t xml:space="preserve">Unternehmen </w:t>
            </w:r>
            <w:r w:rsidRPr="00BD6CC3">
              <w:rPr>
                <w:rFonts w:ascii="Arial" w:hAnsi="Arial" w:cs="Arial"/>
                <w:sz w:val="18"/>
                <w:szCs w:val="18"/>
              </w:rPr>
              <w:t xml:space="preserve">alle Vermögenswerte </w:t>
            </w:r>
            <w:r>
              <w:rPr>
                <w:rFonts w:ascii="Arial" w:hAnsi="Arial" w:cs="Arial"/>
                <w:sz w:val="18"/>
                <w:szCs w:val="18"/>
              </w:rPr>
              <w:t>oder sonstige Liquiditätsquellen</w:t>
            </w:r>
            <w:r w:rsidDel="00DF3B28">
              <w:rPr>
                <w:rFonts w:ascii="Arial" w:hAnsi="Arial" w:cs="Arial"/>
                <w:sz w:val="18"/>
                <w:szCs w:val="18"/>
              </w:rPr>
              <w:t>,</w:t>
            </w:r>
            <w:r w:rsidDel="007C40A4">
              <w:rPr>
                <w:rFonts w:ascii="Arial" w:hAnsi="Arial" w:cs="Arial"/>
                <w:sz w:val="18"/>
                <w:szCs w:val="18"/>
              </w:rPr>
              <w:t xml:space="preserve"> </w:t>
            </w:r>
            <w:r w:rsidDel="00DF3B28">
              <w:rPr>
                <w:rFonts w:ascii="Arial" w:hAnsi="Arial" w:cs="Arial"/>
                <w:sz w:val="18"/>
                <w:szCs w:val="18"/>
              </w:rPr>
              <w:t>einschliesslich gruppeninterner Garantievereinbarungen,</w:t>
            </w:r>
            <w:r>
              <w:rPr>
                <w:rFonts w:ascii="Arial" w:hAnsi="Arial" w:cs="Arial"/>
                <w:sz w:val="18"/>
                <w:szCs w:val="18"/>
              </w:rPr>
              <w:t xml:space="preserve"> </w:t>
            </w:r>
            <w:r w:rsidRPr="00BD6CC3">
              <w:rPr>
                <w:rFonts w:ascii="Arial" w:hAnsi="Arial" w:cs="Arial"/>
                <w:sz w:val="18"/>
                <w:szCs w:val="18"/>
              </w:rPr>
              <w:t xml:space="preserve">identifizieren und </w:t>
            </w:r>
            <w:r w:rsidR="00534C60">
              <w:rPr>
                <w:rFonts w:ascii="Arial" w:hAnsi="Arial" w:cs="Arial"/>
                <w:sz w:val="18"/>
                <w:szCs w:val="18"/>
              </w:rPr>
              <w:t xml:space="preserve">bei </w:t>
            </w:r>
            <w:r w:rsidR="64987BE0" w:rsidRPr="40F12475">
              <w:rPr>
                <w:rFonts w:ascii="Arial" w:hAnsi="Arial" w:cs="Arial"/>
                <w:sz w:val="18"/>
                <w:szCs w:val="18"/>
              </w:rPr>
              <w:t>Bedarf</w:t>
            </w:r>
            <w:r w:rsidR="00534C60">
              <w:rPr>
                <w:rFonts w:ascii="Arial" w:hAnsi="Arial" w:cs="Arial"/>
                <w:sz w:val="18"/>
                <w:szCs w:val="18"/>
              </w:rPr>
              <w:t xml:space="preserve"> </w:t>
            </w:r>
            <w:r w:rsidRPr="00BD6CC3">
              <w:rPr>
                <w:rFonts w:ascii="Arial" w:hAnsi="Arial" w:cs="Arial"/>
                <w:sz w:val="18"/>
                <w:szCs w:val="18"/>
              </w:rPr>
              <w:t>mobilisieren kann, die poten</w:t>
            </w:r>
            <w:r>
              <w:rPr>
                <w:rFonts w:ascii="Arial" w:hAnsi="Arial" w:cs="Arial"/>
                <w:sz w:val="18"/>
                <w:szCs w:val="18"/>
              </w:rPr>
              <w:t>t</w:t>
            </w:r>
            <w:r w:rsidRPr="00BD6CC3">
              <w:rPr>
                <w:rFonts w:ascii="Arial" w:hAnsi="Arial" w:cs="Arial"/>
                <w:sz w:val="18"/>
                <w:szCs w:val="18"/>
              </w:rPr>
              <w:t>iell als Sicherheiten zur Bereitstellung von Mitteln im Abwicklungsfall dienen könn</w:t>
            </w:r>
            <w:r>
              <w:rPr>
                <w:rFonts w:ascii="Arial" w:hAnsi="Arial" w:cs="Arial"/>
                <w:sz w:val="18"/>
                <w:szCs w:val="18"/>
              </w:rPr>
              <w:t>en.</w:t>
            </w:r>
          </w:p>
        </w:tc>
        <w:tc>
          <w:tcPr>
            <w:tcW w:w="2522" w:type="dxa"/>
          </w:tcPr>
          <w:p w14:paraId="2DBEE69F" w14:textId="16FC7BFF" w:rsidR="00E43C84" w:rsidRPr="00E109DF" w:rsidRDefault="00E43C84" w:rsidP="00E43C84">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0869455" w14:textId="77777777" w:rsidR="0046461F" w:rsidRDefault="0046461F" w:rsidP="00343BBB">
      <w:pPr>
        <w:pStyle w:val="FINMAGliederungEbene2"/>
        <w:numPr>
          <w:ilvl w:val="1"/>
          <w:numId w:val="0"/>
        </w:numPr>
      </w:pPr>
    </w:p>
    <w:tbl>
      <w:tblPr>
        <w:tblStyle w:val="Tabellenraster"/>
        <w:tblW w:w="0" w:type="auto"/>
        <w:tblLook w:val="04A0" w:firstRow="1" w:lastRow="0" w:firstColumn="1" w:lastColumn="0" w:noHBand="0" w:noVBand="1"/>
      </w:tblPr>
      <w:tblGrid>
        <w:gridCol w:w="1980"/>
        <w:gridCol w:w="7371"/>
      </w:tblGrid>
      <w:tr w:rsidR="00343BBB" w14:paraId="0156A237" w14:textId="77777777" w:rsidTr="0096765A">
        <w:trPr>
          <w:trHeight w:val="300"/>
        </w:trPr>
        <w:tc>
          <w:tcPr>
            <w:tcW w:w="1980" w:type="dxa"/>
          </w:tcPr>
          <w:p w14:paraId="72B868AB" w14:textId="77777777" w:rsidR="00343BBB" w:rsidRDefault="00343BBB">
            <w:pPr>
              <w:jc w:val="both"/>
              <w:rPr>
                <w:rFonts w:ascii="Arial" w:hAnsi="Arial" w:cs="Arial"/>
                <w:b/>
                <w:bCs/>
                <w:i/>
                <w:iCs/>
                <w:sz w:val="18"/>
                <w:szCs w:val="18"/>
              </w:rPr>
            </w:pPr>
            <w:r w:rsidRPr="7BF93955">
              <w:rPr>
                <w:rFonts w:ascii="Arial" w:hAnsi="Arial" w:cs="Arial"/>
                <w:b/>
                <w:bCs/>
                <w:i/>
                <w:iCs/>
                <w:sz w:val="18"/>
                <w:szCs w:val="18"/>
              </w:rPr>
              <w:t>Prüfelemente</w:t>
            </w:r>
          </w:p>
        </w:tc>
        <w:tc>
          <w:tcPr>
            <w:tcW w:w="7371" w:type="dxa"/>
          </w:tcPr>
          <w:p w14:paraId="27945A3D" w14:textId="77777777" w:rsidR="00343BBB" w:rsidRDefault="00343BBB">
            <w:pPr>
              <w:jc w:val="both"/>
              <w:rPr>
                <w:rFonts w:ascii="Arial" w:hAnsi="Arial" w:cs="Arial"/>
                <w:b/>
                <w:bCs/>
                <w:i/>
                <w:iCs/>
                <w:sz w:val="18"/>
                <w:szCs w:val="18"/>
              </w:rPr>
            </w:pPr>
            <w:r w:rsidRPr="7BF93955">
              <w:rPr>
                <w:rFonts w:ascii="Arial" w:hAnsi="Arial" w:cs="Arial"/>
                <w:b/>
                <w:bCs/>
                <w:i/>
                <w:iCs/>
                <w:sz w:val="18"/>
                <w:szCs w:val="18"/>
              </w:rPr>
              <w:t>Mindestprüfinhalte («Muster»)</w:t>
            </w:r>
          </w:p>
        </w:tc>
      </w:tr>
      <w:tr w:rsidR="00343BBB" w14:paraId="478511E8" w14:textId="77777777" w:rsidTr="0096765A">
        <w:trPr>
          <w:trHeight w:val="300"/>
        </w:trPr>
        <w:tc>
          <w:tcPr>
            <w:tcW w:w="1980" w:type="dxa"/>
          </w:tcPr>
          <w:p w14:paraId="7399D977" w14:textId="77777777" w:rsidR="00343BBB" w:rsidRDefault="00343BBB">
            <w:pPr>
              <w:spacing w:line="259" w:lineRule="auto"/>
              <w:jc w:val="both"/>
              <w:rPr>
                <w:rFonts w:ascii="Arial" w:hAnsi="Arial" w:cs="Arial"/>
                <w:i/>
                <w:iCs/>
                <w:sz w:val="18"/>
                <w:szCs w:val="18"/>
              </w:rPr>
            </w:pPr>
            <w:r w:rsidRPr="7BF93955">
              <w:rPr>
                <w:rFonts w:ascii="Arial" w:eastAsia="Arial" w:hAnsi="Arial" w:cs="Arial"/>
                <w:i/>
                <w:iCs/>
                <w:sz w:val="18"/>
                <w:szCs w:val="18"/>
              </w:rPr>
              <w:t xml:space="preserve">Interne Organisation </w:t>
            </w:r>
          </w:p>
        </w:tc>
        <w:tc>
          <w:tcPr>
            <w:tcW w:w="7371" w:type="dxa"/>
          </w:tcPr>
          <w:p w14:paraId="7038A0FE" w14:textId="77777777" w:rsidR="00343BBB" w:rsidRDefault="00343BBB">
            <w:pPr>
              <w:pStyle w:val="Listenabsatz"/>
              <w:numPr>
                <w:ilvl w:val="1"/>
                <w:numId w:val="10"/>
              </w:numPr>
              <w:spacing w:line="259" w:lineRule="auto"/>
              <w:ind w:left="317" w:hanging="283"/>
              <w:jc w:val="both"/>
            </w:pPr>
            <w:r w:rsidRPr="7BF93955">
              <w:rPr>
                <w:rFonts w:cs="Arial"/>
                <w:i/>
                <w:iCs/>
                <w:sz w:val="18"/>
                <w:szCs w:val="18"/>
              </w:rPr>
              <w:t>Die interne Organisationsstruktur (z.B. Weisungswesen, technische, personelle und fachliche Ressourcen)</w:t>
            </w:r>
            <w:r w:rsidRPr="63C36438">
              <w:rPr>
                <w:rFonts w:eastAsia="Arial" w:cs="Arial"/>
                <w:i/>
                <w:sz w:val="18"/>
                <w:szCs w:val="18"/>
              </w:rPr>
              <w:t xml:space="preserve"> </w:t>
            </w:r>
            <w:r w:rsidRPr="5AAF26A4">
              <w:rPr>
                <w:rFonts w:eastAsia="Arial" w:cs="Arial"/>
                <w:i/>
                <w:sz w:val="18"/>
                <w:szCs w:val="18"/>
              </w:rPr>
              <w:t xml:space="preserve">stellt sicher, dass Verfahren existieren, welche die </w:t>
            </w:r>
            <w:r w:rsidRPr="5AAF26A4">
              <w:rPr>
                <w:rFonts w:eastAsia="Arial" w:cs="Arial"/>
                <w:i/>
                <w:iCs/>
                <w:sz w:val="18"/>
                <w:szCs w:val="18"/>
              </w:rPr>
              <w:t>Identifikation von Liquiditätsquellen</w:t>
            </w:r>
            <w:r w:rsidRPr="5AAF26A4">
              <w:rPr>
                <w:rFonts w:eastAsia="Arial" w:cs="Arial"/>
                <w:i/>
                <w:sz w:val="18"/>
                <w:szCs w:val="18"/>
              </w:rPr>
              <w:t xml:space="preserve"> und die </w:t>
            </w:r>
            <w:r w:rsidRPr="5AAF26A4">
              <w:rPr>
                <w:rFonts w:eastAsia="Arial" w:cs="Arial"/>
                <w:i/>
                <w:iCs/>
                <w:sz w:val="18"/>
                <w:szCs w:val="18"/>
              </w:rPr>
              <w:t>Durchführung einer Liquiditätsanalyse</w:t>
            </w:r>
            <w:r w:rsidRPr="5AAF26A4">
              <w:rPr>
                <w:rFonts w:eastAsia="Arial" w:cs="Arial"/>
                <w:i/>
                <w:sz w:val="18"/>
                <w:szCs w:val="18"/>
              </w:rPr>
              <w:t xml:space="preserve"> ermöglichen</w:t>
            </w:r>
            <w:r w:rsidRPr="5AAF26A4">
              <w:rPr>
                <w:rFonts w:eastAsia="Arial" w:cs="Arial"/>
                <w:sz w:val="18"/>
                <w:szCs w:val="18"/>
              </w:rPr>
              <w:t xml:space="preserve"> </w:t>
            </w:r>
            <w:r w:rsidRPr="5AAF26A4">
              <w:t xml:space="preserve"> </w:t>
            </w:r>
          </w:p>
        </w:tc>
      </w:tr>
      <w:tr w:rsidR="00343BBB" w14:paraId="73D5A37D" w14:textId="77777777" w:rsidTr="0096765A">
        <w:trPr>
          <w:trHeight w:val="300"/>
        </w:trPr>
        <w:tc>
          <w:tcPr>
            <w:tcW w:w="1980" w:type="dxa"/>
          </w:tcPr>
          <w:p w14:paraId="570CBED5" w14:textId="77777777" w:rsidR="00343BBB" w:rsidRDefault="00343BBB">
            <w:pPr>
              <w:spacing w:line="259" w:lineRule="auto"/>
              <w:jc w:val="both"/>
              <w:rPr>
                <w:rFonts w:ascii="Arial" w:hAnsi="Arial" w:cs="Arial"/>
                <w:i/>
                <w:iCs/>
                <w:sz w:val="18"/>
                <w:szCs w:val="18"/>
              </w:rPr>
            </w:pPr>
            <w:r w:rsidRPr="7BF93955">
              <w:rPr>
                <w:rFonts w:ascii="Arial" w:eastAsia="Arial" w:hAnsi="Arial" w:cs="Arial"/>
                <w:i/>
                <w:iCs/>
                <w:sz w:val="18"/>
                <w:szCs w:val="18"/>
              </w:rPr>
              <w:t>Internes Kontrollsystem, Prozesse und Berichterstattung</w:t>
            </w:r>
          </w:p>
        </w:tc>
        <w:tc>
          <w:tcPr>
            <w:tcW w:w="7371" w:type="dxa"/>
          </w:tcPr>
          <w:p w14:paraId="1F01CB25" w14:textId="77777777" w:rsidR="00343BBB" w:rsidRPr="00386BDC" w:rsidRDefault="00343BBB">
            <w:pPr>
              <w:pStyle w:val="Listenabsatz"/>
              <w:numPr>
                <w:ilvl w:val="0"/>
                <w:numId w:val="14"/>
              </w:numPr>
              <w:spacing w:line="259" w:lineRule="auto"/>
              <w:ind w:left="317" w:hanging="283"/>
              <w:jc w:val="both"/>
              <w:rPr>
                <w:i/>
                <w:iCs/>
                <w:sz w:val="18"/>
                <w:szCs w:val="22"/>
              </w:rPr>
            </w:pPr>
            <w:r w:rsidRPr="00386BDC">
              <w:rPr>
                <w:i/>
                <w:iCs/>
                <w:sz w:val="18"/>
                <w:szCs w:val="22"/>
              </w:rPr>
              <w:t>Die</w:t>
            </w:r>
            <w:r>
              <w:rPr>
                <w:i/>
                <w:iCs/>
                <w:sz w:val="18"/>
                <w:szCs w:val="22"/>
              </w:rPr>
              <w:t xml:space="preserve"> Liquiditätsanalyse erfüllt die Vorgaben der EBA/GL/2022/01 Kapitel 4.2.1</w:t>
            </w:r>
          </w:p>
          <w:p w14:paraId="22DB1526" w14:textId="77777777" w:rsidR="00343BBB" w:rsidRPr="004A1670" w:rsidRDefault="00343BBB">
            <w:pPr>
              <w:pStyle w:val="Listenabsatz"/>
              <w:numPr>
                <w:ilvl w:val="0"/>
                <w:numId w:val="14"/>
              </w:numPr>
              <w:spacing w:line="259" w:lineRule="auto"/>
              <w:ind w:left="317" w:hanging="283"/>
              <w:jc w:val="both"/>
              <w:rPr>
                <w:i/>
                <w:iCs/>
              </w:rPr>
            </w:pPr>
            <w:r w:rsidRPr="7BF93955">
              <w:rPr>
                <w:rFonts w:cs="Arial"/>
                <w:i/>
                <w:iCs/>
                <w:sz w:val="18"/>
                <w:szCs w:val="18"/>
              </w:rPr>
              <w:t xml:space="preserve">Die internen Verfahren sehen die Anwendung des 4-Augen-Prinzips </w:t>
            </w:r>
            <w:r>
              <w:rPr>
                <w:rFonts w:cs="Arial"/>
                <w:i/>
                <w:iCs/>
                <w:sz w:val="18"/>
                <w:szCs w:val="18"/>
              </w:rPr>
              <w:t>bzw.</w:t>
            </w:r>
            <w:r w:rsidRPr="7BF93955">
              <w:rPr>
                <w:rFonts w:cs="Arial"/>
                <w:i/>
                <w:iCs/>
                <w:sz w:val="18"/>
                <w:szCs w:val="18"/>
              </w:rPr>
              <w:t xml:space="preserve"> Funktionstrennung bei Schlüsselkontrollen vor </w:t>
            </w:r>
          </w:p>
          <w:p w14:paraId="49C709F4" w14:textId="77777777" w:rsidR="00343BBB" w:rsidRPr="004A1670" w:rsidRDefault="00343BBB">
            <w:pPr>
              <w:pStyle w:val="Listenabsatz"/>
              <w:numPr>
                <w:ilvl w:val="0"/>
                <w:numId w:val="14"/>
              </w:numPr>
              <w:spacing w:line="259" w:lineRule="auto"/>
              <w:ind w:left="317" w:hanging="283"/>
              <w:jc w:val="both"/>
              <w:rPr>
                <w:rFonts w:cs="Arial"/>
                <w:i/>
                <w:iCs/>
                <w:sz w:val="18"/>
                <w:szCs w:val="18"/>
              </w:rPr>
            </w:pPr>
            <w:r w:rsidRPr="004A1670">
              <w:rPr>
                <w:rFonts w:cs="Arial"/>
                <w:i/>
                <w:iCs/>
                <w:sz w:val="18"/>
                <w:szCs w:val="18"/>
              </w:rPr>
              <w:lastRenderedPageBreak/>
              <w:t>Datenqualitätssichernde Kontrollen sind definiert</w:t>
            </w:r>
          </w:p>
        </w:tc>
      </w:tr>
    </w:tbl>
    <w:p w14:paraId="5786FB1A" w14:textId="77777777" w:rsidR="170CE702" w:rsidRDefault="170CE702" w:rsidP="170CE702">
      <w:pPr>
        <w:pStyle w:val="FINMAGliederungEbene1"/>
        <w:numPr>
          <w:ilvl w:val="0"/>
          <w:numId w:val="0"/>
        </w:numPr>
      </w:pPr>
    </w:p>
    <w:p w14:paraId="087D0692" w14:textId="55945D2F" w:rsidR="00821D76" w:rsidRDefault="00321DB7" w:rsidP="00C37D08">
      <w:pPr>
        <w:pStyle w:val="FINMAGliederungEbene2"/>
      </w:pPr>
      <w:bookmarkStart w:id="60" w:name="_Toc147141457"/>
      <w:r>
        <w:t>Transferstrategien</w:t>
      </w:r>
      <w:bookmarkEnd w:id="60"/>
    </w:p>
    <w:p w14:paraId="30059BFA" w14:textId="77777777" w:rsidR="00D779C1" w:rsidRPr="006067FE" w:rsidRDefault="00D779C1" w:rsidP="00D779C1">
      <w:pPr>
        <w:jc w:val="both"/>
      </w:pPr>
    </w:p>
    <w:tbl>
      <w:tblPr>
        <w:tblStyle w:val="Tabellenraster"/>
        <w:tblW w:w="0" w:type="auto"/>
        <w:tblLook w:val="04A0" w:firstRow="1" w:lastRow="0" w:firstColumn="1" w:lastColumn="0" w:noHBand="0" w:noVBand="1"/>
      </w:tblPr>
      <w:tblGrid>
        <w:gridCol w:w="517"/>
        <w:gridCol w:w="1511"/>
        <w:gridCol w:w="2145"/>
        <w:gridCol w:w="1721"/>
        <w:gridCol w:w="860"/>
        <w:gridCol w:w="2522"/>
      </w:tblGrid>
      <w:tr w:rsidR="00D779C1" w:rsidRPr="009872F3" w14:paraId="6812BB01" w14:textId="77777777" w:rsidTr="0096765A">
        <w:trPr>
          <w:trHeight w:val="563"/>
        </w:trPr>
        <w:tc>
          <w:tcPr>
            <w:tcW w:w="2028" w:type="dxa"/>
            <w:gridSpan w:val="2"/>
            <w:shd w:val="clear" w:color="auto" w:fill="DBE5F1" w:themeFill="accent1" w:themeFillTint="33"/>
          </w:tcPr>
          <w:p w14:paraId="623D856F" w14:textId="77777777" w:rsidR="00D779C1" w:rsidRPr="009872F3" w:rsidRDefault="00D779C1" w:rsidP="00C747F0">
            <w:pPr>
              <w:jc w:val="both"/>
              <w:rPr>
                <w:rFonts w:ascii="Arial" w:hAnsi="Arial" w:cs="Arial"/>
                <w:sz w:val="18"/>
                <w:szCs w:val="18"/>
              </w:rPr>
            </w:pPr>
            <w:r w:rsidRPr="009872F3">
              <w:rPr>
                <w:rFonts w:ascii="Arial" w:hAnsi="Arial" w:cs="Arial"/>
                <w:sz w:val="18"/>
                <w:szCs w:val="18"/>
              </w:rPr>
              <w:t>Nettorisiko</w:t>
            </w:r>
          </w:p>
        </w:tc>
        <w:tc>
          <w:tcPr>
            <w:tcW w:w="2145" w:type="dxa"/>
            <w:shd w:val="clear" w:color="auto" w:fill="DBE5F1" w:themeFill="accent1" w:themeFillTint="33"/>
          </w:tcPr>
          <w:p w14:paraId="6D34D554" w14:textId="77777777" w:rsidR="00D779C1" w:rsidRPr="009872F3" w:rsidRDefault="00D779C1" w:rsidP="00C747F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3"/>
            <w:shd w:val="clear" w:color="auto" w:fill="DBE5F1" w:themeFill="accent1" w:themeFillTint="33"/>
          </w:tcPr>
          <w:p w14:paraId="1EE8E7D6" w14:textId="77777777" w:rsidR="00D779C1" w:rsidRPr="009872F3" w:rsidRDefault="00D779C1" w:rsidP="00C747F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779C1" w:rsidRPr="009872F3" w14:paraId="6D97D3F4" w14:textId="77777777" w:rsidTr="0096765A">
        <w:trPr>
          <w:trHeight w:val="698"/>
        </w:trPr>
        <w:tc>
          <w:tcPr>
            <w:tcW w:w="2028" w:type="dxa"/>
            <w:gridSpan w:val="2"/>
            <w:shd w:val="clear" w:color="auto" w:fill="DBE5F1" w:themeFill="accent1" w:themeFillTint="33"/>
          </w:tcPr>
          <w:p w14:paraId="319D1365" w14:textId="77777777" w:rsidR="00D779C1" w:rsidRPr="006749F0" w:rsidRDefault="00D779C1" w:rsidP="00C747F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shd w:val="clear" w:color="auto" w:fill="DBE5F1" w:themeFill="accent1" w:themeFillTint="33"/>
          </w:tcPr>
          <w:p w14:paraId="71FDD118" w14:textId="77777777" w:rsidR="00D779C1" w:rsidRPr="006749F0" w:rsidRDefault="00D779C1" w:rsidP="00C747F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shd w:val="clear" w:color="auto" w:fill="DBE5F1" w:themeFill="accent1" w:themeFillTint="33"/>
          </w:tcPr>
          <w:p w14:paraId="314B89E5" w14:textId="77777777" w:rsidR="00D779C1" w:rsidRPr="009872F3" w:rsidRDefault="00D779C1" w:rsidP="00C747F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gridSpan w:val="2"/>
            <w:shd w:val="clear" w:color="auto" w:fill="DBE5F1" w:themeFill="accent1" w:themeFillTint="33"/>
          </w:tcPr>
          <w:p w14:paraId="39F5D98D" w14:textId="77777777" w:rsidR="00D779C1" w:rsidRDefault="00D779C1" w:rsidP="00C747F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7A7DB61" w14:textId="77777777" w:rsidR="00D779C1" w:rsidRPr="006749F0" w:rsidRDefault="00D779C1" w:rsidP="00C747F0">
            <w:pPr>
              <w:jc w:val="both"/>
              <w:rPr>
                <w:rFonts w:ascii="Arial" w:hAnsi="Arial" w:cs="Arial"/>
                <w:i/>
                <w:sz w:val="18"/>
                <w:szCs w:val="18"/>
              </w:rPr>
            </w:pPr>
            <w:r w:rsidRPr="006749F0">
              <w:rPr>
                <w:rFonts w:ascii="Arial" w:hAnsi="Arial" w:cs="Arial"/>
                <w:i/>
                <w:sz w:val="18"/>
                <w:szCs w:val="18"/>
                <w:highlight w:val="yellow"/>
              </w:rPr>
              <w:t>Jahr</w:t>
            </w:r>
          </w:p>
        </w:tc>
      </w:tr>
      <w:tr w:rsidR="00D779C1" w:rsidRPr="00E75BEB" w14:paraId="7DAE34FA" w14:textId="77777777" w:rsidTr="0096765A">
        <w:trPr>
          <w:trHeight w:val="636"/>
        </w:trPr>
        <w:tc>
          <w:tcPr>
            <w:tcW w:w="9276" w:type="dxa"/>
            <w:gridSpan w:val="6"/>
            <w:shd w:val="clear" w:color="auto" w:fill="DBE5F1" w:themeFill="accent1" w:themeFillTint="33"/>
          </w:tcPr>
          <w:p w14:paraId="0BCA2EAF" w14:textId="51710890" w:rsidR="000A7C21" w:rsidRPr="00DD758F" w:rsidRDefault="00D779C1" w:rsidP="004B7D4A">
            <w:pPr>
              <w:jc w:val="both"/>
              <w:rPr>
                <w:rFonts w:ascii="Arial" w:hAnsi="Arial" w:cs="Arial"/>
                <w:i/>
                <w:sz w:val="18"/>
                <w:szCs w:val="18"/>
              </w:rPr>
            </w:pPr>
            <w:r w:rsidRPr="00DD758F">
              <w:rPr>
                <w:rFonts w:ascii="Arial" w:hAnsi="Arial" w:cs="Arial"/>
                <w:i/>
                <w:sz w:val="18"/>
                <w:szCs w:val="18"/>
              </w:rPr>
              <w:t>Referenzen (demonstrativ):</w:t>
            </w:r>
          </w:p>
          <w:p w14:paraId="2B9F62C1" w14:textId="0F8ABAAD" w:rsidR="004C4C94" w:rsidRPr="004C4C94" w:rsidRDefault="004C4C94" w:rsidP="0096765A">
            <w:pPr>
              <w:pStyle w:val="Listenabsatz"/>
              <w:numPr>
                <w:ilvl w:val="0"/>
                <w:numId w:val="9"/>
              </w:numPr>
              <w:ind w:left="308"/>
              <w:jc w:val="both"/>
              <w:rPr>
                <w:rFonts w:cs="Arial"/>
                <w:sz w:val="18"/>
                <w:szCs w:val="18"/>
              </w:rPr>
            </w:pPr>
            <w:r w:rsidRPr="004C4C94">
              <w:rPr>
                <w:rFonts w:cs="Arial"/>
                <w:sz w:val="18"/>
                <w:szCs w:val="18"/>
              </w:rPr>
              <w:t>Delegierte Verordnung (EU) 2017/867 der Kommission vom 7. Februar 2017 über die bei partiellen Vermögensübertragungen nach Artikel 76 der Richtlinie 2014/59/EU des Europäischen Parlaments und des Rates zu schützenden Kategorien von Vereinbarungen</w:t>
            </w:r>
          </w:p>
          <w:p w14:paraId="7D4CE9CB" w14:textId="2B5128CF" w:rsidR="006C7ECB" w:rsidRPr="00997881" w:rsidRDefault="006C7ECB" w:rsidP="00C37D08">
            <w:pPr>
              <w:pStyle w:val="Listenabsatz"/>
              <w:numPr>
                <w:ilvl w:val="0"/>
                <w:numId w:val="9"/>
              </w:numPr>
              <w:ind w:left="308"/>
              <w:jc w:val="both"/>
              <w:rPr>
                <w:rFonts w:cs="Arial"/>
                <w:sz w:val="18"/>
                <w:szCs w:val="18"/>
              </w:rPr>
            </w:pPr>
            <w:r w:rsidRPr="006C7ECB">
              <w:rPr>
                <w:rFonts w:cs="Arial"/>
                <w:sz w:val="18"/>
                <w:szCs w:val="18"/>
              </w:rPr>
              <w:t>EBA Leitlinien zu den konkreten Umständen, die zu einer wesentlichen Bedrohung der Finanzstabilität führen, sowie zu den Aspekten hinsichtlich der Effektivität des Instruments der Unternehmensveräußerung nach Artikel 39 Absatz 4 der Richtlinie 2014/59/EU (EBA/GL/2015/04)</w:t>
            </w:r>
          </w:p>
          <w:p w14:paraId="70D989F3" w14:textId="77777777" w:rsidR="00DD758F" w:rsidRPr="00997881" w:rsidRDefault="00DD758F" w:rsidP="00C37D08">
            <w:pPr>
              <w:pStyle w:val="Listenabsatz"/>
              <w:numPr>
                <w:ilvl w:val="0"/>
                <w:numId w:val="9"/>
              </w:numPr>
              <w:ind w:left="308"/>
              <w:jc w:val="both"/>
              <w:rPr>
                <w:rFonts w:cs="Arial"/>
                <w:sz w:val="18"/>
                <w:szCs w:val="18"/>
              </w:rPr>
            </w:pPr>
            <w:r w:rsidRPr="00997881">
              <w:rPr>
                <w:rFonts w:cs="Arial"/>
                <w:sz w:val="18"/>
                <w:szCs w:val="18"/>
              </w:rPr>
              <w:t>EBA Leitlinien zur Verbesserung der Abwicklungsfähigkeit für Institute und Abwicklungsbehörden</w:t>
            </w:r>
          </w:p>
          <w:p w14:paraId="648E1939" w14:textId="77777777" w:rsidR="00DD758F" w:rsidRPr="00997881" w:rsidRDefault="00DD758F" w:rsidP="00543B51">
            <w:pPr>
              <w:pStyle w:val="Listenabsatz"/>
              <w:ind w:left="308"/>
              <w:jc w:val="both"/>
              <w:rPr>
                <w:rFonts w:cs="Arial"/>
                <w:sz w:val="18"/>
                <w:szCs w:val="18"/>
              </w:rPr>
            </w:pPr>
            <w:r w:rsidRPr="00997881">
              <w:rPr>
                <w:rFonts w:cs="Arial"/>
                <w:sz w:val="18"/>
                <w:szCs w:val="18"/>
              </w:rPr>
              <w:t>(Resolvability Guidelines; EBA/GL/2022/01)</w:t>
            </w:r>
          </w:p>
          <w:p w14:paraId="76E11906" w14:textId="150F6619" w:rsidR="00071D90" w:rsidRDefault="00DD758F" w:rsidP="00C37D08">
            <w:pPr>
              <w:pStyle w:val="Listenabsatz"/>
              <w:numPr>
                <w:ilvl w:val="0"/>
                <w:numId w:val="9"/>
              </w:numPr>
              <w:ind w:left="308"/>
              <w:jc w:val="both"/>
              <w:rPr>
                <w:rFonts w:cs="Arial"/>
                <w:sz w:val="18"/>
                <w:szCs w:val="18"/>
              </w:rPr>
            </w:pPr>
            <w:r w:rsidRPr="00997881">
              <w:rPr>
                <w:rFonts w:cs="Arial"/>
                <w:sz w:val="18"/>
                <w:szCs w:val="18"/>
              </w:rPr>
              <w:t>EBA Leitlinien zur Übertragbarkeit für die Ergänzung der Bewertung der Abwicklungsfähigkeit bei Transferstrategien (</w:t>
            </w:r>
            <w:proofErr w:type="spellStart"/>
            <w:r w:rsidRPr="00997881">
              <w:rPr>
                <w:rFonts w:cs="Arial"/>
                <w:sz w:val="18"/>
                <w:szCs w:val="18"/>
              </w:rPr>
              <w:t>Transferability</w:t>
            </w:r>
            <w:proofErr w:type="spellEnd"/>
            <w:r w:rsidRPr="00997881">
              <w:rPr>
                <w:rFonts w:cs="Arial"/>
                <w:sz w:val="18"/>
                <w:szCs w:val="18"/>
              </w:rPr>
              <w:t xml:space="preserve"> Guidelines; EBA/GL/2022/11)</w:t>
            </w:r>
          </w:p>
          <w:p w14:paraId="75A7379F" w14:textId="0ACC850F" w:rsidR="00D82568" w:rsidRDefault="00D82568" w:rsidP="004A1670">
            <w:pPr>
              <w:pStyle w:val="Listenabsatz"/>
              <w:numPr>
                <w:ilvl w:val="0"/>
                <w:numId w:val="9"/>
              </w:numPr>
              <w:ind w:left="308"/>
              <w:jc w:val="both"/>
              <w:rPr>
                <w:rFonts w:cs="Arial"/>
                <w:sz w:val="18"/>
                <w:szCs w:val="18"/>
                <w:lang w:val="en-US"/>
              </w:rPr>
            </w:pPr>
            <w:r w:rsidRPr="0096765A">
              <w:rPr>
                <w:rFonts w:cs="Arial"/>
                <w:sz w:val="18"/>
                <w:szCs w:val="18"/>
                <w:lang w:val="en-US"/>
              </w:rPr>
              <w:t xml:space="preserve">SRB </w:t>
            </w:r>
            <w:r w:rsidR="00071D90" w:rsidRPr="0096765A">
              <w:rPr>
                <w:rFonts w:cs="Arial"/>
                <w:sz w:val="18"/>
                <w:szCs w:val="18"/>
                <w:lang w:val="en-US"/>
              </w:rPr>
              <w:t>Operational Guidance for Banks on separability for transfer tools</w:t>
            </w:r>
          </w:p>
          <w:p w14:paraId="457A3E20" w14:textId="41E579F3" w:rsidR="00E75BEB" w:rsidRPr="00E75BEB" w:rsidRDefault="00E75BEB">
            <w:pPr>
              <w:pStyle w:val="Listenabsatz"/>
              <w:numPr>
                <w:ilvl w:val="0"/>
                <w:numId w:val="9"/>
              </w:numPr>
              <w:ind w:left="308"/>
              <w:jc w:val="both"/>
              <w:rPr>
                <w:rFonts w:cs="Arial"/>
                <w:sz w:val="18"/>
                <w:szCs w:val="18"/>
              </w:rPr>
            </w:pPr>
            <w:r w:rsidRPr="00997881">
              <w:rPr>
                <w:rFonts w:cs="Arial"/>
                <w:sz w:val="18"/>
                <w:szCs w:val="18"/>
              </w:rPr>
              <w:t>FMA-Mitteilung 2022/02 betreffend die Festlegung der Mindestanforderung an Eigenmittel und berücksichtigungsfähige Verbindlichkeiten und entsprechender Schnittstellen zur Abwicklungsplanung für Banken und Wertpapierfirmen («MREL-Policy»)</w:t>
            </w:r>
          </w:p>
        </w:tc>
      </w:tr>
      <w:tr w:rsidR="00250DF9" w:rsidRPr="00E75BEB" w14:paraId="6CBAF233" w14:textId="77777777" w:rsidTr="0096765A">
        <w:trPr>
          <w:trHeight w:val="156"/>
        </w:trPr>
        <w:tc>
          <w:tcPr>
            <w:tcW w:w="9276" w:type="dxa"/>
            <w:gridSpan w:val="6"/>
          </w:tcPr>
          <w:p w14:paraId="376304C6" w14:textId="77777777" w:rsidR="00250DF9" w:rsidRPr="00E75BEB" w:rsidRDefault="00250DF9" w:rsidP="004B7D4A">
            <w:pPr>
              <w:jc w:val="both"/>
              <w:rPr>
                <w:rFonts w:ascii="Arial" w:hAnsi="Arial" w:cs="Arial"/>
                <w:i/>
                <w:sz w:val="18"/>
                <w:szCs w:val="18"/>
              </w:rPr>
            </w:pPr>
          </w:p>
        </w:tc>
      </w:tr>
      <w:tr w:rsidR="00EF3818" w:rsidRPr="006A08D2" w14:paraId="79429163" w14:textId="77777777" w:rsidTr="0096765A">
        <w:trPr>
          <w:trHeight w:val="156"/>
        </w:trPr>
        <w:tc>
          <w:tcPr>
            <w:tcW w:w="517" w:type="dxa"/>
          </w:tcPr>
          <w:p w14:paraId="466EF0A2" w14:textId="631937DC" w:rsidR="00EF3818" w:rsidRDefault="000C243B" w:rsidP="00EF3818">
            <w:pPr>
              <w:jc w:val="both"/>
              <w:rPr>
                <w:rFonts w:ascii="Arial" w:hAnsi="Arial" w:cs="Arial"/>
                <w:sz w:val="18"/>
                <w:szCs w:val="18"/>
              </w:rPr>
            </w:pPr>
            <w:r>
              <w:rPr>
                <w:rFonts w:ascii="Arial" w:hAnsi="Arial" w:cs="Arial"/>
                <w:sz w:val="18"/>
                <w:szCs w:val="18"/>
              </w:rPr>
              <w:t>1</w:t>
            </w:r>
          </w:p>
        </w:tc>
        <w:tc>
          <w:tcPr>
            <w:tcW w:w="6237" w:type="dxa"/>
            <w:gridSpan w:val="4"/>
          </w:tcPr>
          <w:p w14:paraId="291246BA" w14:textId="15ECE3CD" w:rsidR="00EF3818" w:rsidRPr="00EF3818" w:rsidRDefault="00EF3818" w:rsidP="00EF3818">
            <w:pPr>
              <w:jc w:val="both"/>
              <w:rPr>
                <w:rFonts w:ascii="Arial" w:hAnsi="Arial" w:cs="Arial"/>
                <w:sz w:val="18"/>
                <w:szCs w:val="18"/>
              </w:rPr>
            </w:pPr>
            <w:r>
              <w:rPr>
                <w:rFonts w:ascii="Arial" w:hAnsi="Arial" w:cs="Arial"/>
                <w:sz w:val="18"/>
                <w:szCs w:val="18"/>
              </w:rPr>
              <w:t>Bestätigung, dass die internen Verfahren</w:t>
            </w:r>
            <w:r w:rsidR="002C2A14">
              <w:rPr>
                <w:rFonts w:ascii="Arial" w:hAnsi="Arial" w:cs="Arial"/>
                <w:sz w:val="18"/>
                <w:szCs w:val="18"/>
              </w:rPr>
              <w:t xml:space="preserve"> im Bedarfsfall</w:t>
            </w:r>
            <w:r>
              <w:rPr>
                <w:rFonts w:ascii="Arial" w:hAnsi="Arial" w:cs="Arial"/>
                <w:sz w:val="18"/>
                <w:szCs w:val="18"/>
              </w:rPr>
              <w:t xml:space="preserve"> die jederzeitige </w:t>
            </w:r>
            <w:r w:rsidRPr="00C614A2">
              <w:rPr>
                <w:rFonts w:ascii="Arial" w:hAnsi="Arial" w:cs="Arial"/>
                <w:sz w:val="18"/>
                <w:szCs w:val="18"/>
              </w:rPr>
              <w:t>Initiierung eines Verkaufsprozesses (Roadshow)</w:t>
            </w:r>
            <w:r w:rsidR="002C2A14">
              <w:rPr>
                <w:rFonts w:ascii="Arial" w:hAnsi="Arial" w:cs="Arial"/>
                <w:sz w:val="18"/>
                <w:szCs w:val="18"/>
              </w:rPr>
              <w:t>, in</w:t>
            </w:r>
            <w:r w:rsidR="008648A6">
              <w:rPr>
                <w:rFonts w:ascii="Arial" w:hAnsi="Arial" w:cs="Arial"/>
                <w:sz w:val="18"/>
                <w:szCs w:val="18"/>
              </w:rPr>
              <w:t>k</w:t>
            </w:r>
            <w:r w:rsidR="002C2A14">
              <w:rPr>
                <w:rFonts w:ascii="Arial" w:hAnsi="Arial" w:cs="Arial"/>
                <w:sz w:val="18"/>
                <w:szCs w:val="18"/>
              </w:rPr>
              <w:t>l.</w:t>
            </w:r>
            <w:r w:rsidR="007870D5">
              <w:rPr>
                <w:rFonts w:ascii="Arial" w:hAnsi="Arial" w:cs="Arial"/>
                <w:sz w:val="18"/>
                <w:szCs w:val="18"/>
              </w:rPr>
              <w:t xml:space="preserve"> </w:t>
            </w:r>
            <w:r w:rsidR="00491918">
              <w:rPr>
                <w:rFonts w:ascii="Arial" w:hAnsi="Arial" w:cs="Arial"/>
                <w:sz w:val="18"/>
                <w:szCs w:val="18"/>
              </w:rPr>
              <w:t>k</w:t>
            </w:r>
            <w:r w:rsidR="007870D5">
              <w:rPr>
                <w:rFonts w:ascii="Arial" w:hAnsi="Arial" w:cs="Arial"/>
                <w:sz w:val="18"/>
                <w:szCs w:val="18"/>
              </w:rPr>
              <w:t>urzfristiges Einrichten eines sicheren virtuellen Datenraum</w:t>
            </w:r>
            <w:r w:rsidR="00A8110D">
              <w:rPr>
                <w:rFonts w:ascii="Arial" w:hAnsi="Arial" w:cs="Arial"/>
                <w:sz w:val="18"/>
                <w:szCs w:val="18"/>
              </w:rPr>
              <w:t xml:space="preserve"> ermöglichen </w:t>
            </w:r>
            <w:r w:rsidRPr="00C614A2">
              <w:rPr>
                <w:rFonts w:ascii="Arial" w:hAnsi="Arial" w:cs="Arial"/>
                <w:sz w:val="18"/>
                <w:szCs w:val="18"/>
              </w:rPr>
              <w:t>(MREL-Policy, Kapitel 5.2.2)</w:t>
            </w:r>
            <w:r>
              <w:rPr>
                <w:rFonts w:ascii="Arial" w:hAnsi="Arial" w:cs="Arial"/>
                <w:sz w:val="18"/>
                <w:szCs w:val="18"/>
              </w:rPr>
              <w:t>.</w:t>
            </w:r>
          </w:p>
        </w:tc>
        <w:tc>
          <w:tcPr>
            <w:tcW w:w="2522" w:type="dxa"/>
          </w:tcPr>
          <w:p w14:paraId="3D30192C" w14:textId="348D09A1" w:rsidR="00EF3818" w:rsidRPr="00E109DF" w:rsidRDefault="00EF3818" w:rsidP="00EF381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F3818" w:rsidRPr="006A08D2" w14:paraId="58A5AAE6" w14:textId="77777777" w:rsidTr="0096765A">
        <w:trPr>
          <w:trHeight w:val="156"/>
        </w:trPr>
        <w:tc>
          <w:tcPr>
            <w:tcW w:w="517" w:type="dxa"/>
          </w:tcPr>
          <w:p w14:paraId="3903C10F" w14:textId="3BEBDB4E" w:rsidR="00EF3818" w:rsidRDefault="000C243B" w:rsidP="00EF3818">
            <w:pPr>
              <w:jc w:val="both"/>
              <w:rPr>
                <w:rFonts w:ascii="Arial" w:hAnsi="Arial" w:cs="Arial"/>
                <w:sz w:val="18"/>
                <w:szCs w:val="18"/>
              </w:rPr>
            </w:pPr>
            <w:r>
              <w:rPr>
                <w:rFonts w:ascii="Arial" w:hAnsi="Arial" w:cs="Arial"/>
                <w:sz w:val="18"/>
                <w:szCs w:val="18"/>
              </w:rPr>
              <w:t>2</w:t>
            </w:r>
          </w:p>
        </w:tc>
        <w:tc>
          <w:tcPr>
            <w:tcW w:w="6237" w:type="dxa"/>
            <w:gridSpan w:val="4"/>
          </w:tcPr>
          <w:p w14:paraId="601237B6" w14:textId="62492323" w:rsidR="00EF3818" w:rsidRPr="00824C5B" w:rsidRDefault="00EF3818" w:rsidP="00EF3818">
            <w:pPr>
              <w:jc w:val="both"/>
              <w:rPr>
                <w:rFonts w:ascii="Arial" w:hAnsi="Arial" w:cs="Arial"/>
                <w:sz w:val="18"/>
                <w:szCs w:val="18"/>
              </w:rPr>
            </w:pPr>
            <w:r w:rsidRPr="00824C5B">
              <w:rPr>
                <w:rFonts w:ascii="Arial" w:hAnsi="Arial" w:cs="Arial"/>
                <w:sz w:val="18"/>
                <w:szCs w:val="18"/>
              </w:rPr>
              <w:t xml:space="preserve">Bestätigung, dass die internen Verfahren die Durchführung von Marktanalysen </w:t>
            </w:r>
            <w:r w:rsidR="0073643D" w:rsidRPr="00824C5B">
              <w:rPr>
                <w:rFonts w:ascii="Arial" w:hAnsi="Arial" w:cs="Arial"/>
                <w:sz w:val="18"/>
                <w:szCs w:val="18"/>
              </w:rPr>
              <w:t>zur Identifikation</w:t>
            </w:r>
            <w:r w:rsidRPr="00824C5B">
              <w:rPr>
                <w:rFonts w:ascii="Arial" w:hAnsi="Arial" w:cs="Arial"/>
                <w:sz w:val="18"/>
                <w:szCs w:val="18"/>
              </w:rPr>
              <w:t xml:space="preserve"> </w:t>
            </w:r>
            <w:r w:rsidR="0073643D" w:rsidRPr="00824C5B">
              <w:rPr>
                <w:rFonts w:ascii="Arial" w:hAnsi="Arial" w:cs="Arial"/>
                <w:sz w:val="18"/>
                <w:szCs w:val="18"/>
              </w:rPr>
              <w:t xml:space="preserve">und Monitoring </w:t>
            </w:r>
            <w:r w:rsidRPr="00824C5B">
              <w:rPr>
                <w:rFonts w:ascii="Arial" w:hAnsi="Arial" w:cs="Arial"/>
                <w:sz w:val="18"/>
                <w:szCs w:val="18"/>
              </w:rPr>
              <w:t>potentielle</w:t>
            </w:r>
            <w:r w:rsidR="0073643D" w:rsidRPr="00824C5B">
              <w:rPr>
                <w:rFonts w:ascii="Arial" w:hAnsi="Arial" w:cs="Arial"/>
                <w:sz w:val="18"/>
                <w:szCs w:val="18"/>
              </w:rPr>
              <w:t>r</w:t>
            </w:r>
            <w:r w:rsidRPr="00824C5B">
              <w:rPr>
                <w:rFonts w:ascii="Arial" w:hAnsi="Arial" w:cs="Arial"/>
                <w:sz w:val="18"/>
                <w:szCs w:val="18"/>
              </w:rPr>
              <w:t xml:space="preserve"> Erwerber von Vermögenswerten</w:t>
            </w:r>
            <w:r w:rsidR="0073643D" w:rsidRPr="00824C5B">
              <w:rPr>
                <w:rFonts w:ascii="Arial" w:hAnsi="Arial" w:cs="Arial"/>
                <w:sz w:val="18"/>
                <w:szCs w:val="18"/>
              </w:rPr>
              <w:t xml:space="preserve"> </w:t>
            </w:r>
            <w:r w:rsidR="005170BB" w:rsidRPr="00824C5B">
              <w:rPr>
                <w:rFonts w:ascii="Arial" w:hAnsi="Arial" w:cs="Arial"/>
                <w:sz w:val="18"/>
                <w:szCs w:val="18"/>
              </w:rPr>
              <w:t xml:space="preserve">(unter Berücksichtigung potentieller regulatorischer oder anderer wesentlicher Hindernisse aus Erwerberperspektive) </w:t>
            </w:r>
            <w:r w:rsidRPr="00824C5B">
              <w:rPr>
                <w:rFonts w:ascii="Arial" w:hAnsi="Arial" w:cs="Arial"/>
                <w:sz w:val="18"/>
                <w:szCs w:val="18"/>
              </w:rPr>
              <w:t xml:space="preserve">auf zumindest jährlicher Basis </w:t>
            </w:r>
            <w:r w:rsidR="00354E79">
              <w:rPr>
                <w:rFonts w:ascii="Arial" w:hAnsi="Arial" w:cs="Arial"/>
                <w:sz w:val="18"/>
                <w:szCs w:val="18"/>
              </w:rPr>
              <w:t>ermöglichen</w:t>
            </w:r>
            <w:r w:rsidR="00354E79" w:rsidRPr="00824C5B">
              <w:rPr>
                <w:rFonts w:ascii="Arial" w:hAnsi="Arial" w:cs="Arial"/>
                <w:sz w:val="18"/>
                <w:szCs w:val="18"/>
              </w:rPr>
              <w:t xml:space="preserve"> </w:t>
            </w:r>
            <w:r w:rsidRPr="00824C5B">
              <w:rPr>
                <w:rFonts w:ascii="Arial" w:hAnsi="Arial" w:cs="Arial"/>
                <w:sz w:val="18"/>
                <w:szCs w:val="18"/>
              </w:rPr>
              <w:t>(MREL-Policy, Kapitel 5.2.2).</w:t>
            </w:r>
          </w:p>
        </w:tc>
        <w:tc>
          <w:tcPr>
            <w:tcW w:w="2522" w:type="dxa"/>
          </w:tcPr>
          <w:p w14:paraId="35F02419" w14:textId="0DF40BF8" w:rsidR="00EF3818" w:rsidRPr="00E109DF" w:rsidRDefault="00EF3818" w:rsidP="00EF381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6E88" w:rsidRPr="006A08D2" w14:paraId="7CD3A772" w14:textId="24333940" w:rsidTr="0096765A">
        <w:trPr>
          <w:trHeight w:val="156"/>
        </w:trPr>
        <w:tc>
          <w:tcPr>
            <w:tcW w:w="517" w:type="dxa"/>
          </w:tcPr>
          <w:p w14:paraId="1701D9DC" w14:textId="2AD5F3D2" w:rsidR="006E6E88" w:rsidRDefault="00240087" w:rsidP="006E6E88">
            <w:pPr>
              <w:jc w:val="both"/>
              <w:rPr>
                <w:rFonts w:ascii="Arial" w:hAnsi="Arial" w:cs="Arial"/>
                <w:sz w:val="18"/>
                <w:szCs w:val="18"/>
              </w:rPr>
            </w:pPr>
            <w:r>
              <w:rPr>
                <w:rFonts w:ascii="Arial" w:hAnsi="Arial" w:cs="Arial"/>
                <w:sz w:val="18"/>
                <w:szCs w:val="18"/>
              </w:rPr>
              <w:t>3</w:t>
            </w:r>
          </w:p>
        </w:tc>
        <w:tc>
          <w:tcPr>
            <w:tcW w:w="6237" w:type="dxa"/>
            <w:gridSpan w:val="4"/>
          </w:tcPr>
          <w:p w14:paraId="3D0F86EB" w14:textId="2F7A7E6E" w:rsidR="006E6E88" w:rsidRDefault="006E6E88" w:rsidP="006E6E88">
            <w:pPr>
              <w:rPr>
                <w:rFonts w:ascii="Arial" w:hAnsi="Arial" w:cs="Arial"/>
                <w:sz w:val="18"/>
                <w:szCs w:val="18"/>
              </w:rPr>
            </w:pPr>
            <w:r w:rsidRPr="00CB06D0" w:rsidDel="00863763">
              <w:rPr>
                <w:rFonts w:ascii="Arial" w:hAnsi="Arial" w:cs="Arial"/>
                <w:sz w:val="18"/>
                <w:szCs w:val="18"/>
              </w:rPr>
              <w:t xml:space="preserve">Bestätigung, dass die internen Verfahren </w:t>
            </w:r>
            <w:r w:rsidDel="00863763">
              <w:rPr>
                <w:rFonts w:ascii="Arial" w:hAnsi="Arial" w:cs="Arial"/>
                <w:sz w:val="18"/>
                <w:szCs w:val="18"/>
              </w:rPr>
              <w:t xml:space="preserve">in der Lage sind, geeignete Transferparameter («Übertragungsumfang»; </w:t>
            </w:r>
            <w:r w:rsidRPr="004815BA" w:rsidDel="00863763">
              <w:rPr>
                <w:rFonts w:ascii="Arial" w:hAnsi="Arial" w:cs="Arial"/>
                <w:sz w:val="18"/>
                <w:szCs w:val="18"/>
              </w:rPr>
              <w:t>EBA/GL/2022/11</w:t>
            </w:r>
            <w:r w:rsidDel="00863763">
              <w:rPr>
                <w:rFonts w:ascii="Arial" w:hAnsi="Arial" w:cs="Arial"/>
                <w:sz w:val="18"/>
                <w:szCs w:val="18"/>
              </w:rPr>
              <w:t>) zu erarbeiten sowie einen</w:t>
            </w:r>
            <w:r w:rsidRPr="00D779C1" w:rsidDel="00863763">
              <w:rPr>
                <w:rFonts w:ascii="Arial" w:hAnsi="Arial" w:cs="Arial"/>
                <w:sz w:val="18"/>
                <w:szCs w:val="18"/>
              </w:rPr>
              <w:t xml:space="preserve"> detaillierten Bericht zur </w:t>
            </w:r>
            <w:proofErr w:type="spellStart"/>
            <w:r w:rsidRPr="00D779C1" w:rsidDel="00863763">
              <w:rPr>
                <w:rFonts w:ascii="Arial" w:hAnsi="Arial" w:cs="Arial"/>
                <w:sz w:val="18"/>
                <w:szCs w:val="18"/>
              </w:rPr>
              <w:t>Separierbarkeit</w:t>
            </w:r>
            <w:proofErr w:type="spellEnd"/>
            <w:r w:rsidRPr="00D779C1" w:rsidDel="00863763">
              <w:rPr>
                <w:rFonts w:ascii="Arial" w:hAnsi="Arial" w:cs="Arial"/>
                <w:sz w:val="18"/>
                <w:szCs w:val="18"/>
              </w:rPr>
              <w:t xml:space="preserve"> von Vermögenswerten und Verbindlichkeiten </w:t>
            </w:r>
            <w:r w:rsidDel="00863763">
              <w:rPr>
                <w:rFonts w:ascii="Arial" w:hAnsi="Arial" w:cs="Arial"/>
                <w:sz w:val="18"/>
                <w:szCs w:val="18"/>
              </w:rPr>
              <w:t>(«SAR»), inkl. Verkaufswertschätzungen, zu erstellen.</w:t>
            </w:r>
          </w:p>
        </w:tc>
        <w:tc>
          <w:tcPr>
            <w:tcW w:w="2522" w:type="dxa"/>
          </w:tcPr>
          <w:p w14:paraId="17B7AF7A" w14:textId="2CD2DB97" w:rsidR="006E6E88" w:rsidRPr="00E109DF" w:rsidRDefault="00240087" w:rsidP="006E6E8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r w:rsidRPr="00E109DF" w:rsidDel="00863763">
              <w:rPr>
                <w:rFonts w:ascii="Arial" w:hAnsi="Arial" w:cs="Arial"/>
                <w:i/>
                <w:sz w:val="18"/>
                <w:szCs w:val="18"/>
                <w:highlight w:val="yellow"/>
              </w:rPr>
              <w:t xml:space="preserve"> </w:t>
            </w:r>
          </w:p>
        </w:tc>
      </w:tr>
      <w:tr w:rsidR="006E6E88" w:rsidRPr="006A08D2" w14:paraId="40EC8BC0" w14:textId="77777777" w:rsidTr="0096765A">
        <w:trPr>
          <w:trHeight w:val="156"/>
        </w:trPr>
        <w:tc>
          <w:tcPr>
            <w:tcW w:w="517" w:type="dxa"/>
          </w:tcPr>
          <w:p w14:paraId="141D9355" w14:textId="79DD2BF1" w:rsidR="006E6E88" w:rsidRDefault="00240087" w:rsidP="006E6E88">
            <w:pPr>
              <w:jc w:val="both"/>
              <w:rPr>
                <w:rFonts w:ascii="Arial" w:hAnsi="Arial" w:cs="Arial"/>
                <w:sz w:val="18"/>
                <w:szCs w:val="18"/>
              </w:rPr>
            </w:pPr>
            <w:r>
              <w:rPr>
                <w:rFonts w:ascii="Arial" w:hAnsi="Arial" w:cs="Arial"/>
                <w:sz w:val="18"/>
                <w:szCs w:val="18"/>
              </w:rPr>
              <w:t>4</w:t>
            </w:r>
          </w:p>
        </w:tc>
        <w:tc>
          <w:tcPr>
            <w:tcW w:w="6237" w:type="dxa"/>
            <w:gridSpan w:val="4"/>
          </w:tcPr>
          <w:p w14:paraId="4DA9E18C" w14:textId="0554A9CF" w:rsidR="006E6E88" w:rsidRDefault="006E6E88" w:rsidP="006E6E88">
            <w:pPr>
              <w:rPr>
                <w:rFonts w:ascii="Arial" w:hAnsi="Arial" w:cs="Arial"/>
                <w:sz w:val="18"/>
                <w:szCs w:val="18"/>
              </w:rPr>
            </w:pPr>
            <w:r w:rsidRPr="00CB06D0">
              <w:rPr>
                <w:rFonts w:ascii="Arial" w:hAnsi="Arial" w:cs="Arial"/>
                <w:sz w:val="18"/>
                <w:szCs w:val="18"/>
              </w:rPr>
              <w:t xml:space="preserve">Bestätigung, dass </w:t>
            </w:r>
            <w:r w:rsidR="009026A1">
              <w:rPr>
                <w:rFonts w:ascii="Arial" w:hAnsi="Arial" w:cs="Arial"/>
                <w:sz w:val="18"/>
                <w:szCs w:val="18"/>
              </w:rPr>
              <w:t xml:space="preserve">Handbücher («Transfer </w:t>
            </w:r>
            <w:proofErr w:type="spellStart"/>
            <w:r w:rsidR="009026A1">
              <w:rPr>
                <w:rFonts w:ascii="Arial" w:hAnsi="Arial" w:cs="Arial"/>
                <w:sz w:val="18"/>
                <w:szCs w:val="18"/>
              </w:rPr>
              <w:t>Playbook</w:t>
            </w:r>
            <w:proofErr w:type="spellEnd"/>
            <w:r w:rsidR="009026A1">
              <w:rPr>
                <w:rFonts w:ascii="Arial" w:hAnsi="Arial" w:cs="Arial"/>
                <w:sz w:val="18"/>
                <w:szCs w:val="18"/>
              </w:rPr>
              <w:t xml:space="preserve">») </w:t>
            </w:r>
            <w:r w:rsidR="00CE6D86">
              <w:rPr>
                <w:rFonts w:ascii="Arial" w:hAnsi="Arial" w:cs="Arial"/>
                <w:sz w:val="18"/>
                <w:szCs w:val="18"/>
              </w:rPr>
              <w:t>die operative Durchführung der Transferstrategie</w:t>
            </w:r>
            <w:r w:rsidR="0072495B">
              <w:rPr>
                <w:rFonts w:ascii="Arial" w:hAnsi="Arial" w:cs="Arial"/>
                <w:sz w:val="18"/>
                <w:szCs w:val="18"/>
              </w:rPr>
              <w:t xml:space="preserve"> definieren</w:t>
            </w:r>
            <w:r w:rsidR="00CE6D86">
              <w:rPr>
                <w:rFonts w:ascii="Arial" w:hAnsi="Arial" w:cs="Arial"/>
                <w:sz w:val="18"/>
                <w:szCs w:val="18"/>
              </w:rPr>
              <w:t xml:space="preserve"> (</w:t>
            </w:r>
            <w:r w:rsidR="0072495B">
              <w:rPr>
                <w:rFonts w:ascii="Arial" w:hAnsi="Arial" w:cs="Arial"/>
                <w:sz w:val="18"/>
                <w:szCs w:val="18"/>
              </w:rPr>
              <w:t xml:space="preserve">inkl. </w:t>
            </w:r>
            <w:r w:rsidR="009E0DF0">
              <w:rPr>
                <w:rFonts w:ascii="Arial" w:hAnsi="Arial" w:cs="Arial"/>
                <w:sz w:val="18"/>
                <w:szCs w:val="18"/>
              </w:rPr>
              <w:t>Simulation des</w:t>
            </w:r>
            <w:r>
              <w:rPr>
                <w:rFonts w:ascii="Arial" w:hAnsi="Arial" w:cs="Arial"/>
                <w:sz w:val="18"/>
                <w:szCs w:val="18"/>
              </w:rPr>
              <w:t xml:space="preserve"> Transfer</w:t>
            </w:r>
            <w:r w:rsidR="009E0DF0">
              <w:rPr>
                <w:rFonts w:ascii="Arial" w:hAnsi="Arial" w:cs="Arial"/>
                <w:sz w:val="18"/>
                <w:szCs w:val="18"/>
              </w:rPr>
              <w:t>s</w:t>
            </w:r>
            <w:r>
              <w:rPr>
                <w:rFonts w:ascii="Arial" w:hAnsi="Arial" w:cs="Arial"/>
                <w:sz w:val="18"/>
                <w:szCs w:val="18"/>
              </w:rPr>
              <w:t xml:space="preserve"> einzelner Kunden </w:t>
            </w:r>
            <w:r w:rsidR="00CC3FB3">
              <w:rPr>
                <w:rFonts w:ascii="Arial" w:hAnsi="Arial" w:cs="Arial"/>
                <w:sz w:val="18"/>
                <w:szCs w:val="18"/>
              </w:rPr>
              <w:t xml:space="preserve">bezüglich </w:t>
            </w:r>
            <w:r>
              <w:rPr>
                <w:rFonts w:ascii="Arial" w:hAnsi="Arial" w:cs="Arial"/>
                <w:sz w:val="18"/>
                <w:szCs w:val="18"/>
              </w:rPr>
              <w:t>Kredite, Einlagen, Depot, Sicherheiten und ganzer Kundenstämme, einschliesslich einer Abschätzung von Dauer, Bepreisung und Kosten der Transaktio</w:t>
            </w:r>
            <w:r w:rsidR="00D32996">
              <w:rPr>
                <w:rFonts w:ascii="Arial" w:hAnsi="Arial" w:cs="Arial"/>
                <w:sz w:val="18"/>
                <w:szCs w:val="18"/>
              </w:rPr>
              <w:t>n</w:t>
            </w:r>
            <w:r>
              <w:rPr>
                <w:rFonts w:ascii="Arial" w:hAnsi="Arial" w:cs="Arial"/>
                <w:sz w:val="18"/>
                <w:szCs w:val="18"/>
              </w:rPr>
              <w:t>en</w:t>
            </w:r>
            <w:r w:rsidR="00CC3FB3">
              <w:rPr>
                <w:rFonts w:ascii="Arial" w:hAnsi="Arial" w:cs="Arial"/>
                <w:sz w:val="18"/>
                <w:szCs w:val="18"/>
              </w:rPr>
              <w:t xml:space="preserve"> </w:t>
            </w:r>
            <w:r w:rsidR="0072495B">
              <w:rPr>
                <w:rFonts w:ascii="Arial" w:hAnsi="Arial" w:cs="Arial"/>
                <w:sz w:val="18"/>
                <w:szCs w:val="18"/>
              </w:rPr>
              <w:t>und p</w:t>
            </w:r>
            <w:r w:rsidR="00943EE3">
              <w:rPr>
                <w:rFonts w:ascii="Arial" w:hAnsi="Arial" w:cs="Arial"/>
                <w:sz w:val="18"/>
                <w:szCs w:val="18"/>
              </w:rPr>
              <w:t>otentieller Interessenkonflikte</w:t>
            </w:r>
            <w:r w:rsidR="00CE6D86">
              <w:rPr>
                <w:rFonts w:ascii="Arial" w:hAnsi="Arial" w:cs="Arial"/>
                <w:sz w:val="18"/>
                <w:szCs w:val="18"/>
              </w:rPr>
              <w:t>)</w:t>
            </w:r>
            <w:r>
              <w:rPr>
                <w:rFonts w:ascii="Arial" w:hAnsi="Arial" w:cs="Arial"/>
                <w:sz w:val="18"/>
                <w:szCs w:val="18"/>
              </w:rPr>
              <w:t>.</w:t>
            </w:r>
          </w:p>
        </w:tc>
        <w:tc>
          <w:tcPr>
            <w:tcW w:w="2522" w:type="dxa"/>
          </w:tcPr>
          <w:p w14:paraId="093E9526" w14:textId="3EF42578" w:rsidR="006E6E88" w:rsidRPr="00E109DF" w:rsidRDefault="006E6E88" w:rsidP="006E6E8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6E88" w:rsidRPr="006A08D2" w14:paraId="663F51F5" w14:textId="77777777" w:rsidTr="0096765A">
        <w:trPr>
          <w:trHeight w:val="156"/>
        </w:trPr>
        <w:tc>
          <w:tcPr>
            <w:tcW w:w="517" w:type="dxa"/>
          </w:tcPr>
          <w:p w14:paraId="4A7B25C0" w14:textId="41954230" w:rsidR="006E6E88" w:rsidRDefault="00240087" w:rsidP="006E6E88">
            <w:pPr>
              <w:jc w:val="both"/>
              <w:rPr>
                <w:rFonts w:ascii="Arial" w:hAnsi="Arial" w:cs="Arial"/>
                <w:sz w:val="18"/>
                <w:szCs w:val="18"/>
              </w:rPr>
            </w:pPr>
            <w:r>
              <w:rPr>
                <w:rFonts w:ascii="Arial" w:hAnsi="Arial" w:cs="Arial"/>
                <w:sz w:val="18"/>
                <w:szCs w:val="18"/>
              </w:rPr>
              <w:t>5</w:t>
            </w:r>
          </w:p>
        </w:tc>
        <w:tc>
          <w:tcPr>
            <w:tcW w:w="6237" w:type="dxa"/>
            <w:gridSpan w:val="4"/>
          </w:tcPr>
          <w:p w14:paraId="716405F2" w14:textId="2CF3898E" w:rsidR="006E6E88" w:rsidRPr="00EF3818" w:rsidRDefault="00A11248" w:rsidP="006359F4">
            <w:pPr>
              <w:pStyle w:val="Kommentartext"/>
              <w:rPr>
                <w:rFonts w:ascii="Arial" w:hAnsi="Arial" w:cs="Arial"/>
                <w:sz w:val="18"/>
                <w:szCs w:val="18"/>
              </w:rPr>
            </w:pPr>
            <w:r w:rsidRPr="00A11248">
              <w:rPr>
                <w:rFonts w:ascii="Arial" w:hAnsi="Arial" w:cs="Arial"/>
                <w:sz w:val="18"/>
                <w:szCs w:val="18"/>
              </w:rPr>
              <w:t xml:space="preserve">Bestätigung, dass die internen Verfahren regelmässige Tests der operativen Durchführbarkeit der Transferstrategie («Dry-runs») gemäss Handbüchern ("Transfer </w:t>
            </w:r>
            <w:proofErr w:type="spellStart"/>
            <w:r w:rsidRPr="00A11248">
              <w:rPr>
                <w:rFonts w:ascii="Arial" w:hAnsi="Arial" w:cs="Arial"/>
                <w:sz w:val="18"/>
                <w:szCs w:val="18"/>
              </w:rPr>
              <w:t>Playbook</w:t>
            </w:r>
            <w:proofErr w:type="spellEnd"/>
            <w:r w:rsidRPr="00A11248">
              <w:rPr>
                <w:rFonts w:ascii="Arial" w:hAnsi="Arial" w:cs="Arial"/>
                <w:sz w:val="18"/>
                <w:szCs w:val="18"/>
              </w:rPr>
              <w:t>") unter verschiedenen Abwicklungsszenarien ermöglichen</w:t>
            </w:r>
            <w:r w:rsidR="00B00162">
              <w:rPr>
                <w:rFonts w:ascii="Arial" w:hAnsi="Arial" w:cs="Arial"/>
                <w:sz w:val="18"/>
                <w:szCs w:val="18"/>
              </w:rPr>
              <w:t xml:space="preserve"> </w:t>
            </w:r>
            <w:r w:rsidR="000410F3">
              <w:rPr>
                <w:rFonts w:ascii="Arial" w:hAnsi="Arial" w:cs="Arial"/>
                <w:sz w:val="18"/>
                <w:szCs w:val="18"/>
              </w:rPr>
              <w:t>(</w:t>
            </w:r>
            <w:r w:rsidR="006E6E88" w:rsidRPr="00C614A2">
              <w:rPr>
                <w:rFonts w:ascii="Arial" w:hAnsi="Arial" w:cs="Arial"/>
                <w:sz w:val="18"/>
                <w:szCs w:val="18"/>
              </w:rPr>
              <w:t>EBA/GL/2022/11, Kapitel 5.3).</w:t>
            </w:r>
          </w:p>
        </w:tc>
        <w:tc>
          <w:tcPr>
            <w:tcW w:w="2522" w:type="dxa"/>
          </w:tcPr>
          <w:p w14:paraId="254514E5" w14:textId="667BCE7B" w:rsidR="006E6E88" w:rsidRPr="00E109DF" w:rsidRDefault="006E6E88" w:rsidP="006E6E8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CED9085" w14:textId="17C9AE82" w:rsidR="3A0A566E" w:rsidRDefault="3A0A566E" w:rsidP="3A0A566E"/>
    <w:tbl>
      <w:tblPr>
        <w:tblStyle w:val="Tabellenraster"/>
        <w:tblW w:w="0" w:type="auto"/>
        <w:tblLook w:val="04A0" w:firstRow="1" w:lastRow="0" w:firstColumn="1" w:lastColumn="0" w:noHBand="0" w:noVBand="1"/>
      </w:tblPr>
      <w:tblGrid>
        <w:gridCol w:w="1980"/>
        <w:gridCol w:w="7229"/>
      </w:tblGrid>
      <w:tr w:rsidR="000771D9" w14:paraId="327698C1" w14:textId="77777777" w:rsidTr="0096765A">
        <w:trPr>
          <w:trHeight w:val="300"/>
        </w:trPr>
        <w:tc>
          <w:tcPr>
            <w:tcW w:w="1980" w:type="dxa"/>
          </w:tcPr>
          <w:p w14:paraId="2A4814CA" w14:textId="77777777" w:rsidR="000771D9" w:rsidRDefault="000771D9">
            <w:pPr>
              <w:jc w:val="both"/>
              <w:rPr>
                <w:rFonts w:ascii="Arial" w:hAnsi="Arial" w:cs="Arial"/>
                <w:b/>
                <w:bCs/>
                <w:i/>
                <w:iCs/>
                <w:sz w:val="18"/>
                <w:szCs w:val="18"/>
              </w:rPr>
            </w:pPr>
            <w:r w:rsidRPr="5F2CC23C">
              <w:rPr>
                <w:rFonts w:ascii="Arial" w:hAnsi="Arial" w:cs="Arial"/>
                <w:b/>
                <w:bCs/>
                <w:i/>
                <w:iCs/>
                <w:sz w:val="18"/>
                <w:szCs w:val="18"/>
              </w:rPr>
              <w:t>Prüfelemente</w:t>
            </w:r>
          </w:p>
        </w:tc>
        <w:tc>
          <w:tcPr>
            <w:tcW w:w="7229" w:type="dxa"/>
          </w:tcPr>
          <w:p w14:paraId="2A524D92" w14:textId="77777777" w:rsidR="000771D9" w:rsidRDefault="000771D9">
            <w:pPr>
              <w:jc w:val="both"/>
              <w:rPr>
                <w:rFonts w:ascii="Arial" w:hAnsi="Arial" w:cs="Arial"/>
                <w:b/>
                <w:bCs/>
                <w:i/>
                <w:iCs/>
                <w:sz w:val="18"/>
                <w:szCs w:val="18"/>
              </w:rPr>
            </w:pPr>
            <w:r w:rsidRPr="5F2CC23C">
              <w:rPr>
                <w:rFonts w:ascii="Arial" w:hAnsi="Arial" w:cs="Arial"/>
                <w:b/>
                <w:bCs/>
                <w:i/>
                <w:iCs/>
                <w:sz w:val="18"/>
                <w:szCs w:val="18"/>
              </w:rPr>
              <w:t>Mindestprüfinhalte («Muster»)</w:t>
            </w:r>
          </w:p>
        </w:tc>
      </w:tr>
      <w:tr w:rsidR="000771D9" w14:paraId="33901D98" w14:textId="77777777" w:rsidTr="0096765A">
        <w:trPr>
          <w:trHeight w:val="300"/>
        </w:trPr>
        <w:tc>
          <w:tcPr>
            <w:tcW w:w="1980" w:type="dxa"/>
          </w:tcPr>
          <w:p w14:paraId="0ACEFF3B" w14:textId="77777777" w:rsidR="000771D9" w:rsidRDefault="000771D9">
            <w:pPr>
              <w:spacing w:line="259" w:lineRule="auto"/>
              <w:jc w:val="both"/>
              <w:rPr>
                <w:rFonts w:ascii="Arial" w:hAnsi="Arial" w:cs="Arial"/>
                <w:i/>
                <w:iCs/>
                <w:sz w:val="18"/>
                <w:szCs w:val="18"/>
              </w:rPr>
            </w:pPr>
            <w:r w:rsidRPr="5F2CC23C">
              <w:rPr>
                <w:rFonts w:ascii="Arial" w:eastAsia="Arial" w:hAnsi="Arial" w:cs="Arial"/>
                <w:i/>
                <w:iCs/>
                <w:sz w:val="18"/>
                <w:szCs w:val="18"/>
              </w:rPr>
              <w:t xml:space="preserve">Interne Organisation </w:t>
            </w:r>
          </w:p>
        </w:tc>
        <w:tc>
          <w:tcPr>
            <w:tcW w:w="7229" w:type="dxa"/>
          </w:tcPr>
          <w:p w14:paraId="4222291D" w14:textId="77777777" w:rsidR="000771D9" w:rsidRDefault="000771D9">
            <w:pPr>
              <w:pStyle w:val="Listenabsatz"/>
              <w:numPr>
                <w:ilvl w:val="1"/>
                <w:numId w:val="10"/>
              </w:numPr>
              <w:spacing w:line="259" w:lineRule="auto"/>
              <w:ind w:left="317" w:hanging="283"/>
              <w:jc w:val="both"/>
            </w:pPr>
            <w:r w:rsidRPr="559817E7">
              <w:rPr>
                <w:rFonts w:eastAsia="Arial" w:cs="Arial"/>
                <w:i/>
                <w:sz w:val="18"/>
                <w:szCs w:val="18"/>
              </w:rPr>
              <w:t>Die interne Organisationsstruktur (z.B. Weisungswesen, technische, personelle und fachliche Ressourcen)</w:t>
            </w:r>
            <w:r w:rsidRPr="5F2CC23C">
              <w:rPr>
                <w:rFonts w:eastAsia="Arial" w:cs="Arial"/>
                <w:i/>
                <w:iCs/>
                <w:sz w:val="18"/>
                <w:szCs w:val="18"/>
              </w:rPr>
              <w:t xml:space="preserve"> stellt sicher, dass Verfahren </w:t>
            </w:r>
            <w:r>
              <w:rPr>
                <w:rFonts w:eastAsia="Arial" w:cs="Arial"/>
                <w:i/>
                <w:iCs/>
                <w:sz w:val="18"/>
                <w:szCs w:val="18"/>
              </w:rPr>
              <w:t>zur</w:t>
            </w:r>
            <w:r w:rsidRPr="5F2CC23C">
              <w:rPr>
                <w:rFonts w:eastAsia="Arial" w:cs="Arial"/>
                <w:i/>
                <w:iCs/>
                <w:sz w:val="18"/>
                <w:szCs w:val="18"/>
              </w:rPr>
              <w:t xml:space="preserve"> </w:t>
            </w:r>
            <w:r w:rsidRPr="559817E7">
              <w:rPr>
                <w:rFonts w:eastAsia="Arial" w:cs="Arial"/>
                <w:i/>
                <w:iCs/>
                <w:sz w:val="18"/>
                <w:szCs w:val="18"/>
              </w:rPr>
              <w:t>Initiierung eines Verkaufsprozesses</w:t>
            </w:r>
            <w:r>
              <w:rPr>
                <w:rFonts w:eastAsia="Arial" w:cs="Arial"/>
                <w:i/>
                <w:iCs/>
                <w:sz w:val="18"/>
                <w:szCs w:val="18"/>
              </w:rPr>
              <w:t>,</w:t>
            </w:r>
            <w:r w:rsidRPr="559817E7">
              <w:rPr>
                <w:rFonts w:eastAsia="Arial" w:cs="Arial"/>
                <w:i/>
                <w:iCs/>
                <w:sz w:val="18"/>
                <w:szCs w:val="18"/>
              </w:rPr>
              <w:t xml:space="preserve"> </w:t>
            </w:r>
            <w:r>
              <w:rPr>
                <w:rFonts w:eastAsia="Arial" w:cs="Arial"/>
                <w:i/>
                <w:iCs/>
                <w:sz w:val="18"/>
                <w:szCs w:val="18"/>
              </w:rPr>
              <w:t xml:space="preserve">zur </w:t>
            </w:r>
            <w:r w:rsidRPr="5F2CC23C">
              <w:rPr>
                <w:rFonts w:eastAsia="Arial" w:cs="Arial"/>
                <w:i/>
                <w:iCs/>
                <w:sz w:val="18"/>
                <w:szCs w:val="18"/>
              </w:rPr>
              <w:t xml:space="preserve">Durchführung </w:t>
            </w:r>
            <w:r w:rsidRPr="559817E7">
              <w:rPr>
                <w:rFonts w:eastAsia="Arial" w:cs="Arial"/>
                <w:i/>
                <w:iCs/>
                <w:sz w:val="18"/>
                <w:szCs w:val="18"/>
              </w:rPr>
              <w:t>von Marktanalysen</w:t>
            </w:r>
            <w:r>
              <w:rPr>
                <w:rFonts w:eastAsia="Arial" w:cs="Arial"/>
                <w:i/>
                <w:iCs/>
                <w:sz w:val="18"/>
                <w:szCs w:val="18"/>
              </w:rPr>
              <w:t xml:space="preserve"> </w:t>
            </w:r>
            <w:r w:rsidRPr="559817E7">
              <w:rPr>
                <w:rFonts w:eastAsia="Arial" w:cs="Arial"/>
                <w:i/>
                <w:iCs/>
                <w:sz w:val="18"/>
                <w:szCs w:val="18"/>
              </w:rPr>
              <w:t>und</w:t>
            </w:r>
            <w:r>
              <w:rPr>
                <w:rFonts w:eastAsia="Arial" w:cs="Arial"/>
                <w:i/>
                <w:iCs/>
                <w:sz w:val="18"/>
                <w:szCs w:val="18"/>
              </w:rPr>
              <w:t xml:space="preserve"> </w:t>
            </w:r>
            <w:r w:rsidRPr="559817E7">
              <w:rPr>
                <w:rFonts w:eastAsia="Arial" w:cs="Arial"/>
                <w:i/>
                <w:iCs/>
                <w:sz w:val="18"/>
                <w:szCs w:val="18"/>
              </w:rPr>
              <w:t>Tests der Transferstrategie</w:t>
            </w:r>
            <w:r w:rsidRPr="5F2CC23C">
              <w:rPr>
                <w:rFonts w:eastAsia="Arial" w:cs="Arial"/>
                <w:i/>
                <w:iCs/>
                <w:sz w:val="18"/>
                <w:szCs w:val="18"/>
              </w:rPr>
              <w:t xml:space="preserve"> </w:t>
            </w:r>
            <w:r>
              <w:rPr>
                <w:rFonts w:eastAsia="Arial" w:cs="Arial"/>
                <w:i/>
                <w:iCs/>
                <w:sz w:val="18"/>
                <w:szCs w:val="18"/>
              </w:rPr>
              <w:t>existieren</w:t>
            </w:r>
          </w:p>
        </w:tc>
      </w:tr>
      <w:tr w:rsidR="000771D9" w14:paraId="042762EA" w14:textId="77777777" w:rsidTr="0096765A">
        <w:trPr>
          <w:trHeight w:val="300"/>
        </w:trPr>
        <w:tc>
          <w:tcPr>
            <w:tcW w:w="1980" w:type="dxa"/>
          </w:tcPr>
          <w:p w14:paraId="3ACC24D0" w14:textId="77777777" w:rsidR="000771D9" w:rsidRDefault="000771D9">
            <w:pPr>
              <w:spacing w:line="259" w:lineRule="auto"/>
              <w:jc w:val="both"/>
              <w:rPr>
                <w:rFonts w:ascii="Arial" w:hAnsi="Arial" w:cs="Arial"/>
                <w:i/>
                <w:iCs/>
                <w:sz w:val="18"/>
                <w:szCs w:val="18"/>
              </w:rPr>
            </w:pPr>
            <w:r w:rsidRPr="5F2CC23C">
              <w:rPr>
                <w:rFonts w:ascii="Arial" w:eastAsia="Arial" w:hAnsi="Arial" w:cs="Arial"/>
                <w:i/>
                <w:iCs/>
                <w:sz w:val="18"/>
                <w:szCs w:val="18"/>
              </w:rPr>
              <w:lastRenderedPageBreak/>
              <w:t>Internes Kontrollsystem, Prozesse und Berichterstattung</w:t>
            </w:r>
          </w:p>
        </w:tc>
        <w:tc>
          <w:tcPr>
            <w:tcW w:w="7229" w:type="dxa"/>
          </w:tcPr>
          <w:p w14:paraId="44AD1C2D" w14:textId="77777777" w:rsidR="000771D9" w:rsidRDefault="000771D9">
            <w:pPr>
              <w:pStyle w:val="Listenabsatz"/>
              <w:numPr>
                <w:ilvl w:val="0"/>
                <w:numId w:val="14"/>
              </w:numPr>
              <w:spacing w:line="259" w:lineRule="auto"/>
              <w:ind w:left="317" w:hanging="283"/>
              <w:jc w:val="both"/>
              <w:rPr>
                <w:sz w:val="18"/>
                <w:szCs w:val="18"/>
              </w:rPr>
            </w:pPr>
            <w:r w:rsidRPr="00ED2078">
              <w:rPr>
                <w:i/>
                <w:iCs/>
                <w:sz w:val="18"/>
                <w:szCs w:val="18"/>
              </w:rPr>
              <w:t xml:space="preserve">Die internen Verfahren sehen die Anwendung des 4-Augen-Prinzips </w:t>
            </w:r>
            <w:r>
              <w:rPr>
                <w:i/>
                <w:iCs/>
                <w:sz w:val="18"/>
                <w:szCs w:val="18"/>
              </w:rPr>
              <w:t>bzw.</w:t>
            </w:r>
            <w:r w:rsidRPr="00ED2078">
              <w:rPr>
                <w:i/>
                <w:iCs/>
                <w:sz w:val="18"/>
                <w:szCs w:val="18"/>
              </w:rPr>
              <w:t xml:space="preserve"> Funktionstrennung bei Schlüsselkontrollen vor </w:t>
            </w:r>
            <w:r w:rsidRPr="00ED2078">
              <w:rPr>
                <w:sz w:val="18"/>
                <w:szCs w:val="18"/>
              </w:rPr>
              <w:t xml:space="preserve"> </w:t>
            </w:r>
          </w:p>
          <w:p w14:paraId="401EB14E" w14:textId="77777777" w:rsidR="000771D9" w:rsidRDefault="000771D9">
            <w:pPr>
              <w:pStyle w:val="Listenabsatz"/>
              <w:numPr>
                <w:ilvl w:val="0"/>
                <w:numId w:val="14"/>
              </w:numPr>
              <w:spacing w:line="259" w:lineRule="auto"/>
              <w:ind w:left="317" w:hanging="283"/>
              <w:jc w:val="both"/>
              <w:rPr>
                <w:i/>
                <w:sz w:val="18"/>
                <w:szCs w:val="18"/>
              </w:rPr>
            </w:pPr>
            <w:r w:rsidRPr="00ED2078">
              <w:rPr>
                <w:i/>
                <w:iCs/>
                <w:sz w:val="18"/>
                <w:szCs w:val="18"/>
              </w:rPr>
              <w:t>Es sind Verfahren zur Initiierung eines Verkaufsprozesses inklusive Einrichtung eines virtuellen Datenraums definiert</w:t>
            </w:r>
            <w:r w:rsidRPr="28BCA7B2">
              <w:rPr>
                <w:i/>
                <w:sz w:val="18"/>
                <w:szCs w:val="18"/>
              </w:rPr>
              <w:t xml:space="preserve"> </w:t>
            </w:r>
          </w:p>
          <w:p w14:paraId="7484D7B2" w14:textId="77777777" w:rsidR="000771D9" w:rsidRDefault="000771D9">
            <w:pPr>
              <w:pStyle w:val="Listenabsatz"/>
              <w:numPr>
                <w:ilvl w:val="0"/>
                <w:numId w:val="14"/>
              </w:numPr>
              <w:spacing w:line="259" w:lineRule="auto"/>
              <w:ind w:left="317" w:hanging="283"/>
              <w:jc w:val="both"/>
              <w:rPr>
                <w:i/>
                <w:sz w:val="18"/>
                <w:szCs w:val="18"/>
              </w:rPr>
            </w:pPr>
            <w:r w:rsidRPr="00ED2078">
              <w:rPr>
                <w:i/>
                <w:iCs/>
                <w:sz w:val="18"/>
                <w:szCs w:val="18"/>
              </w:rPr>
              <w:t>Es sind Verfahren zur jährlichen Durchführung von Marktanalysen zur Identifikation potentieller Erwerber definiert</w:t>
            </w:r>
            <w:r w:rsidRPr="28BCA7B2">
              <w:rPr>
                <w:i/>
                <w:sz w:val="18"/>
                <w:szCs w:val="18"/>
              </w:rPr>
              <w:t xml:space="preserve"> </w:t>
            </w:r>
          </w:p>
          <w:p w14:paraId="2753CA1E" w14:textId="77777777" w:rsidR="000771D9" w:rsidRDefault="000771D9">
            <w:pPr>
              <w:pStyle w:val="Listenabsatz"/>
              <w:numPr>
                <w:ilvl w:val="0"/>
                <w:numId w:val="14"/>
              </w:numPr>
              <w:spacing w:line="259" w:lineRule="auto"/>
              <w:ind w:left="317" w:hanging="283"/>
              <w:jc w:val="both"/>
              <w:rPr>
                <w:i/>
                <w:sz w:val="18"/>
                <w:szCs w:val="18"/>
              </w:rPr>
            </w:pPr>
            <w:r w:rsidRPr="00ED2078">
              <w:rPr>
                <w:i/>
                <w:iCs/>
                <w:sz w:val="18"/>
                <w:szCs w:val="18"/>
              </w:rPr>
              <w:t>Die Handbücher definieren die operative Durchführung der Transferstrategie und enthalten Einschätzungen zu Dauer, Bepreisung, Kosten und potentiellen Interessenskonflikten.</w:t>
            </w:r>
          </w:p>
          <w:p w14:paraId="547D9D84" w14:textId="77777777" w:rsidR="000771D9" w:rsidRDefault="000771D9">
            <w:pPr>
              <w:pStyle w:val="Listenabsatz"/>
              <w:numPr>
                <w:ilvl w:val="0"/>
                <w:numId w:val="14"/>
              </w:numPr>
              <w:spacing w:line="259" w:lineRule="auto"/>
              <w:ind w:left="317" w:hanging="283"/>
              <w:jc w:val="both"/>
              <w:rPr>
                <w:i/>
                <w:sz w:val="18"/>
                <w:szCs w:val="18"/>
              </w:rPr>
            </w:pPr>
            <w:r w:rsidRPr="00CF45AE">
              <w:rPr>
                <w:i/>
                <w:sz w:val="18"/>
                <w:szCs w:val="18"/>
              </w:rPr>
              <w:t xml:space="preserve">Es werden mindestens jährliche Testläufe zur Beurteilung der Angemessenheit des MIS durchgeführt. Die Testläufe werden unter Annahme verschiedener Krisenszenarien durchgeführt  </w:t>
            </w:r>
          </w:p>
          <w:p w14:paraId="7210A8C4" w14:textId="15F0D3B2" w:rsidR="000771D9" w:rsidRPr="00946A82" w:rsidRDefault="000771D9">
            <w:pPr>
              <w:pStyle w:val="Listenabsatz"/>
              <w:numPr>
                <w:ilvl w:val="0"/>
                <w:numId w:val="14"/>
              </w:numPr>
              <w:spacing w:line="259" w:lineRule="auto"/>
              <w:ind w:left="317" w:hanging="283"/>
              <w:jc w:val="both"/>
              <w:rPr>
                <w:i/>
                <w:sz w:val="18"/>
                <w:szCs w:val="18"/>
              </w:rPr>
            </w:pPr>
            <w:r>
              <w:rPr>
                <w:i/>
                <w:sz w:val="18"/>
                <w:szCs w:val="18"/>
              </w:rPr>
              <w:t xml:space="preserve">Ein </w:t>
            </w:r>
            <w:proofErr w:type="spellStart"/>
            <w:r>
              <w:rPr>
                <w:i/>
                <w:sz w:val="18"/>
                <w:szCs w:val="18"/>
              </w:rPr>
              <w:t>Separability</w:t>
            </w:r>
            <w:proofErr w:type="spellEnd"/>
            <w:r>
              <w:rPr>
                <w:i/>
                <w:sz w:val="18"/>
                <w:szCs w:val="18"/>
              </w:rPr>
              <w:t xml:space="preserve"> Analysis Report wird jährlich erstellt</w:t>
            </w:r>
          </w:p>
        </w:tc>
      </w:tr>
    </w:tbl>
    <w:p w14:paraId="0ECC2BDE" w14:textId="17C9AE82" w:rsidR="5F2CC23C" w:rsidRDefault="5F2CC23C" w:rsidP="5F2CC23C"/>
    <w:p w14:paraId="0A1CAB78" w14:textId="77777777" w:rsidR="001469E9" w:rsidRDefault="009464E8" w:rsidP="00C37D08">
      <w:pPr>
        <w:pStyle w:val="FINMAGliederungEbene1"/>
      </w:pPr>
      <w:bookmarkStart w:id="61" w:name="_Toc147141458"/>
      <w:r>
        <w:t>Weitere Bemerkungen</w:t>
      </w:r>
      <w:bookmarkEnd w:id="61"/>
    </w:p>
    <w:p w14:paraId="08EAC8E7" w14:textId="77777777" w:rsidR="009464E8" w:rsidRDefault="009464E8" w:rsidP="009464E8">
      <w:pPr>
        <w:pStyle w:val="Listenabsatz"/>
        <w:ind w:left="360"/>
        <w:jc w:val="both"/>
      </w:pPr>
    </w:p>
    <w:p w14:paraId="322A0323" w14:textId="07E03EAC" w:rsidR="009464E8" w:rsidRDefault="009464E8" w:rsidP="009464E8">
      <w:pPr>
        <w:jc w:val="both"/>
        <w:rPr>
          <w:rFonts w:ascii="Arial" w:hAnsi="Arial" w:cs="Arial"/>
          <w:i/>
          <w:sz w:val="20"/>
          <w:szCs w:val="20"/>
        </w:rPr>
      </w:pPr>
      <w:r w:rsidRPr="009464E8">
        <w:rPr>
          <w:rFonts w:ascii="Arial" w:hAnsi="Arial" w:cs="Arial"/>
          <w:i/>
          <w:sz w:val="20"/>
          <w:szCs w:val="20"/>
          <w:highlight w:val="lightGray"/>
        </w:rPr>
        <w:t xml:space="preserve">Die weiteren Bemerkungen/Hinweise dienen der Ergänzung der vorgehend aufgeführten Sachverhalte. Sie sollen, wo es </w:t>
      </w:r>
      <w:r w:rsidR="005D2709">
        <w:rPr>
          <w:rFonts w:ascii="Arial" w:hAnsi="Arial" w:cs="Arial"/>
          <w:i/>
          <w:sz w:val="20"/>
          <w:szCs w:val="20"/>
          <w:highlight w:val="lightGray"/>
        </w:rPr>
        <w:t xml:space="preserve">der </w:t>
      </w:r>
      <w:r w:rsidR="00697F22" w:rsidRPr="00697F22">
        <w:rPr>
          <w:rFonts w:ascii="Arial" w:hAnsi="Arial" w:cs="Arial"/>
          <w:i/>
          <w:sz w:val="20"/>
          <w:szCs w:val="20"/>
          <w:highlight w:val="lightGray"/>
        </w:rPr>
        <w:t>Wirtschaftsprüfer</w:t>
      </w:r>
      <w:r w:rsidR="005D2709" w:rsidRPr="00193A84">
        <w:rPr>
          <w:rFonts w:ascii="Arial" w:hAnsi="Arial" w:cs="Arial"/>
          <w:i/>
          <w:sz w:val="20"/>
          <w:szCs w:val="20"/>
          <w:highlight w:val="lightGray"/>
        </w:rPr>
        <w:t xml:space="preserve"> </w:t>
      </w:r>
      <w:r w:rsidRPr="009464E8">
        <w:rPr>
          <w:rFonts w:ascii="Arial" w:hAnsi="Arial" w:cs="Arial"/>
          <w:i/>
          <w:sz w:val="20"/>
          <w:szCs w:val="20"/>
          <w:highlight w:val="lightGray"/>
        </w:rPr>
        <w:t xml:space="preserve">für erforderlich hält, dazu dienen, das Gesamtbild des Berichts über die </w:t>
      </w:r>
      <w:r w:rsidR="0012542F">
        <w:rPr>
          <w:rFonts w:ascii="Arial" w:hAnsi="Arial" w:cs="Arial"/>
          <w:i/>
          <w:sz w:val="20"/>
          <w:szCs w:val="20"/>
          <w:highlight w:val="lightGray"/>
        </w:rPr>
        <w:t>P</w:t>
      </w:r>
      <w:r w:rsidRPr="009464E8">
        <w:rPr>
          <w:rFonts w:ascii="Arial" w:hAnsi="Arial" w:cs="Arial"/>
          <w:i/>
          <w:sz w:val="20"/>
          <w:szCs w:val="20"/>
          <w:highlight w:val="lightGray"/>
        </w:rPr>
        <w:t xml:space="preserve">rüfung abzurunden. Sie dürfen nicht so formuliert werden, dass sie die im vorliegenden Bericht eindeutig getroffenen Prüfbestätigungen </w:t>
      </w:r>
      <w:r w:rsidR="005D2709">
        <w:rPr>
          <w:rFonts w:ascii="Arial" w:hAnsi="Arial" w:cs="Arial"/>
          <w:i/>
          <w:sz w:val="20"/>
          <w:szCs w:val="20"/>
          <w:highlight w:val="lightGray"/>
        </w:rPr>
        <w:t xml:space="preserve">des </w:t>
      </w:r>
      <w:r w:rsidR="00697F22" w:rsidRPr="00697F22">
        <w:rPr>
          <w:rFonts w:ascii="Arial" w:hAnsi="Arial" w:cs="Arial"/>
          <w:i/>
          <w:sz w:val="20"/>
          <w:szCs w:val="20"/>
          <w:highlight w:val="lightGray"/>
        </w:rPr>
        <w:t>Wirtschaftsprüfer</w:t>
      </w:r>
      <w:r w:rsidR="00697F22">
        <w:rPr>
          <w:rFonts w:ascii="Arial" w:hAnsi="Arial" w:cs="Arial"/>
          <w:i/>
          <w:sz w:val="20"/>
          <w:szCs w:val="20"/>
          <w:highlight w:val="lightGray"/>
        </w:rPr>
        <w:t>s</w:t>
      </w:r>
      <w:r w:rsidR="005D2709" w:rsidRPr="00193A84">
        <w:rPr>
          <w:rFonts w:ascii="Arial" w:hAnsi="Arial" w:cs="Arial"/>
          <w:i/>
          <w:sz w:val="20"/>
          <w:szCs w:val="20"/>
          <w:highlight w:val="lightGray"/>
        </w:rPr>
        <w:t xml:space="preserve"> </w:t>
      </w:r>
      <w:r w:rsidRPr="009464E8">
        <w:rPr>
          <w:rFonts w:ascii="Arial" w:hAnsi="Arial" w:cs="Arial"/>
          <w:i/>
          <w:sz w:val="20"/>
          <w:szCs w:val="20"/>
          <w:highlight w:val="lightGray"/>
        </w:rPr>
        <w:t>relativieren.</w:t>
      </w:r>
      <w:r>
        <w:rPr>
          <w:rFonts w:ascii="Arial" w:hAnsi="Arial" w:cs="Arial"/>
          <w:i/>
          <w:sz w:val="20"/>
          <w:szCs w:val="20"/>
        </w:rPr>
        <w:t xml:space="preserve"> </w:t>
      </w:r>
    </w:p>
    <w:p w14:paraId="12D5BCEF" w14:textId="77777777" w:rsidR="002D19EC" w:rsidRDefault="002D19EC" w:rsidP="00CB3EE6">
      <w:pPr>
        <w:pStyle w:val="Listenabsatz"/>
        <w:ind w:left="360"/>
        <w:jc w:val="both"/>
      </w:pPr>
    </w:p>
    <w:p w14:paraId="2CBDEB20" w14:textId="1087D7D5" w:rsidR="001469E9" w:rsidRDefault="001469E9" w:rsidP="00C37D08">
      <w:pPr>
        <w:pStyle w:val="FINMAGliederungEbene1"/>
      </w:pPr>
      <w:bookmarkStart w:id="62" w:name="_Toc147141459"/>
      <w:r>
        <w:t xml:space="preserve">Unterschrift / Bestätigung </w:t>
      </w:r>
      <w:r w:rsidR="005D2709">
        <w:t xml:space="preserve">des </w:t>
      </w:r>
      <w:r w:rsidR="00697F22" w:rsidRPr="00697F22">
        <w:t>Wirtschaftsprüfer</w:t>
      </w:r>
      <w:r w:rsidR="00697F22">
        <w:t>s</w:t>
      </w:r>
      <w:bookmarkEnd w:id="62"/>
      <w:r w:rsidR="005D2709" w:rsidRPr="005D2709">
        <w:t xml:space="preserve"> </w:t>
      </w:r>
    </w:p>
    <w:p w14:paraId="0CF1FD59" w14:textId="77777777" w:rsidR="001469E9" w:rsidRDefault="001469E9" w:rsidP="001469E9">
      <w:pPr>
        <w:jc w:val="both"/>
      </w:pPr>
    </w:p>
    <w:p w14:paraId="3A910730" w14:textId="3294F71F" w:rsidR="001469E9" w:rsidRPr="009464E8" w:rsidRDefault="001469E9" w:rsidP="001469E9">
      <w:pPr>
        <w:jc w:val="both"/>
        <w:rPr>
          <w:rFonts w:ascii="Arial" w:hAnsi="Arial" w:cs="Arial"/>
          <w:i/>
          <w:sz w:val="20"/>
          <w:szCs w:val="20"/>
        </w:rPr>
      </w:pPr>
      <w:r w:rsidRPr="009464E8">
        <w:rPr>
          <w:rFonts w:ascii="Arial" w:hAnsi="Arial" w:cs="Arial"/>
          <w:i/>
          <w:sz w:val="20"/>
          <w:szCs w:val="20"/>
          <w:highlight w:val="lightGray"/>
        </w:rPr>
        <w:t xml:space="preserve">Der Bericht über die </w:t>
      </w:r>
      <w:r w:rsidR="0012542F">
        <w:rPr>
          <w:rFonts w:ascii="Arial" w:hAnsi="Arial" w:cs="Arial"/>
          <w:i/>
          <w:sz w:val="20"/>
          <w:szCs w:val="20"/>
          <w:highlight w:val="lightGray"/>
        </w:rPr>
        <w:t>Prüfung</w:t>
      </w:r>
      <w:r w:rsidR="00A04645" w:rsidRPr="009464E8">
        <w:rPr>
          <w:rFonts w:ascii="Arial" w:hAnsi="Arial" w:cs="Arial"/>
          <w:i/>
          <w:sz w:val="20"/>
          <w:szCs w:val="20"/>
          <w:highlight w:val="lightGray"/>
        </w:rPr>
        <w:t xml:space="preserve"> </w:t>
      </w:r>
      <w:r w:rsidR="00ED6CC2">
        <w:rPr>
          <w:rFonts w:ascii="Arial" w:hAnsi="Arial" w:cs="Arial"/>
          <w:i/>
          <w:sz w:val="20"/>
          <w:szCs w:val="20"/>
          <w:highlight w:val="lightGray"/>
        </w:rPr>
        <w:t>ist</w:t>
      </w:r>
      <w:r w:rsidR="00ED6CC2" w:rsidRPr="009464E8">
        <w:rPr>
          <w:rFonts w:ascii="Arial" w:hAnsi="Arial" w:cs="Arial"/>
          <w:i/>
          <w:sz w:val="20"/>
          <w:szCs w:val="20"/>
          <w:highlight w:val="lightGray"/>
        </w:rPr>
        <w:t xml:space="preserve"> </w:t>
      </w:r>
      <w:r w:rsidR="00A04645" w:rsidRPr="009464E8">
        <w:rPr>
          <w:rFonts w:ascii="Arial" w:hAnsi="Arial" w:cs="Arial"/>
          <w:i/>
          <w:sz w:val="20"/>
          <w:szCs w:val="20"/>
          <w:highlight w:val="lightGray"/>
        </w:rPr>
        <w:t xml:space="preserve">vom </w:t>
      </w:r>
      <w:r w:rsidR="00697F22">
        <w:rPr>
          <w:rFonts w:ascii="Arial" w:hAnsi="Arial" w:cs="Arial"/>
          <w:i/>
          <w:sz w:val="20"/>
          <w:szCs w:val="20"/>
          <w:highlight w:val="lightGray"/>
        </w:rPr>
        <w:t xml:space="preserve">verantwortlichen </w:t>
      </w:r>
      <w:r w:rsidR="00697F22" w:rsidRPr="00697F22">
        <w:rPr>
          <w:rFonts w:ascii="Arial" w:hAnsi="Arial" w:cs="Arial"/>
          <w:i/>
          <w:sz w:val="20"/>
          <w:szCs w:val="20"/>
          <w:highlight w:val="lightGray"/>
        </w:rPr>
        <w:t>Wirtschaftsprüfer</w:t>
      </w:r>
      <w:r w:rsidR="00697F22">
        <w:rPr>
          <w:rFonts w:ascii="Arial" w:hAnsi="Arial" w:cs="Arial"/>
          <w:i/>
          <w:sz w:val="20"/>
          <w:szCs w:val="20"/>
          <w:highlight w:val="lightGray"/>
        </w:rPr>
        <w:t xml:space="preserve"> </w:t>
      </w:r>
      <w:r w:rsidR="00A04645" w:rsidRPr="009464E8">
        <w:rPr>
          <w:rFonts w:ascii="Arial" w:hAnsi="Arial" w:cs="Arial"/>
          <w:i/>
          <w:sz w:val="20"/>
          <w:szCs w:val="20"/>
          <w:highlight w:val="lightGray"/>
        </w:rPr>
        <w:t xml:space="preserve">sowie einer weiteren Person mit Zeichnungsberechtigung </w:t>
      </w:r>
      <w:r w:rsidR="009464E8" w:rsidRPr="009464E8">
        <w:rPr>
          <w:rFonts w:ascii="Arial" w:hAnsi="Arial" w:cs="Arial"/>
          <w:i/>
          <w:sz w:val="20"/>
          <w:szCs w:val="20"/>
          <w:highlight w:val="lightGray"/>
        </w:rPr>
        <w:t>zu unterzeichnen.</w:t>
      </w:r>
    </w:p>
    <w:p w14:paraId="68CD9DB1" w14:textId="77777777" w:rsidR="001469E9" w:rsidRDefault="001469E9" w:rsidP="001469E9">
      <w:pPr>
        <w:jc w:val="both"/>
      </w:pPr>
    </w:p>
    <w:p w14:paraId="332786AA" w14:textId="77777777" w:rsidR="001469E9" w:rsidRDefault="001469E9" w:rsidP="00C37D08">
      <w:pPr>
        <w:pStyle w:val="FINMAGliederungEbene1"/>
      </w:pPr>
      <w:bookmarkStart w:id="63" w:name="_Toc147141460"/>
      <w:r>
        <w:t>Anhang</w:t>
      </w:r>
      <w:bookmarkEnd w:id="63"/>
    </w:p>
    <w:p w14:paraId="0E65E8CD" w14:textId="77777777" w:rsidR="001469E9" w:rsidRDefault="001469E9" w:rsidP="001469E9">
      <w:pPr>
        <w:pStyle w:val="Listenabsatz"/>
        <w:ind w:left="360"/>
        <w:jc w:val="both"/>
      </w:pPr>
    </w:p>
    <w:p w14:paraId="76A0A70F" w14:textId="78D4EA10" w:rsidR="007A36D2" w:rsidRDefault="005316F9" w:rsidP="000D36E0">
      <w:pPr>
        <w:jc w:val="both"/>
        <w:rPr>
          <w:rFonts w:ascii="Arial" w:hAnsi="Arial" w:cs="Arial"/>
          <w:i/>
          <w:sz w:val="20"/>
          <w:szCs w:val="20"/>
          <w:highlight w:val="lightGray"/>
        </w:rPr>
      </w:pPr>
      <w:r>
        <w:rPr>
          <w:rFonts w:ascii="Arial" w:hAnsi="Arial" w:cs="Arial"/>
          <w:i/>
          <w:sz w:val="20"/>
          <w:szCs w:val="20"/>
          <w:highlight w:val="lightGray"/>
        </w:rPr>
        <w:t xml:space="preserve">Folgende Unterlagen sind mit dem Bericht über die </w:t>
      </w:r>
      <w:r w:rsidR="00E129BE">
        <w:rPr>
          <w:rFonts w:ascii="Arial" w:hAnsi="Arial" w:cs="Arial"/>
          <w:i/>
          <w:sz w:val="20"/>
          <w:szCs w:val="20"/>
          <w:highlight w:val="lightGray"/>
        </w:rPr>
        <w:t>P</w:t>
      </w:r>
      <w:r>
        <w:rPr>
          <w:rFonts w:ascii="Arial" w:hAnsi="Arial" w:cs="Arial"/>
          <w:i/>
          <w:sz w:val="20"/>
          <w:szCs w:val="20"/>
          <w:highlight w:val="lightGray"/>
        </w:rPr>
        <w:t>rüfung einzureichen:</w:t>
      </w:r>
    </w:p>
    <w:p w14:paraId="0C35D932" w14:textId="77777777" w:rsidR="005316F9" w:rsidRDefault="005316F9" w:rsidP="000D36E0">
      <w:pPr>
        <w:jc w:val="both"/>
        <w:rPr>
          <w:rFonts w:ascii="Arial" w:hAnsi="Arial" w:cs="Arial"/>
          <w:i/>
          <w:sz w:val="20"/>
          <w:szCs w:val="20"/>
          <w:highlight w:val="lightGray"/>
        </w:rPr>
      </w:pPr>
    </w:p>
    <w:p w14:paraId="08DA18A0" w14:textId="4A18111E" w:rsidR="005316F9" w:rsidRPr="00CB3EE6" w:rsidRDefault="00FD023F" w:rsidP="00C37D08">
      <w:pPr>
        <w:pStyle w:val="Listenabsatz"/>
        <w:numPr>
          <w:ilvl w:val="0"/>
          <w:numId w:val="7"/>
        </w:numPr>
        <w:jc w:val="both"/>
        <w:rPr>
          <w:rFonts w:cs="Arial"/>
          <w:szCs w:val="20"/>
          <w:highlight w:val="lightGray"/>
        </w:rPr>
      </w:pPr>
      <w:r>
        <w:rPr>
          <w:rFonts w:cs="Arial"/>
          <w:szCs w:val="20"/>
          <w:highlight w:val="lightGray"/>
        </w:rPr>
        <w:t>F</w:t>
      </w:r>
      <w:r w:rsidRPr="00CB3EE6">
        <w:rPr>
          <w:rFonts w:cs="Arial"/>
          <w:szCs w:val="20"/>
          <w:highlight w:val="lightGray"/>
        </w:rPr>
        <w:t>alls Abweichungen zu an die FMA eingereichten Versionen bestehen</w:t>
      </w:r>
      <w:r>
        <w:rPr>
          <w:rFonts w:cs="Arial"/>
          <w:szCs w:val="20"/>
          <w:highlight w:val="lightGray"/>
        </w:rPr>
        <w:t>:</w:t>
      </w:r>
      <w:r w:rsidRPr="00CB3EE6">
        <w:rPr>
          <w:rFonts w:cs="Arial"/>
          <w:szCs w:val="20"/>
          <w:highlight w:val="lightGray"/>
        </w:rPr>
        <w:t xml:space="preserve"> </w:t>
      </w:r>
      <w:r w:rsidR="005316F9" w:rsidRPr="00CB3EE6">
        <w:rPr>
          <w:rFonts w:cs="Arial"/>
          <w:szCs w:val="20"/>
          <w:highlight w:val="lightGray"/>
        </w:rPr>
        <w:t xml:space="preserve">Formular Risikoanalyse/Prüfstrategie; </w:t>
      </w:r>
    </w:p>
    <w:p w14:paraId="5193A3EA" w14:textId="18559912" w:rsidR="00C750AE" w:rsidRPr="00E129BE" w:rsidRDefault="00FD023F" w:rsidP="00C37D08">
      <w:pPr>
        <w:pStyle w:val="Listenabsatz"/>
        <w:numPr>
          <w:ilvl w:val="0"/>
          <w:numId w:val="7"/>
        </w:numPr>
        <w:jc w:val="both"/>
        <w:rPr>
          <w:rFonts w:cs="Arial"/>
          <w:szCs w:val="20"/>
          <w:highlight w:val="lightGray"/>
        </w:rPr>
      </w:pPr>
      <w:r>
        <w:rPr>
          <w:rFonts w:cs="Arial"/>
          <w:szCs w:val="20"/>
          <w:highlight w:val="lightGray"/>
        </w:rPr>
        <w:t xml:space="preserve">Bei Abwicklungsgruppen: </w:t>
      </w:r>
      <w:r w:rsidR="00C750AE">
        <w:rPr>
          <w:rFonts w:cs="Arial"/>
          <w:szCs w:val="20"/>
          <w:highlight w:val="lightGray"/>
        </w:rPr>
        <w:t xml:space="preserve">Diagramm zur graphischen Abbildung des aufsichtsrechtlichen Konsolidierungskreises und der Abwicklungsgruppe, sofern </w:t>
      </w:r>
      <w:r w:rsidR="00FB180A">
        <w:rPr>
          <w:rFonts w:cs="Arial"/>
          <w:szCs w:val="20"/>
          <w:highlight w:val="lightGray"/>
        </w:rPr>
        <w:t xml:space="preserve">diese voneinander </w:t>
      </w:r>
      <w:r w:rsidR="00C750AE">
        <w:rPr>
          <w:rFonts w:cs="Arial"/>
          <w:szCs w:val="20"/>
          <w:highlight w:val="lightGray"/>
        </w:rPr>
        <w:t>abweichen</w:t>
      </w:r>
      <w:r>
        <w:rPr>
          <w:rFonts w:cs="Arial"/>
          <w:szCs w:val="20"/>
          <w:highlight w:val="lightGray"/>
        </w:rPr>
        <w:t>.</w:t>
      </w:r>
    </w:p>
    <w:p w14:paraId="76DEC10A" w14:textId="77777777" w:rsidR="007A36D2" w:rsidRPr="00515AB5" w:rsidRDefault="007A36D2" w:rsidP="000D36E0">
      <w:pPr>
        <w:jc w:val="both"/>
        <w:rPr>
          <w:rFonts w:ascii="Arial" w:hAnsi="Arial" w:cs="Arial"/>
          <w:i/>
          <w:sz w:val="20"/>
          <w:szCs w:val="20"/>
          <w:highlight w:val="lightGray"/>
        </w:rPr>
      </w:pPr>
    </w:p>
    <w:sectPr w:rsidR="007A36D2" w:rsidRPr="00515AB5" w:rsidSect="004959B8">
      <w:headerReference w:type="first" r:id="rId16"/>
      <w:footerReference w:type="first" r:id="rId17"/>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20D7B" w14:textId="77777777" w:rsidR="00574514" w:rsidRDefault="00574514">
      <w:r>
        <w:separator/>
      </w:r>
    </w:p>
  </w:endnote>
  <w:endnote w:type="continuationSeparator" w:id="0">
    <w:p w14:paraId="1F6286A9" w14:textId="77777777" w:rsidR="00574514" w:rsidRDefault="00574514">
      <w:r>
        <w:continuationSeparator/>
      </w:r>
    </w:p>
  </w:endnote>
  <w:endnote w:type="continuationNotice" w:id="1">
    <w:p w14:paraId="79FA6BDC" w14:textId="77777777" w:rsidR="00574514" w:rsidRDefault="00574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574514" w:rsidRDefault="0057451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574514" w:rsidRDefault="005745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574514" w:rsidRPr="000864B2" w:rsidRDefault="00574514" w:rsidP="008D629D">
    <w:pPr>
      <w:spacing w:line="193" w:lineRule="atLeast"/>
      <w:rPr>
        <w:color w:val="666666"/>
        <w:sz w:val="16"/>
      </w:rPr>
    </w:pPr>
  </w:p>
  <w:p w14:paraId="6CEF623A" w14:textId="41A68B29" w:rsidR="00574514" w:rsidRDefault="00574514" w:rsidP="008D629D">
    <w:pPr>
      <w:pStyle w:val="Fusszeile"/>
    </w:pPr>
    <w:r>
      <w:tab/>
    </w:r>
    <w:r>
      <w:tab/>
    </w:r>
    <w:r>
      <w:fldChar w:fldCharType="begin"/>
    </w:r>
    <w:r>
      <w:instrText xml:space="preserve"> PAGE </w:instrText>
    </w:r>
    <w:r>
      <w:fldChar w:fldCharType="separate"/>
    </w:r>
    <w:r>
      <w:rPr>
        <w:noProof/>
      </w:rPr>
      <w:t>11</w:t>
    </w:r>
    <w:r>
      <w:fldChar w:fldCharType="end"/>
    </w:r>
    <w:r>
      <w:t xml:space="preserve"> / </w:t>
    </w:r>
    <w:r>
      <w:fldChar w:fldCharType="begin"/>
    </w:r>
    <w:r>
      <w:instrText xml:space="preserve"> NUMPAGES </w:instrText>
    </w:r>
    <w:r>
      <w:fldChar w:fldCharType="separate"/>
    </w:r>
    <w:r>
      <w:rPr>
        <w:noProof/>
      </w:rPr>
      <w:t>100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574514" w:rsidRPr="000864B2" w:rsidRDefault="00574514" w:rsidP="000E5A8C">
    <w:pPr>
      <w:spacing w:line="193" w:lineRule="atLeast"/>
      <w:rPr>
        <w:color w:val="666666"/>
        <w:sz w:val="16"/>
      </w:rPr>
    </w:pPr>
  </w:p>
  <w:p w14:paraId="31843EF8" w14:textId="410085A9" w:rsidR="00574514" w:rsidRDefault="00574514"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95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47D8D" w14:textId="77777777" w:rsidR="00574514" w:rsidRDefault="00574514">
      <w:r>
        <w:separator/>
      </w:r>
    </w:p>
  </w:footnote>
  <w:footnote w:type="continuationSeparator" w:id="0">
    <w:p w14:paraId="00DAAEAA" w14:textId="77777777" w:rsidR="00574514" w:rsidRDefault="00574514">
      <w:r>
        <w:continuationSeparator/>
      </w:r>
    </w:p>
  </w:footnote>
  <w:footnote w:type="continuationNotice" w:id="1">
    <w:p w14:paraId="13FB78C4" w14:textId="77777777" w:rsidR="00574514" w:rsidRDefault="00574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574514" w:rsidRDefault="0057451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574514" w:rsidRDefault="005745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574514" w:rsidRDefault="00574514"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09E" w14:textId="77777777" w:rsidR="00574514" w:rsidRDefault="00574514">
    <w:pPr>
      <w:pStyle w:val="Kopfzeile"/>
    </w:pPr>
    <w:r>
      <w:rPr>
        <w:noProof/>
        <w:lang w:eastAsia="de-CH"/>
      </w:rPr>
      <w:drawing>
        <wp:anchor distT="0" distB="0" distL="114300" distR="114300" simplePos="0" relativeHeight="251658240" behindDoc="1" locked="0" layoutInCell="1" allowOverlap="1" wp14:anchorId="5E56C0E6" wp14:editId="41331D28">
          <wp:simplePos x="0" y="0"/>
          <wp:positionH relativeFrom="column">
            <wp:posOffset>1916430</wp:posOffset>
          </wp:positionH>
          <wp:positionV relativeFrom="paragraph">
            <wp:posOffset>-32385</wp:posOffset>
          </wp:positionV>
          <wp:extent cx="1955800" cy="901700"/>
          <wp:effectExtent l="0" t="0" r="6350" b="0"/>
          <wp:wrapTight wrapText="bothSides">
            <wp:wrapPolygon edited="0">
              <wp:start x="5681" y="0"/>
              <wp:lineTo x="0" y="456"/>
              <wp:lineTo x="0" y="3651"/>
              <wp:lineTo x="5891" y="7301"/>
              <wp:lineTo x="3156" y="15972"/>
              <wp:lineTo x="3366" y="17797"/>
              <wp:lineTo x="5681" y="20992"/>
              <wp:lineTo x="15779" y="20992"/>
              <wp:lineTo x="18304" y="17341"/>
              <wp:lineTo x="18094" y="14603"/>
              <wp:lineTo x="14938" y="14603"/>
              <wp:lineTo x="15779" y="9583"/>
              <wp:lineTo x="15148" y="7301"/>
              <wp:lineTo x="21460" y="3651"/>
              <wp:lineTo x="21460" y="456"/>
              <wp:lineTo x="15779" y="0"/>
              <wp:lineTo x="568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1E359" w14:textId="77777777" w:rsidR="00574514" w:rsidRDefault="00574514" w:rsidP="00D82DD9">
    <w:pPr>
      <w:pStyle w:val="Kopfzeile"/>
    </w:pPr>
  </w:p>
  <w:p w14:paraId="1CAB9EC8" w14:textId="77777777" w:rsidR="00574514" w:rsidRDefault="00574514" w:rsidP="00D82DD9">
    <w:pPr>
      <w:pStyle w:val="Kopfzeile"/>
    </w:pPr>
  </w:p>
  <w:p w14:paraId="7EF72323" w14:textId="77777777" w:rsidR="00574514" w:rsidRDefault="00574514" w:rsidP="00D82DD9">
    <w:pPr>
      <w:pStyle w:val="Kopfzeile"/>
    </w:pPr>
  </w:p>
  <w:p w14:paraId="6A0BF6AA" w14:textId="77777777" w:rsidR="00574514" w:rsidRDefault="00574514" w:rsidP="00D82DD9">
    <w:pPr>
      <w:pStyle w:val="Kopfzeile"/>
    </w:pPr>
  </w:p>
  <w:p w14:paraId="6802C8D3" w14:textId="77777777" w:rsidR="00574514" w:rsidRDefault="00574514" w:rsidP="00D82DD9">
    <w:pPr>
      <w:pStyle w:val="Kopfzeile"/>
    </w:pPr>
  </w:p>
  <w:p w14:paraId="4DDF242A" w14:textId="77777777" w:rsidR="00574514" w:rsidRDefault="00574514" w:rsidP="00D82DD9">
    <w:pPr>
      <w:pStyle w:val="Kopfzeile"/>
    </w:pPr>
  </w:p>
  <w:p w14:paraId="047B2D1D" w14:textId="77777777" w:rsidR="00574514" w:rsidRDefault="00574514" w:rsidP="00D82DD9">
    <w:pPr>
      <w:pStyle w:val="Kopfzeile"/>
    </w:pPr>
  </w:p>
  <w:p w14:paraId="047E5A73" w14:textId="77777777" w:rsidR="00574514" w:rsidRDefault="00574514" w:rsidP="00D82DD9">
    <w:pPr>
      <w:pStyle w:val="Kopfzeile"/>
    </w:pPr>
  </w:p>
  <w:p w14:paraId="7E60A7FE" w14:textId="77777777" w:rsidR="00574514" w:rsidRDefault="00574514" w:rsidP="00D82DD9">
    <w:pPr>
      <w:pStyle w:val="Kopfzeile"/>
    </w:pPr>
  </w:p>
  <w:p w14:paraId="5D19C0A5" w14:textId="77777777" w:rsidR="00574514" w:rsidRDefault="00574514" w:rsidP="00D82DD9">
    <w:pPr>
      <w:pStyle w:val="Kopfzeile"/>
    </w:pPr>
  </w:p>
  <w:p w14:paraId="40006012" w14:textId="77777777" w:rsidR="00574514" w:rsidRDefault="00574514" w:rsidP="00D82DD9">
    <w:pPr>
      <w:pStyle w:val="Kopfzeile"/>
    </w:pPr>
  </w:p>
  <w:p w14:paraId="69725C1E" w14:textId="77777777" w:rsidR="00574514" w:rsidRDefault="00574514" w:rsidP="00D82DD9">
    <w:pPr>
      <w:pStyle w:val="Kopfzeile"/>
    </w:pPr>
  </w:p>
  <w:p w14:paraId="6344D2F9" w14:textId="77777777" w:rsidR="00574514" w:rsidRDefault="00574514" w:rsidP="00D82DD9">
    <w:pPr>
      <w:pStyle w:val="Kopfzeile"/>
    </w:pPr>
  </w:p>
  <w:p w14:paraId="625E7FC2" w14:textId="77777777" w:rsidR="00574514" w:rsidRDefault="00574514" w:rsidP="00D82DD9">
    <w:pPr>
      <w:pStyle w:val="Kopfzeile"/>
    </w:pPr>
  </w:p>
  <w:p w14:paraId="5E58257E" w14:textId="77777777" w:rsidR="00574514" w:rsidRDefault="00574514" w:rsidP="00D82DD9">
    <w:pPr>
      <w:pStyle w:val="Kopfzeile"/>
    </w:pPr>
    <w:r>
      <w:rPr>
        <w:noProof/>
        <w:lang w:eastAsia="de-CH"/>
      </w:rPr>
      <w:drawing>
        <wp:anchor distT="0" distB="0" distL="114300" distR="114300" simplePos="0" relativeHeight="251658241"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2" name="Picture 2"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574514" w:rsidRDefault="00574514"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574514" w:rsidRDefault="005745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 w15:restartNumberingAfterBreak="0">
    <w:nsid w:val="18E499ED"/>
    <w:multiLevelType w:val="hybridMultilevel"/>
    <w:tmpl w:val="FFFFFFFF"/>
    <w:lvl w:ilvl="0" w:tplc="7700BE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E5B6FB9A">
      <w:start w:val="1"/>
      <w:numFmt w:val="bullet"/>
      <w:lvlText w:val=""/>
      <w:lvlJc w:val="left"/>
      <w:pPr>
        <w:ind w:left="2160" w:hanging="360"/>
      </w:pPr>
      <w:rPr>
        <w:rFonts w:ascii="Wingdings" w:hAnsi="Wingdings" w:hint="default"/>
      </w:rPr>
    </w:lvl>
    <w:lvl w:ilvl="3" w:tplc="F77AAB36">
      <w:start w:val="1"/>
      <w:numFmt w:val="bullet"/>
      <w:lvlText w:val=""/>
      <w:lvlJc w:val="left"/>
      <w:pPr>
        <w:ind w:left="2880" w:hanging="360"/>
      </w:pPr>
      <w:rPr>
        <w:rFonts w:ascii="Symbol" w:hAnsi="Symbol" w:hint="default"/>
      </w:rPr>
    </w:lvl>
    <w:lvl w:ilvl="4" w:tplc="A7E0CB82">
      <w:start w:val="1"/>
      <w:numFmt w:val="bullet"/>
      <w:lvlText w:val="o"/>
      <w:lvlJc w:val="left"/>
      <w:pPr>
        <w:ind w:left="3600" w:hanging="360"/>
      </w:pPr>
      <w:rPr>
        <w:rFonts w:ascii="Courier New" w:hAnsi="Courier New" w:hint="default"/>
      </w:rPr>
    </w:lvl>
    <w:lvl w:ilvl="5" w:tplc="B3565CC8">
      <w:start w:val="1"/>
      <w:numFmt w:val="bullet"/>
      <w:lvlText w:val=""/>
      <w:lvlJc w:val="left"/>
      <w:pPr>
        <w:ind w:left="4320" w:hanging="360"/>
      </w:pPr>
      <w:rPr>
        <w:rFonts w:ascii="Wingdings" w:hAnsi="Wingdings" w:hint="default"/>
      </w:rPr>
    </w:lvl>
    <w:lvl w:ilvl="6" w:tplc="CBF6256A">
      <w:start w:val="1"/>
      <w:numFmt w:val="bullet"/>
      <w:lvlText w:val=""/>
      <w:lvlJc w:val="left"/>
      <w:pPr>
        <w:ind w:left="5040" w:hanging="360"/>
      </w:pPr>
      <w:rPr>
        <w:rFonts w:ascii="Symbol" w:hAnsi="Symbol" w:hint="default"/>
      </w:rPr>
    </w:lvl>
    <w:lvl w:ilvl="7" w:tplc="AA786EEC">
      <w:start w:val="1"/>
      <w:numFmt w:val="bullet"/>
      <w:lvlText w:val="o"/>
      <w:lvlJc w:val="left"/>
      <w:pPr>
        <w:ind w:left="5760" w:hanging="360"/>
      </w:pPr>
      <w:rPr>
        <w:rFonts w:ascii="Courier New" w:hAnsi="Courier New" w:hint="default"/>
      </w:rPr>
    </w:lvl>
    <w:lvl w:ilvl="8" w:tplc="DABA97C2">
      <w:start w:val="1"/>
      <w:numFmt w:val="bullet"/>
      <w:lvlText w:val=""/>
      <w:lvlJc w:val="left"/>
      <w:pPr>
        <w:ind w:left="6480" w:hanging="360"/>
      </w:pPr>
      <w:rPr>
        <w:rFonts w:ascii="Wingdings" w:hAnsi="Wingdings" w:hint="default"/>
      </w:rPr>
    </w:lvl>
  </w:abstractNum>
  <w:abstractNum w:abstractNumId="3"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091258"/>
    <w:multiLevelType w:val="multilevel"/>
    <w:tmpl w:val="69B84B26"/>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2958AE81"/>
    <w:multiLevelType w:val="hybridMultilevel"/>
    <w:tmpl w:val="FFFFFFFF"/>
    <w:lvl w:ilvl="0" w:tplc="36B89994">
      <w:start w:val="1"/>
      <w:numFmt w:val="bullet"/>
      <w:lvlText w:val="o"/>
      <w:lvlJc w:val="left"/>
      <w:pPr>
        <w:ind w:left="720" w:hanging="360"/>
      </w:pPr>
      <w:rPr>
        <w:rFonts w:ascii="Courier New" w:hAnsi="Courier New" w:hint="default"/>
      </w:rPr>
    </w:lvl>
    <w:lvl w:ilvl="1" w:tplc="60CA8976">
      <w:start w:val="1"/>
      <w:numFmt w:val="bullet"/>
      <w:lvlText w:val="o"/>
      <w:lvlJc w:val="left"/>
      <w:pPr>
        <w:ind w:left="1440" w:hanging="360"/>
      </w:pPr>
      <w:rPr>
        <w:rFonts w:ascii="Courier New" w:hAnsi="Courier New" w:hint="default"/>
      </w:rPr>
    </w:lvl>
    <w:lvl w:ilvl="2" w:tplc="1E1A3C76">
      <w:start w:val="1"/>
      <w:numFmt w:val="bullet"/>
      <w:lvlText w:val=""/>
      <w:lvlJc w:val="left"/>
      <w:pPr>
        <w:ind w:left="2160" w:hanging="360"/>
      </w:pPr>
      <w:rPr>
        <w:rFonts w:ascii="Wingdings" w:hAnsi="Wingdings" w:hint="default"/>
      </w:rPr>
    </w:lvl>
    <w:lvl w:ilvl="3" w:tplc="C38A2B92">
      <w:start w:val="1"/>
      <w:numFmt w:val="bullet"/>
      <w:lvlText w:val=""/>
      <w:lvlJc w:val="left"/>
      <w:pPr>
        <w:ind w:left="2880" w:hanging="360"/>
      </w:pPr>
      <w:rPr>
        <w:rFonts w:ascii="Symbol" w:hAnsi="Symbol" w:hint="default"/>
      </w:rPr>
    </w:lvl>
    <w:lvl w:ilvl="4" w:tplc="0462814A">
      <w:start w:val="1"/>
      <w:numFmt w:val="bullet"/>
      <w:lvlText w:val="o"/>
      <w:lvlJc w:val="left"/>
      <w:pPr>
        <w:ind w:left="3600" w:hanging="360"/>
      </w:pPr>
      <w:rPr>
        <w:rFonts w:ascii="Courier New" w:hAnsi="Courier New" w:hint="default"/>
      </w:rPr>
    </w:lvl>
    <w:lvl w:ilvl="5" w:tplc="8A323C50">
      <w:start w:val="1"/>
      <w:numFmt w:val="bullet"/>
      <w:lvlText w:val=""/>
      <w:lvlJc w:val="left"/>
      <w:pPr>
        <w:ind w:left="4320" w:hanging="360"/>
      </w:pPr>
      <w:rPr>
        <w:rFonts w:ascii="Wingdings" w:hAnsi="Wingdings" w:hint="default"/>
      </w:rPr>
    </w:lvl>
    <w:lvl w:ilvl="6" w:tplc="4430670C">
      <w:start w:val="1"/>
      <w:numFmt w:val="bullet"/>
      <w:lvlText w:val=""/>
      <w:lvlJc w:val="left"/>
      <w:pPr>
        <w:ind w:left="5040" w:hanging="360"/>
      </w:pPr>
      <w:rPr>
        <w:rFonts w:ascii="Symbol" w:hAnsi="Symbol" w:hint="default"/>
      </w:rPr>
    </w:lvl>
    <w:lvl w:ilvl="7" w:tplc="A6A80DB0">
      <w:start w:val="1"/>
      <w:numFmt w:val="bullet"/>
      <w:lvlText w:val="o"/>
      <w:lvlJc w:val="left"/>
      <w:pPr>
        <w:ind w:left="5760" w:hanging="360"/>
      </w:pPr>
      <w:rPr>
        <w:rFonts w:ascii="Courier New" w:hAnsi="Courier New" w:hint="default"/>
      </w:rPr>
    </w:lvl>
    <w:lvl w:ilvl="8" w:tplc="63AE72B6">
      <w:start w:val="1"/>
      <w:numFmt w:val="bullet"/>
      <w:lvlText w:val=""/>
      <w:lvlJc w:val="left"/>
      <w:pPr>
        <w:ind w:left="6480" w:hanging="360"/>
      </w:pPr>
      <w:rPr>
        <w:rFonts w:ascii="Wingdings" w:hAnsi="Wingdings" w:hint="default"/>
      </w:rPr>
    </w:lvl>
  </w:abstractNum>
  <w:abstractNum w:abstractNumId="7" w15:restartNumberingAfterBreak="0">
    <w:nsid w:val="295A2EE1"/>
    <w:multiLevelType w:val="hybridMultilevel"/>
    <w:tmpl w:val="59D48FC4"/>
    <w:lvl w:ilvl="0" w:tplc="B68CB97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84F4FB06">
      <w:start w:val="1"/>
      <w:numFmt w:val="bullet"/>
      <w:lvlText w:val=""/>
      <w:lvlJc w:val="left"/>
      <w:pPr>
        <w:ind w:left="2160" w:hanging="360"/>
      </w:pPr>
      <w:rPr>
        <w:rFonts w:ascii="Wingdings" w:hAnsi="Wingdings" w:hint="default"/>
      </w:rPr>
    </w:lvl>
    <w:lvl w:ilvl="3" w:tplc="D2660920">
      <w:start w:val="1"/>
      <w:numFmt w:val="bullet"/>
      <w:lvlText w:val=""/>
      <w:lvlJc w:val="left"/>
      <w:pPr>
        <w:ind w:left="2880" w:hanging="360"/>
      </w:pPr>
      <w:rPr>
        <w:rFonts w:ascii="Symbol" w:hAnsi="Symbol" w:hint="default"/>
      </w:rPr>
    </w:lvl>
    <w:lvl w:ilvl="4" w:tplc="6A00FAD0">
      <w:start w:val="1"/>
      <w:numFmt w:val="bullet"/>
      <w:lvlText w:val="o"/>
      <w:lvlJc w:val="left"/>
      <w:pPr>
        <w:ind w:left="3600" w:hanging="360"/>
      </w:pPr>
      <w:rPr>
        <w:rFonts w:ascii="Courier New" w:hAnsi="Courier New" w:hint="default"/>
      </w:rPr>
    </w:lvl>
    <w:lvl w:ilvl="5" w:tplc="9CA03A68">
      <w:start w:val="1"/>
      <w:numFmt w:val="bullet"/>
      <w:lvlText w:val=""/>
      <w:lvlJc w:val="left"/>
      <w:pPr>
        <w:ind w:left="4320" w:hanging="360"/>
      </w:pPr>
      <w:rPr>
        <w:rFonts w:ascii="Wingdings" w:hAnsi="Wingdings" w:hint="default"/>
      </w:rPr>
    </w:lvl>
    <w:lvl w:ilvl="6" w:tplc="0D9C82D6">
      <w:start w:val="1"/>
      <w:numFmt w:val="bullet"/>
      <w:lvlText w:val=""/>
      <w:lvlJc w:val="left"/>
      <w:pPr>
        <w:ind w:left="5040" w:hanging="360"/>
      </w:pPr>
      <w:rPr>
        <w:rFonts w:ascii="Symbol" w:hAnsi="Symbol" w:hint="default"/>
      </w:rPr>
    </w:lvl>
    <w:lvl w:ilvl="7" w:tplc="CD4ED71A">
      <w:start w:val="1"/>
      <w:numFmt w:val="bullet"/>
      <w:lvlText w:val="o"/>
      <w:lvlJc w:val="left"/>
      <w:pPr>
        <w:ind w:left="5760" w:hanging="360"/>
      </w:pPr>
      <w:rPr>
        <w:rFonts w:ascii="Courier New" w:hAnsi="Courier New" w:hint="default"/>
      </w:rPr>
    </w:lvl>
    <w:lvl w:ilvl="8" w:tplc="7C22CBC4">
      <w:start w:val="1"/>
      <w:numFmt w:val="bullet"/>
      <w:lvlText w:val=""/>
      <w:lvlJc w:val="left"/>
      <w:pPr>
        <w:ind w:left="6480" w:hanging="360"/>
      </w:pPr>
      <w:rPr>
        <w:rFonts w:ascii="Wingdings" w:hAnsi="Wingdings" w:hint="default"/>
      </w:rPr>
    </w:lvl>
  </w:abstractNum>
  <w:abstractNum w:abstractNumId="8" w15:restartNumberingAfterBreak="0">
    <w:nsid w:val="42FA37D6"/>
    <w:multiLevelType w:val="hybridMultilevel"/>
    <w:tmpl w:val="2ABCE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7FA7B5"/>
    <w:multiLevelType w:val="hybridMultilevel"/>
    <w:tmpl w:val="FFFFFFFF"/>
    <w:lvl w:ilvl="0" w:tplc="5DD0711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A2AE196">
      <w:start w:val="1"/>
      <w:numFmt w:val="bullet"/>
      <w:lvlText w:val=""/>
      <w:lvlJc w:val="left"/>
      <w:pPr>
        <w:ind w:left="2160" w:hanging="360"/>
      </w:pPr>
      <w:rPr>
        <w:rFonts w:ascii="Wingdings" w:hAnsi="Wingdings" w:hint="default"/>
      </w:rPr>
    </w:lvl>
    <w:lvl w:ilvl="3" w:tplc="D4C635E2">
      <w:start w:val="1"/>
      <w:numFmt w:val="bullet"/>
      <w:lvlText w:val=""/>
      <w:lvlJc w:val="left"/>
      <w:pPr>
        <w:ind w:left="2880" w:hanging="360"/>
      </w:pPr>
      <w:rPr>
        <w:rFonts w:ascii="Symbol" w:hAnsi="Symbol" w:hint="default"/>
      </w:rPr>
    </w:lvl>
    <w:lvl w:ilvl="4" w:tplc="6FCC5DAE">
      <w:start w:val="1"/>
      <w:numFmt w:val="bullet"/>
      <w:lvlText w:val="o"/>
      <w:lvlJc w:val="left"/>
      <w:pPr>
        <w:ind w:left="3600" w:hanging="360"/>
      </w:pPr>
      <w:rPr>
        <w:rFonts w:ascii="Courier New" w:hAnsi="Courier New" w:hint="default"/>
      </w:rPr>
    </w:lvl>
    <w:lvl w:ilvl="5" w:tplc="485C57C4">
      <w:start w:val="1"/>
      <w:numFmt w:val="bullet"/>
      <w:lvlText w:val=""/>
      <w:lvlJc w:val="left"/>
      <w:pPr>
        <w:ind w:left="4320" w:hanging="360"/>
      </w:pPr>
      <w:rPr>
        <w:rFonts w:ascii="Wingdings" w:hAnsi="Wingdings" w:hint="default"/>
      </w:rPr>
    </w:lvl>
    <w:lvl w:ilvl="6" w:tplc="674EA62A">
      <w:start w:val="1"/>
      <w:numFmt w:val="bullet"/>
      <w:lvlText w:val=""/>
      <w:lvlJc w:val="left"/>
      <w:pPr>
        <w:ind w:left="5040" w:hanging="360"/>
      </w:pPr>
      <w:rPr>
        <w:rFonts w:ascii="Symbol" w:hAnsi="Symbol" w:hint="default"/>
      </w:rPr>
    </w:lvl>
    <w:lvl w:ilvl="7" w:tplc="21D09F02">
      <w:start w:val="1"/>
      <w:numFmt w:val="bullet"/>
      <w:lvlText w:val="o"/>
      <w:lvlJc w:val="left"/>
      <w:pPr>
        <w:ind w:left="5760" w:hanging="360"/>
      </w:pPr>
      <w:rPr>
        <w:rFonts w:ascii="Courier New" w:hAnsi="Courier New" w:hint="default"/>
      </w:rPr>
    </w:lvl>
    <w:lvl w:ilvl="8" w:tplc="9CF4EDE6">
      <w:start w:val="1"/>
      <w:numFmt w:val="bullet"/>
      <w:lvlText w:val=""/>
      <w:lvlJc w:val="left"/>
      <w:pPr>
        <w:ind w:left="6480" w:hanging="360"/>
      </w:pPr>
      <w:rPr>
        <w:rFonts w:ascii="Wingdings" w:hAnsi="Wingdings" w:hint="default"/>
      </w:rPr>
    </w:lvl>
  </w:abstractNum>
  <w:abstractNum w:abstractNumId="10"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FA976CF"/>
    <w:multiLevelType w:val="hybridMultilevel"/>
    <w:tmpl w:val="50BEE4C0"/>
    <w:lvl w:ilvl="0" w:tplc="47F4D638">
      <w:start w:val="1"/>
      <w:numFmt w:val="bullet"/>
      <w:lvlText w:val="o"/>
      <w:lvlJc w:val="left"/>
      <w:pPr>
        <w:ind w:left="720" w:hanging="360"/>
      </w:pPr>
      <w:rPr>
        <w:rFonts w:ascii="Courier New" w:hAnsi="Courier New" w:hint="default"/>
      </w:rPr>
    </w:lvl>
    <w:lvl w:ilvl="1" w:tplc="996651BC">
      <w:start w:val="1"/>
      <w:numFmt w:val="bullet"/>
      <w:lvlText w:val="o"/>
      <w:lvlJc w:val="left"/>
      <w:pPr>
        <w:ind w:left="1440" w:hanging="360"/>
      </w:pPr>
      <w:rPr>
        <w:rFonts w:ascii="Courier New" w:hAnsi="Courier New" w:hint="default"/>
      </w:rPr>
    </w:lvl>
    <w:lvl w:ilvl="2" w:tplc="169A589E">
      <w:start w:val="1"/>
      <w:numFmt w:val="bullet"/>
      <w:lvlText w:val=""/>
      <w:lvlJc w:val="left"/>
      <w:pPr>
        <w:ind w:left="2160" w:hanging="360"/>
      </w:pPr>
      <w:rPr>
        <w:rFonts w:ascii="Wingdings" w:hAnsi="Wingdings" w:hint="default"/>
      </w:rPr>
    </w:lvl>
    <w:lvl w:ilvl="3" w:tplc="0CE2B676">
      <w:start w:val="1"/>
      <w:numFmt w:val="bullet"/>
      <w:lvlText w:val=""/>
      <w:lvlJc w:val="left"/>
      <w:pPr>
        <w:ind w:left="2880" w:hanging="360"/>
      </w:pPr>
      <w:rPr>
        <w:rFonts w:ascii="Symbol" w:hAnsi="Symbol" w:hint="default"/>
      </w:rPr>
    </w:lvl>
    <w:lvl w:ilvl="4" w:tplc="47505A2E">
      <w:start w:val="1"/>
      <w:numFmt w:val="bullet"/>
      <w:lvlText w:val="o"/>
      <w:lvlJc w:val="left"/>
      <w:pPr>
        <w:ind w:left="3600" w:hanging="360"/>
      </w:pPr>
      <w:rPr>
        <w:rFonts w:ascii="Courier New" w:hAnsi="Courier New" w:hint="default"/>
      </w:rPr>
    </w:lvl>
    <w:lvl w:ilvl="5" w:tplc="25DE18C2">
      <w:start w:val="1"/>
      <w:numFmt w:val="bullet"/>
      <w:lvlText w:val=""/>
      <w:lvlJc w:val="left"/>
      <w:pPr>
        <w:ind w:left="4320" w:hanging="360"/>
      </w:pPr>
      <w:rPr>
        <w:rFonts w:ascii="Wingdings" w:hAnsi="Wingdings" w:hint="default"/>
      </w:rPr>
    </w:lvl>
    <w:lvl w:ilvl="6" w:tplc="1BCA9A64">
      <w:start w:val="1"/>
      <w:numFmt w:val="bullet"/>
      <w:lvlText w:val=""/>
      <w:lvlJc w:val="left"/>
      <w:pPr>
        <w:ind w:left="5040" w:hanging="360"/>
      </w:pPr>
      <w:rPr>
        <w:rFonts w:ascii="Symbol" w:hAnsi="Symbol" w:hint="default"/>
      </w:rPr>
    </w:lvl>
    <w:lvl w:ilvl="7" w:tplc="880CC20C">
      <w:start w:val="1"/>
      <w:numFmt w:val="bullet"/>
      <w:lvlText w:val="o"/>
      <w:lvlJc w:val="left"/>
      <w:pPr>
        <w:ind w:left="5760" w:hanging="360"/>
      </w:pPr>
      <w:rPr>
        <w:rFonts w:ascii="Courier New" w:hAnsi="Courier New" w:hint="default"/>
      </w:rPr>
    </w:lvl>
    <w:lvl w:ilvl="8" w:tplc="E41EE106">
      <w:start w:val="1"/>
      <w:numFmt w:val="bullet"/>
      <w:lvlText w:val=""/>
      <w:lvlJc w:val="left"/>
      <w:pPr>
        <w:ind w:left="6480" w:hanging="360"/>
      </w:pPr>
      <w:rPr>
        <w:rFonts w:ascii="Wingdings" w:hAnsi="Wingdings" w:hint="default"/>
      </w:rPr>
    </w:lvl>
  </w:abstractNum>
  <w:abstractNum w:abstractNumId="12"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13" w15:restartNumberingAfterBreak="0">
    <w:nsid w:val="7A3400AB"/>
    <w:multiLevelType w:val="hybridMultilevel"/>
    <w:tmpl w:val="7B46B3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3"/>
  </w:num>
  <w:num w:numId="5">
    <w:abstractNumId w:val="4"/>
  </w:num>
  <w:num w:numId="6">
    <w:abstractNumId w:val="13"/>
  </w:num>
  <w:num w:numId="7">
    <w:abstractNumId w:val="10"/>
  </w:num>
  <w:num w:numId="8">
    <w:abstractNumId w:val="1"/>
  </w:num>
  <w:num w:numId="9">
    <w:abstractNumId w:val="8"/>
  </w:num>
  <w:num w:numId="10">
    <w:abstractNumId w:val="7"/>
  </w:num>
  <w:num w:numId="11">
    <w:abstractNumId w:val="9"/>
  </w:num>
  <w:num w:numId="12">
    <w:abstractNumId w:val="2"/>
  </w:num>
  <w:num w:numId="13">
    <w:abstractNumId w:val="6"/>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activeWritingStyle w:appName="MSWord" w:lang="de-CH"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39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D0"/>
    <w:rsid w:val="000027DD"/>
    <w:rsid w:val="00002A92"/>
    <w:rsid w:val="00002F69"/>
    <w:rsid w:val="000034B2"/>
    <w:rsid w:val="00004C8E"/>
    <w:rsid w:val="00005227"/>
    <w:rsid w:val="00005F67"/>
    <w:rsid w:val="000060F7"/>
    <w:rsid w:val="00006719"/>
    <w:rsid w:val="00006962"/>
    <w:rsid w:val="00006C1F"/>
    <w:rsid w:val="00006EC6"/>
    <w:rsid w:val="00006FB6"/>
    <w:rsid w:val="00007653"/>
    <w:rsid w:val="00007939"/>
    <w:rsid w:val="0001019D"/>
    <w:rsid w:val="00012701"/>
    <w:rsid w:val="0001325A"/>
    <w:rsid w:val="00014410"/>
    <w:rsid w:val="00014AAF"/>
    <w:rsid w:val="0001529C"/>
    <w:rsid w:val="00015ACD"/>
    <w:rsid w:val="00017946"/>
    <w:rsid w:val="00020CD7"/>
    <w:rsid w:val="00021309"/>
    <w:rsid w:val="00021352"/>
    <w:rsid w:val="00021E72"/>
    <w:rsid w:val="00021F23"/>
    <w:rsid w:val="000227C5"/>
    <w:rsid w:val="00022BDB"/>
    <w:rsid w:val="00023B60"/>
    <w:rsid w:val="00026788"/>
    <w:rsid w:val="00026A7F"/>
    <w:rsid w:val="00027556"/>
    <w:rsid w:val="0003063F"/>
    <w:rsid w:val="00031764"/>
    <w:rsid w:val="0003209A"/>
    <w:rsid w:val="0003219D"/>
    <w:rsid w:val="00034DFC"/>
    <w:rsid w:val="00034EF7"/>
    <w:rsid w:val="00035C3A"/>
    <w:rsid w:val="000362E2"/>
    <w:rsid w:val="00040BA1"/>
    <w:rsid w:val="000410F3"/>
    <w:rsid w:val="00041637"/>
    <w:rsid w:val="00041E65"/>
    <w:rsid w:val="00043625"/>
    <w:rsid w:val="00043E48"/>
    <w:rsid w:val="0004542C"/>
    <w:rsid w:val="00045FAD"/>
    <w:rsid w:val="0004632D"/>
    <w:rsid w:val="000464E3"/>
    <w:rsid w:val="00047F52"/>
    <w:rsid w:val="000505B5"/>
    <w:rsid w:val="00051A98"/>
    <w:rsid w:val="00051D0D"/>
    <w:rsid w:val="00052188"/>
    <w:rsid w:val="00052962"/>
    <w:rsid w:val="00053F95"/>
    <w:rsid w:val="0005430B"/>
    <w:rsid w:val="00055244"/>
    <w:rsid w:val="00055F4C"/>
    <w:rsid w:val="00056777"/>
    <w:rsid w:val="00056882"/>
    <w:rsid w:val="000574C7"/>
    <w:rsid w:val="00057D6D"/>
    <w:rsid w:val="000603E4"/>
    <w:rsid w:val="0006170F"/>
    <w:rsid w:val="000619DD"/>
    <w:rsid w:val="000644DD"/>
    <w:rsid w:val="00064E7F"/>
    <w:rsid w:val="00065079"/>
    <w:rsid w:val="00065768"/>
    <w:rsid w:val="0006584C"/>
    <w:rsid w:val="00065C8C"/>
    <w:rsid w:val="00067327"/>
    <w:rsid w:val="00067398"/>
    <w:rsid w:val="00067515"/>
    <w:rsid w:val="000676F5"/>
    <w:rsid w:val="0006790D"/>
    <w:rsid w:val="00070312"/>
    <w:rsid w:val="00071D90"/>
    <w:rsid w:val="00072BE1"/>
    <w:rsid w:val="00073D5A"/>
    <w:rsid w:val="00076665"/>
    <w:rsid w:val="0007705F"/>
    <w:rsid w:val="000771D9"/>
    <w:rsid w:val="00082FD4"/>
    <w:rsid w:val="00083427"/>
    <w:rsid w:val="00083ADF"/>
    <w:rsid w:val="00083BA0"/>
    <w:rsid w:val="000901C6"/>
    <w:rsid w:val="000901CB"/>
    <w:rsid w:val="000901D2"/>
    <w:rsid w:val="000905F7"/>
    <w:rsid w:val="00091363"/>
    <w:rsid w:val="0009267D"/>
    <w:rsid w:val="00093B3E"/>
    <w:rsid w:val="00093EEC"/>
    <w:rsid w:val="00094143"/>
    <w:rsid w:val="00094B7B"/>
    <w:rsid w:val="000950CF"/>
    <w:rsid w:val="00096979"/>
    <w:rsid w:val="0009766E"/>
    <w:rsid w:val="00097DF8"/>
    <w:rsid w:val="000A085A"/>
    <w:rsid w:val="000A09BB"/>
    <w:rsid w:val="000A13CA"/>
    <w:rsid w:val="000A17AC"/>
    <w:rsid w:val="000A19CE"/>
    <w:rsid w:val="000A1CA7"/>
    <w:rsid w:val="000A28AE"/>
    <w:rsid w:val="000A32F6"/>
    <w:rsid w:val="000A3E6C"/>
    <w:rsid w:val="000A43E3"/>
    <w:rsid w:val="000A6E6B"/>
    <w:rsid w:val="000A7100"/>
    <w:rsid w:val="000A72EA"/>
    <w:rsid w:val="000A7C21"/>
    <w:rsid w:val="000B0E41"/>
    <w:rsid w:val="000B17A8"/>
    <w:rsid w:val="000B18D3"/>
    <w:rsid w:val="000B1E8D"/>
    <w:rsid w:val="000B1ED2"/>
    <w:rsid w:val="000B20E4"/>
    <w:rsid w:val="000B285D"/>
    <w:rsid w:val="000B2909"/>
    <w:rsid w:val="000B2948"/>
    <w:rsid w:val="000B335E"/>
    <w:rsid w:val="000B3FB6"/>
    <w:rsid w:val="000B44E4"/>
    <w:rsid w:val="000B487C"/>
    <w:rsid w:val="000B48AB"/>
    <w:rsid w:val="000B555F"/>
    <w:rsid w:val="000B56AB"/>
    <w:rsid w:val="000B7DF6"/>
    <w:rsid w:val="000C0745"/>
    <w:rsid w:val="000C092F"/>
    <w:rsid w:val="000C15E7"/>
    <w:rsid w:val="000C210F"/>
    <w:rsid w:val="000C23AB"/>
    <w:rsid w:val="000C243B"/>
    <w:rsid w:val="000C27E2"/>
    <w:rsid w:val="000C3479"/>
    <w:rsid w:val="000C39CF"/>
    <w:rsid w:val="000C3D46"/>
    <w:rsid w:val="000C3F1F"/>
    <w:rsid w:val="000C462F"/>
    <w:rsid w:val="000C6492"/>
    <w:rsid w:val="000C68AF"/>
    <w:rsid w:val="000C6993"/>
    <w:rsid w:val="000C756C"/>
    <w:rsid w:val="000C78B0"/>
    <w:rsid w:val="000C7942"/>
    <w:rsid w:val="000D1134"/>
    <w:rsid w:val="000D19EE"/>
    <w:rsid w:val="000D1A32"/>
    <w:rsid w:val="000D22E2"/>
    <w:rsid w:val="000D2317"/>
    <w:rsid w:val="000D36E0"/>
    <w:rsid w:val="000D38FC"/>
    <w:rsid w:val="000D4909"/>
    <w:rsid w:val="000D5A91"/>
    <w:rsid w:val="000D5E1E"/>
    <w:rsid w:val="000D7C76"/>
    <w:rsid w:val="000E0B73"/>
    <w:rsid w:val="000E0C2B"/>
    <w:rsid w:val="000E105F"/>
    <w:rsid w:val="000E2B6D"/>
    <w:rsid w:val="000E2F5F"/>
    <w:rsid w:val="000E377B"/>
    <w:rsid w:val="000E3E36"/>
    <w:rsid w:val="000E540C"/>
    <w:rsid w:val="000E5A8C"/>
    <w:rsid w:val="000E6048"/>
    <w:rsid w:val="000E7A1B"/>
    <w:rsid w:val="000E7A42"/>
    <w:rsid w:val="000E7AF9"/>
    <w:rsid w:val="000E7EEA"/>
    <w:rsid w:val="000F03AE"/>
    <w:rsid w:val="000F0B69"/>
    <w:rsid w:val="000F1743"/>
    <w:rsid w:val="000F185C"/>
    <w:rsid w:val="000F209C"/>
    <w:rsid w:val="000F46B9"/>
    <w:rsid w:val="000F51FE"/>
    <w:rsid w:val="000F657D"/>
    <w:rsid w:val="000F65C0"/>
    <w:rsid w:val="001011FA"/>
    <w:rsid w:val="00101857"/>
    <w:rsid w:val="00101A65"/>
    <w:rsid w:val="001024C6"/>
    <w:rsid w:val="00102AFF"/>
    <w:rsid w:val="00103265"/>
    <w:rsid w:val="00105562"/>
    <w:rsid w:val="00105E29"/>
    <w:rsid w:val="00105F6F"/>
    <w:rsid w:val="001077FE"/>
    <w:rsid w:val="00107B53"/>
    <w:rsid w:val="00110311"/>
    <w:rsid w:val="001116BC"/>
    <w:rsid w:val="00111B9B"/>
    <w:rsid w:val="00111BEE"/>
    <w:rsid w:val="001125BB"/>
    <w:rsid w:val="0011287B"/>
    <w:rsid w:val="00112B9D"/>
    <w:rsid w:val="0011301F"/>
    <w:rsid w:val="0011341F"/>
    <w:rsid w:val="001137FB"/>
    <w:rsid w:val="001137FD"/>
    <w:rsid w:val="00113C70"/>
    <w:rsid w:val="00113D3D"/>
    <w:rsid w:val="00113DAF"/>
    <w:rsid w:val="00115361"/>
    <w:rsid w:val="001156E0"/>
    <w:rsid w:val="00115883"/>
    <w:rsid w:val="00115C45"/>
    <w:rsid w:val="001178DE"/>
    <w:rsid w:val="00117BE5"/>
    <w:rsid w:val="00121C6C"/>
    <w:rsid w:val="001230D3"/>
    <w:rsid w:val="00123E2F"/>
    <w:rsid w:val="001241BE"/>
    <w:rsid w:val="00124D1B"/>
    <w:rsid w:val="00124FF6"/>
    <w:rsid w:val="00125398"/>
    <w:rsid w:val="0012542F"/>
    <w:rsid w:val="001264C9"/>
    <w:rsid w:val="001264D7"/>
    <w:rsid w:val="00127271"/>
    <w:rsid w:val="001274E1"/>
    <w:rsid w:val="00127590"/>
    <w:rsid w:val="00127686"/>
    <w:rsid w:val="0012779B"/>
    <w:rsid w:val="00127D85"/>
    <w:rsid w:val="0013025F"/>
    <w:rsid w:val="00130304"/>
    <w:rsid w:val="00130556"/>
    <w:rsid w:val="0013121F"/>
    <w:rsid w:val="00132E04"/>
    <w:rsid w:val="00136119"/>
    <w:rsid w:val="001403C1"/>
    <w:rsid w:val="00140F82"/>
    <w:rsid w:val="00141968"/>
    <w:rsid w:val="00141F6A"/>
    <w:rsid w:val="00142DBB"/>
    <w:rsid w:val="0014348A"/>
    <w:rsid w:val="001438AA"/>
    <w:rsid w:val="00143E86"/>
    <w:rsid w:val="00145015"/>
    <w:rsid w:val="00145D00"/>
    <w:rsid w:val="0014645E"/>
    <w:rsid w:val="001469E9"/>
    <w:rsid w:val="00146F26"/>
    <w:rsid w:val="00147F59"/>
    <w:rsid w:val="00150A9A"/>
    <w:rsid w:val="00150E39"/>
    <w:rsid w:val="001519C7"/>
    <w:rsid w:val="001519C8"/>
    <w:rsid w:val="001521B2"/>
    <w:rsid w:val="0015284E"/>
    <w:rsid w:val="00152F81"/>
    <w:rsid w:val="00156599"/>
    <w:rsid w:val="00156ED2"/>
    <w:rsid w:val="00160D2E"/>
    <w:rsid w:val="00160D7E"/>
    <w:rsid w:val="00161398"/>
    <w:rsid w:val="00163742"/>
    <w:rsid w:val="00163C90"/>
    <w:rsid w:val="00165F0D"/>
    <w:rsid w:val="001666F2"/>
    <w:rsid w:val="0016752B"/>
    <w:rsid w:val="00167878"/>
    <w:rsid w:val="00170A46"/>
    <w:rsid w:val="00170E29"/>
    <w:rsid w:val="001719F0"/>
    <w:rsid w:val="00172539"/>
    <w:rsid w:val="001733DD"/>
    <w:rsid w:val="00173DBD"/>
    <w:rsid w:val="001746D6"/>
    <w:rsid w:val="00174C08"/>
    <w:rsid w:val="00176BCC"/>
    <w:rsid w:val="001771FE"/>
    <w:rsid w:val="00177738"/>
    <w:rsid w:val="00177B3A"/>
    <w:rsid w:val="00180BC9"/>
    <w:rsid w:val="001812B4"/>
    <w:rsid w:val="0018175F"/>
    <w:rsid w:val="00181B82"/>
    <w:rsid w:val="0018298D"/>
    <w:rsid w:val="00182DF8"/>
    <w:rsid w:val="00182EFE"/>
    <w:rsid w:val="00183174"/>
    <w:rsid w:val="0018331C"/>
    <w:rsid w:val="001842F3"/>
    <w:rsid w:val="00184A77"/>
    <w:rsid w:val="00184DEB"/>
    <w:rsid w:val="00185132"/>
    <w:rsid w:val="0018540E"/>
    <w:rsid w:val="00186609"/>
    <w:rsid w:val="0018744F"/>
    <w:rsid w:val="00191016"/>
    <w:rsid w:val="001916DA"/>
    <w:rsid w:val="00191F30"/>
    <w:rsid w:val="0019279F"/>
    <w:rsid w:val="00193A84"/>
    <w:rsid w:val="00193B16"/>
    <w:rsid w:val="00194367"/>
    <w:rsid w:val="0019446C"/>
    <w:rsid w:val="00194553"/>
    <w:rsid w:val="001951D9"/>
    <w:rsid w:val="00195BA3"/>
    <w:rsid w:val="001970EA"/>
    <w:rsid w:val="00197F7F"/>
    <w:rsid w:val="001A1A8F"/>
    <w:rsid w:val="001A24FD"/>
    <w:rsid w:val="001A2ED4"/>
    <w:rsid w:val="001A38BC"/>
    <w:rsid w:val="001A42C4"/>
    <w:rsid w:val="001A4372"/>
    <w:rsid w:val="001A4932"/>
    <w:rsid w:val="001A4D32"/>
    <w:rsid w:val="001A4F6D"/>
    <w:rsid w:val="001A5163"/>
    <w:rsid w:val="001A52CF"/>
    <w:rsid w:val="001A562E"/>
    <w:rsid w:val="001A566E"/>
    <w:rsid w:val="001A5677"/>
    <w:rsid w:val="001A6A83"/>
    <w:rsid w:val="001B04F3"/>
    <w:rsid w:val="001B083D"/>
    <w:rsid w:val="001B0DAE"/>
    <w:rsid w:val="001B2621"/>
    <w:rsid w:val="001B2B32"/>
    <w:rsid w:val="001B301C"/>
    <w:rsid w:val="001B3E18"/>
    <w:rsid w:val="001B4A6A"/>
    <w:rsid w:val="001B4D7F"/>
    <w:rsid w:val="001B50E0"/>
    <w:rsid w:val="001B7BDD"/>
    <w:rsid w:val="001C0ABA"/>
    <w:rsid w:val="001C0BBA"/>
    <w:rsid w:val="001C0EB8"/>
    <w:rsid w:val="001C1B9A"/>
    <w:rsid w:val="001C289C"/>
    <w:rsid w:val="001C3A4C"/>
    <w:rsid w:val="001C4732"/>
    <w:rsid w:val="001C4ABA"/>
    <w:rsid w:val="001C53D9"/>
    <w:rsid w:val="001C56B8"/>
    <w:rsid w:val="001C5CA5"/>
    <w:rsid w:val="001C6324"/>
    <w:rsid w:val="001D03E4"/>
    <w:rsid w:val="001D06DF"/>
    <w:rsid w:val="001D19D2"/>
    <w:rsid w:val="001D1DF0"/>
    <w:rsid w:val="001D28D0"/>
    <w:rsid w:val="001D3A55"/>
    <w:rsid w:val="001D3B4A"/>
    <w:rsid w:val="001D400B"/>
    <w:rsid w:val="001D4142"/>
    <w:rsid w:val="001D47B5"/>
    <w:rsid w:val="001D56F8"/>
    <w:rsid w:val="001D79AB"/>
    <w:rsid w:val="001E0E62"/>
    <w:rsid w:val="001E12FA"/>
    <w:rsid w:val="001E1439"/>
    <w:rsid w:val="001E17D4"/>
    <w:rsid w:val="001E19F2"/>
    <w:rsid w:val="001E3026"/>
    <w:rsid w:val="001E314C"/>
    <w:rsid w:val="001E3453"/>
    <w:rsid w:val="001E4C1C"/>
    <w:rsid w:val="001E5355"/>
    <w:rsid w:val="001E6AC5"/>
    <w:rsid w:val="001E6C4C"/>
    <w:rsid w:val="001E6F42"/>
    <w:rsid w:val="001E79F3"/>
    <w:rsid w:val="001E7B71"/>
    <w:rsid w:val="001E7F2D"/>
    <w:rsid w:val="001F031B"/>
    <w:rsid w:val="001F07E4"/>
    <w:rsid w:val="001F11D9"/>
    <w:rsid w:val="001F1858"/>
    <w:rsid w:val="001F2695"/>
    <w:rsid w:val="001F28F8"/>
    <w:rsid w:val="001F2EDC"/>
    <w:rsid w:val="001F4CA1"/>
    <w:rsid w:val="001F5CAC"/>
    <w:rsid w:val="001F6E97"/>
    <w:rsid w:val="001F6ECE"/>
    <w:rsid w:val="001F799E"/>
    <w:rsid w:val="002003EA"/>
    <w:rsid w:val="00200C79"/>
    <w:rsid w:val="00201147"/>
    <w:rsid w:val="002013A2"/>
    <w:rsid w:val="00201E84"/>
    <w:rsid w:val="00203082"/>
    <w:rsid w:val="00203ACC"/>
    <w:rsid w:val="00204033"/>
    <w:rsid w:val="002043FC"/>
    <w:rsid w:val="00205681"/>
    <w:rsid w:val="0020581B"/>
    <w:rsid w:val="002064F1"/>
    <w:rsid w:val="00207505"/>
    <w:rsid w:val="00207508"/>
    <w:rsid w:val="0021052B"/>
    <w:rsid w:val="00210882"/>
    <w:rsid w:val="00210F73"/>
    <w:rsid w:val="00211260"/>
    <w:rsid w:val="002113BC"/>
    <w:rsid w:val="00213DF7"/>
    <w:rsid w:val="002143F2"/>
    <w:rsid w:val="00214A5E"/>
    <w:rsid w:val="0021533C"/>
    <w:rsid w:val="00215D71"/>
    <w:rsid w:val="00215FA3"/>
    <w:rsid w:val="002173B8"/>
    <w:rsid w:val="002176A6"/>
    <w:rsid w:val="00222C2B"/>
    <w:rsid w:val="0022385C"/>
    <w:rsid w:val="0022447D"/>
    <w:rsid w:val="002247F2"/>
    <w:rsid w:val="00224FF0"/>
    <w:rsid w:val="00225B72"/>
    <w:rsid w:val="00226036"/>
    <w:rsid w:val="00226731"/>
    <w:rsid w:val="00226B57"/>
    <w:rsid w:val="0022740D"/>
    <w:rsid w:val="00227ADB"/>
    <w:rsid w:val="00227CEA"/>
    <w:rsid w:val="00227F3E"/>
    <w:rsid w:val="002300D9"/>
    <w:rsid w:val="0023034B"/>
    <w:rsid w:val="00230388"/>
    <w:rsid w:val="002309A6"/>
    <w:rsid w:val="00230ECF"/>
    <w:rsid w:val="00230FA1"/>
    <w:rsid w:val="00231EAE"/>
    <w:rsid w:val="0023252E"/>
    <w:rsid w:val="00232727"/>
    <w:rsid w:val="00232BAC"/>
    <w:rsid w:val="002331D2"/>
    <w:rsid w:val="002331F9"/>
    <w:rsid w:val="002342A7"/>
    <w:rsid w:val="002343C9"/>
    <w:rsid w:val="0023476A"/>
    <w:rsid w:val="00234D89"/>
    <w:rsid w:val="00234EC6"/>
    <w:rsid w:val="00236CA4"/>
    <w:rsid w:val="00237AC5"/>
    <w:rsid w:val="00240087"/>
    <w:rsid w:val="0024021F"/>
    <w:rsid w:val="0024054D"/>
    <w:rsid w:val="00241213"/>
    <w:rsid w:val="002412B7"/>
    <w:rsid w:val="00241623"/>
    <w:rsid w:val="002423F4"/>
    <w:rsid w:val="00242B0A"/>
    <w:rsid w:val="00242E5F"/>
    <w:rsid w:val="00243B63"/>
    <w:rsid w:val="0024520C"/>
    <w:rsid w:val="0024665D"/>
    <w:rsid w:val="00246F1E"/>
    <w:rsid w:val="00247903"/>
    <w:rsid w:val="00247C1C"/>
    <w:rsid w:val="00250DF9"/>
    <w:rsid w:val="002517F4"/>
    <w:rsid w:val="00252BE9"/>
    <w:rsid w:val="00253622"/>
    <w:rsid w:val="00254B93"/>
    <w:rsid w:val="002552FC"/>
    <w:rsid w:val="002558EE"/>
    <w:rsid w:val="00255E86"/>
    <w:rsid w:val="0025780C"/>
    <w:rsid w:val="0026076E"/>
    <w:rsid w:val="00260AC7"/>
    <w:rsid w:val="0026154A"/>
    <w:rsid w:val="0026159F"/>
    <w:rsid w:val="0026214E"/>
    <w:rsid w:val="00262E79"/>
    <w:rsid w:val="0026350F"/>
    <w:rsid w:val="002639C3"/>
    <w:rsid w:val="00263F26"/>
    <w:rsid w:val="002641BF"/>
    <w:rsid w:val="00265A14"/>
    <w:rsid w:val="00265B8B"/>
    <w:rsid w:val="00266379"/>
    <w:rsid w:val="0026683E"/>
    <w:rsid w:val="00266A05"/>
    <w:rsid w:val="0027067E"/>
    <w:rsid w:val="00270A10"/>
    <w:rsid w:val="0027139A"/>
    <w:rsid w:val="00271FDA"/>
    <w:rsid w:val="00272133"/>
    <w:rsid w:val="0027227C"/>
    <w:rsid w:val="00272756"/>
    <w:rsid w:val="00272AAA"/>
    <w:rsid w:val="00273F84"/>
    <w:rsid w:val="00274045"/>
    <w:rsid w:val="0027454A"/>
    <w:rsid w:val="002746A3"/>
    <w:rsid w:val="002762C3"/>
    <w:rsid w:val="0027760F"/>
    <w:rsid w:val="002812D1"/>
    <w:rsid w:val="002814A5"/>
    <w:rsid w:val="002823B4"/>
    <w:rsid w:val="002825B8"/>
    <w:rsid w:val="00282794"/>
    <w:rsid w:val="00282891"/>
    <w:rsid w:val="00282A38"/>
    <w:rsid w:val="00284077"/>
    <w:rsid w:val="00284394"/>
    <w:rsid w:val="00284439"/>
    <w:rsid w:val="002848D4"/>
    <w:rsid w:val="00284F01"/>
    <w:rsid w:val="002853EC"/>
    <w:rsid w:val="00286008"/>
    <w:rsid w:val="0028626E"/>
    <w:rsid w:val="00286E8C"/>
    <w:rsid w:val="00287C4E"/>
    <w:rsid w:val="00287CBC"/>
    <w:rsid w:val="00290050"/>
    <w:rsid w:val="002900EA"/>
    <w:rsid w:val="00290911"/>
    <w:rsid w:val="00290A2E"/>
    <w:rsid w:val="00290E54"/>
    <w:rsid w:val="002911CF"/>
    <w:rsid w:val="00291DBF"/>
    <w:rsid w:val="00293020"/>
    <w:rsid w:val="0029354E"/>
    <w:rsid w:val="0029365B"/>
    <w:rsid w:val="00293EB9"/>
    <w:rsid w:val="00294182"/>
    <w:rsid w:val="002942B1"/>
    <w:rsid w:val="0029512B"/>
    <w:rsid w:val="00295342"/>
    <w:rsid w:val="0029560C"/>
    <w:rsid w:val="00295664"/>
    <w:rsid w:val="002957B7"/>
    <w:rsid w:val="00296B24"/>
    <w:rsid w:val="00296DCC"/>
    <w:rsid w:val="00297DFB"/>
    <w:rsid w:val="002A0106"/>
    <w:rsid w:val="002A012D"/>
    <w:rsid w:val="002A08DB"/>
    <w:rsid w:val="002A0999"/>
    <w:rsid w:val="002A1221"/>
    <w:rsid w:val="002A187E"/>
    <w:rsid w:val="002A20B4"/>
    <w:rsid w:val="002A22C4"/>
    <w:rsid w:val="002A32B0"/>
    <w:rsid w:val="002A3599"/>
    <w:rsid w:val="002A3DB8"/>
    <w:rsid w:val="002A4543"/>
    <w:rsid w:val="002A45EA"/>
    <w:rsid w:val="002A4B24"/>
    <w:rsid w:val="002A58F4"/>
    <w:rsid w:val="002A5B2C"/>
    <w:rsid w:val="002A5EB7"/>
    <w:rsid w:val="002A621E"/>
    <w:rsid w:val="002A7BCB"/>
    <w:rsid w:val="002A7E47"/>
    <w:rsid w:val="002B02D8"/>
    <w:rsid w:val="002B0DAA"/>
    <w:rsid w:val="002B15CB"/>
    <w:rsid w:val="002B168A"/>
    <w:rsid w:val="002B39C1"/>
    <w:rsid w:val="002B4115"/>
    <w:rsid w:val="002B4EDD"/>
    <w:rsid w:val="002B5AD4"/>
    <w:rsid w:val="002B676C"/>
    <w:rsid w:val="002B6983"/>
    <w:rsid w:val="002B6ABC"/>
    <w:rsid w:val="002B7430"/>
    <w:rsid w:val="002B7F63"/>
    <w:rsid w:val="002C17F7"/>
    <w:rsid w:val="002C2A14"/>
    <w:rsid w:val="002C31C2"/>
    <w:rsid w:val="002C33A9"/>
    <w:rsid w:val="002C55D5"/>
    <w:rsid w:val="002C5D14"/>
    <w:rsid w:val="002C623F"/>
    <w:rsid w:val="002C6769"/>
    <w:rsid w:val="002D0216"/>
    <w:rsid w:val="002D0F22"/>
    <w:rsid w:val="002D1354"/>
    <w:rsid w:val="002D19EC"/>
    <w:rsid w:val="002D2275"/>
    <w:rsid w:val="002D25B5"/>
    <w:rsid w:val="002D2B27"/>
    <w:rsid w:val="002D2DB7"/>
    <w:rsid w:val="002D319F"/>
    <w:rsid w:val="002D31A9"/>
    <w:rsid w:val="002D3DED"/>
    <w:rsid w:val="002D49BC"/>
    <w:rsid w:val="002D4D4E"/>
    <w:rsid w:val="002D4D9C"/>
    <w:rsid w:val="002D5237"/>
    <w:rsid w:val="002D6518"/>
    <w:rsid w:val="002D697F"/>
    <w:rsid w:val="002D75D2"/>
    <w:rsid w:val="002D783B"/>
    <w:rsid w:val="002E0A0D"/>
    <w:rsid w:val="002E18F3"/>
    <w:rsid w:val="002E1947"/>
    <w:rsid w:val="002E1FBE"/>
    <w:rsid w:val="002E2877"/>
    <w:rsid w:val="002E2BF5"/>
    <w:rsid w:val="002E3094"/>
    <w:rsid w:val="002E49F4"/>
    <w:rsid w:val="002E51D3"/>
    <w:rsid w:val="002E5C20"/>
    <w:rsid w:val="002E68C8"/>
    <w:rsid w:val="002E6E4C"/>
    <w:rsid w:val="002E76B2"/>
    <w:rsid w:val="002E798F"/>
    <w:rsid w:val="002E7B25"/>
    <w:rsid w:val="002E7B9A"/>
    <w:rsid w:val="002F06B8"/>
    <w:rsid w:val="002F0D29"/>
    <w:rsid w:val="002F15E8"/>
    <w:rsid w:val="002F19E4"/>
    <w:rsid w:val="002F1B2B"/>
    <w:rsid w:val="002F1B34"/>
    <w:rsid w:val="002F2662"/>
    <w:rsid w:val="002F29BA"/>
    <w:rsid w:val="002F2B78"/>
    <w:rsid w:val="002F3CD6"/>
    <w:rsid w:val="002F41F3"/>
    <w:rsid w:val="002F55D0"/>
    <w:rsid w:val="002F5A63"/>
    <w:rsid w:val="002F5FE1"/>
    <w:rsid w:val="002F7D54"/>
    <w:rsid w:val="003004B0"/>
    <w:rsid w:val="00300B1A"/>
    <w:rsid w:val="00301275"/>
    <w:rsid w:val="0030307F"/>
    <w:rsid w:val="0030349B"/>
    <w:rsid w:val="00303EDE"/>
    <w:rsid w:val="003040B8"/>
    <w:rsid w:val="0030462C"/>
    <w:rsid w:val="00306B11"/>
    <w:rsid w:val="00306DAC"/>
    <w:rsid w:val="003070E9"/>
    <w:rsid w:val="00310057"/>
    <w:rsid w:val="00310666"/>
    <w:rsid w:val="00310671"/>
    <w:rsid w:val="00311129"/>
    <w:rsid w:val="0031119A"/>
    <w:rsid w:val="003122AE"/>
    <w:rsid w:val="00312707"/>
    <w:rsid w:val="00313969"/>
    <w:rsid w:val="00314A08"/>
    <w:rsid w:val="00314A96"/>
    <w:rsid w:val="00314F27"/>
    <w:rsid w:val="00316702"/>
    <w:rsid w:val="003174E2"/>
    <w:rsid w:val="00320DD2"/>
    <w:rsid w:val="00321D7E"/>
    <w:rsid w:val="00321DB7"/>
    <w:rsid w:val="003221ED"/>
    <w:rsid w:val="0032230B"/>
    <w:rsid w:val="0032480D"/>
    <w:rsid w:val="00325DD5"/>
    <w:rsid w:val="00326731"/>
    <w:rsid w:val="003269A8"/>
    <w:rsid w:val="00326E08"/>
    <w:rsid w:val="00326E88"/>
    <w:rsid w:val="00330C00"/>
    <w:rsid w:val="00330D49"/>
    <w:rsid w:val="00331D6C"/>
    <w:rsid w:val="003322B0"/>
    <w:rsid w:val="003323FE"/>
    <w:rsid w:val="00332E0D"/>
    <w:rsid w:val="0033331F"/>
    <w:rsid w:val="00333D38"/>
    <w:rsid w:val="0033445F"/>
    <w:rsid w:val="003351F3"/>
    <w:rsid w:val="00336350"/>
    <w:rsid w:val="00336BC8"/>
    <w:rsid w:val="00340842"/>
    <w:rsid w:val="00340CC9"/>
    <w:rsid w:val="00340D87"/>
    <w:rsid w:val="0034112A"/>
    <w:rsid w:val="003422A0"/>
    <w:rsid w:val="003422EB"/>
    <w:rsid w:val="00343BBB"/>
    <w:rsid w:val="00344044"/>
    <w:rsid w:val="00345932"/>
    <w:rsid w:val="00345D88"/>
    <w:rsid w:val="00346F70"/>
    <w:rsid w:val="003479B9"/>
    <w:rsid w:val="00347D74"/>
    <w:rsid w:val="0035069F"/>
    <w:rsid w:val="00351042"/>
    <w:rsid w:val="00351510"/>
    <w:rsid w:val="00354E79"/>
    <w:rsid w:val="00354E9D"/>
    <w:rsid w:val="0035589B"/>
    <w:rsid w:val="00355A55"/>
    <w:rsid w:val="00355AD3"/>
    <w:rsid w:val="00361962"/>
    <w:rsid w:val="0036298D"/>
    <w:rsid w:val="00363241"/>
    <w:rsid w:val="00363410"/>
    <w:rsid w:val="0036397B"/>
    <w:rsid w:val="003639B0"/>
    <w:rsid w:val="00363DA9"/>
    <w:rsid w:val="00365437"/>
    <w:rsid w:val="00365B5F"/>
    <w:rsid w:val="00365C54"/>
    <w:rsid w:val="00365E5A"/>
    <w:rsid w:val="0036650A"/>
    <w:rsid w:val="00366556"/>
    <w:rsid w:val="0036664D"/>
    <w:rsid w:val="00367CC7"/>
    <w:rsid w:val="003719E9"/>
    <w:rsid w:val="00371CC1"/>
    <w:rsid w:val="003731AA"/>
    <w:rsid w:val="003736D7"/>
    <w:rsid w:val="00373E08"/>
    <w:rsid w:val="00374575"/>
    <w:rsid w:val="003751BE"/>
    <w:rsid w:val="00376A39"/>
    <w:rsid w:val="00382446"/>
    <w:rsid w:val="003824C5"/>
    <w:rsid w:val="00382558"/>
    <w:rsid w:val="00382BB8"/>
    <w:rsid w:val="003837A7"/>
    <w:rsid w:val="00383FFD"/>
    <w:rsid w:val="00384600"/>
    <w:rsid w:val="003859EE"/>
    <w:rsid w:val="00385EF7"/>
    <w:rsid w:val="003869D8"/>
    <w:rsid w:val="00386BDC"/>
    <w:rsid w:val="00386E9C"/>
    <w:rsid w:val="00387304"/>
    <w:rsid w:val="00387792"/>
    <w:rsid w:val="00387D17"/>
    <w:rsid w:val="00390FA7"/>
    <w:rsid w:val="00393093"/>
    <w:rsid w:val="00393672"/>
    <w:rsid w:val="00394320"/>
    <w:rsid w:val="00395180"/>
    <w:rsid w:val="003971BD"/>
    <w:rsid w:val="003A085F"/>
    <w:rsid w:val="003A200B"/>
    <w:rsid w:val="003A2A77"/>
    <w:rsid w:val="003A2FAF"/>
    <w:rsid w:val="003A3C30"/>
    <w:rsid w:val="003A4F00"/>
    <w:rsid w:val="003A53AC"/>
    <w:rsid w:val="003A5536"/>
    <w:rsid w:val="003A5A4A"/>
    <w:rsid w:val="003A5D8C"/>
    <w:rsid w:val="003A65D2"/>
    <w:rsid w:val="003A6757"/>
    <w:rsid w:val="003A6985"/>
    <w:rsid w:val="003B0438"/>
    <w:rsid w:val="003B04C2"/>
    <w:rsid w:val="003B19A8"/>
    <w:rsid w:val="003B1A93"/>
    <w:rsid w:val="003B44EA"/>
    <w:rsid w:val="003B4E60"/>
    <w:rsid w:val="003B5197"/>
    <w:rsid w:val="003B55BC"/>
    <w:rsid w:val="003B59C0"/>
    <w:rsid w:val="003B5EE4"/>
    <w:rsid w:val="003B7019"/>
    <w:rsid w:val="003B75B8"/>
    <w:rsid w:val="003C06A0"/>
    <w:rsid w:val="003C0EE4"/>
    <w:rsid w:val="003C28C6"/>
    <w:rsid w:val="003C47F5"/>
    <w:rsid w:val="003C4E99"/>
    <w:rsid w:val="003C545D"/>
    <w:rsid w:val="003C621C"/>
    <w:rsid w:val="003C6896"/>
    <w:rsid w:val="003C7701"/>
    <w:rsid w:val="003D0EE4"/>
    <w:rsid w:val="003D11AC"/>
    <w:rsid w:val="003D2C33"/>
    <w:rsid w:val="003D32F4"/>
    <w:rsid w:val="003D3ED8"/>
    <w:rsid w:val="003D40C8"/>
    <w:rsid w:val="003D4BD4"/>
    <w:rsid w:val="003D56B6"/>
    <w:rsid w:val="003D5EC3"/>
    <w:rsid w:val="003D6042"/>
    <w:rsid w:val="003D6150"/>
    <w:rsid w:val="003D6F12"/>
    <w:rsid w:val="003D7B6D"/>
    <w:rsid w:val="003D7C06"/>
    <w:rsid w:val="003E032F"/>
    <w:rsid w:val="003E0AB3"/>
    <w:rsid w:val="003E0D4E"/>
    <w:rsid w:val="003E0F45"/>
    <w:rsid w:val="003E149D"/>
    <w:rsid w:val="003E1653"/>
    <w:rsid w:val="003E2995"/>
    <w:rsid w:val="003E2ACA"/>
    <w:rsid w:val="003E3A84"/>
    <w:rsid w:val="003E40D7"/>
    <w:rsid w:val="003E47E1"/>
    <w:rsid w:val="003E5163"/>
    <w:rsid w:val="003E6348"/>
    <w:rsid w:val="003E6E9D"/>
    <w:rsid w:val="003F0019"/>
    <w:rsid w:val="003F2BF8"/>
    <w:rsid w:val="003F2ED7"/>
    <w:rsid w:val="003F36C1"/>
    <w:rsid w:val="003F370D"/>
    <w:rsid w:val="003F46D4"/>
    <w:rsid w:val="003F6327"/>
    <w:rsid w:val="003F6661"/>
    <w:rsid w:val="003F70C1"/>
    <w:rsid w:val="003F7875"/>
    <w:rsid w:val="00401A5A"/>
    <w:rsid w:val="00402964"/>
    <w:rsid w:val="00402A21"/>
    <w:rsid w:val="00402F9F"/>
    <w:rsid w:val="00403C4E"/>
    <w:rsid w:val="004040AC"/>
    <w:rsid w:val="00404436"/>
    <w:rsid w:val="00404617"/>
    <w:rsid w:val="00404F9F"/>
    <w:rsid w:val="0040568C"/>
    <w:rsid w:val="00405C5C"/>
    <w:rsid w:val="00406100"/>
    <w:rsid w:val="00407819"/>
    <w:rsid w:val="00412304"/>
    <w:rsid w:val="004125B3"/>
    <w:rsid w:val="00412B9E"/>
    <w:rsid w:val="00412DF5"/>
    <w:rsid w:val="00413893"/>
    <w:rsid w:val="00414447"/>
    <w:rsid w:val="0041466B"/>
    <w:rsid w:val="00414DC9"/>
    <w:rsid w:val="00415441"/>
    <w:rsid w:val="00415AEC"/>
    <w:rsid w:val="00415D24"/>
    <w:rsid w:val="0041623D"/>
    <w:rsid w:val="00416DBD"/>
    <w:rsid w:val="0041731C"/>
    <w:rsid w:val="00417332"/>
    <w:rsid w:val="00417B23"/>
    <w:rsid w:val="0042101A"/>
    <w:rsid w:val="004212C7"/>
    <w:rsid w:val="0042266E"/>
    <w:rsid w:val="00422C6D"/>
    <w:rsid w:val="0042389D"/>
    <w:rsid w:val="00423AAD"/>
    <w:rsid w:val="00423D36"/>
    <w:rsid w:val="004246CE"/>
    <w:rsid w:val="00424CD6"/>
    <w:rsid w:val="00426BE3"/>
    <w:rsid w:val="00426DDE"/>
    <w:rsid w:val="00427CC5"/>
    <w:rsid w:val="0043042C"/>
    <w:rsid w:val="00430E97"/>
    <w:rsid w:val="00431E40"/>
    <w:rsid w:val="004323E0"/>
    <w:rsid w:val="0043254B"/>
    <w:rsid w:val="00433AAB"/>
    <w:rsid w:val="00433F12"/>
    <w:rsid w:val="00434691"/>
    <w:rsid w:val="00434E36"/>
    <w:rsid w:val="00435360"/>
    <w:rsid w:val="004362E1"/>
    <w:rsid w:val="00436348"/>
    <w:rsid w:val="0043681D"/>
    <w:rsid w:val="004368C5"/>
    <w:rsid w:val="00436CF0"/>
    <w:rsid w:val="00437397"/>
    <w:rsid w:val="00441E83"/>
    <w:rsid w:val="004435D3"/>
    <w:rsid w:val="004446DD"/>
    <w:rsid w:val="00444D7E"/>
    <w:rsid w:val="00445DAA"/>
    <w:rsid w:val="004460FD"/>
    <w:rsid w:val="0044617E"/>
    <w:rsid w:val="00447072"/>
    <w:rsid w:val="00447685"/>
    <w:rsid w:val="004516E6"/>
    <w:rsid w:val="00452515"/>
    <w:rsid w:val="0045349E"/>
    <w:rsid w:val="0045423C"/>
    <w:rsid w:val="0045539A"/>
    <w:rsid w:val="004561DD"/>
    <w:rsid w:val="00456862"/>
    <w:rsid w:val="00456DB0"/>
    <w:rsid w:val="0045710C"/>
    <w:rsid w:val="00457385"/>
    <w:rsid w:val="004573A5"/>
    <w:rsid w:val="00457B88"/>
    <w:rsid w:val="004613D8"/>
    <w:rsid w:val="00462113"/>
    <w:rsid w:val="00463EE9"/>
    <w:rsid w:val="00464587"/>
    <w:rsid w:val="004645FA"/>
    <w:rsid w:val="0046461F"/>
    <w:rsid w:val="00465403"/>
    <w:rsid w:val="004662FD"/>
    <w:rsid w:val="00466B3E"/>
    <w:rsid w:val="004670BE"/>
    <w:rsid w:val="00467804"/>
    <w:rsid w:val="00467B85"/>
    <w:rsid w:val="004715BA"/>
    <w:rsid w:val="00473BAC"/>
    <w:rsid w:val="004741A7"/>
    <w:rsid w:val="00474BE2"/>
    <w:rsid w:val="00475319"/>
    <w:rsid w:val="004755B7"/>
    <w:rsid w:val="004763B8"/>
    <w:rsid w:val="00476DDC"/>
    <w:rsid w:val="00477FD9"/>
    <w:rsid w:val="004805B6"/>
    <w:rsid w:val="004807EA"/>
    <w:rsid w:val="00480AD5"/>
    <w:rsid w:val="00480DCC"/>
    <w:rsid w:val="00481310"/>
    <w:rsid w:val="004815BA"/>
    <w:rsid w:val="00482F0C"/>
    <w:rsid w:val="004831BE"/>
    <w:rsid w:val="00484008"/>
    <w:rsid w:val="0048424C"/>
    <w:rsid w:val="004844B2"/>
    <w:rsid w:val="004852D0"/>
    <w:rsid w:val="00485C8E"/>
    <w:rsid w:val="00485D71"/>
    <w:rsid w:val="004861C4"/>
    <w:rsid w:val="00486E67"/>
    <w:rsid w:val="0048757C"/>
    <w:rsid w:val="0049142B"/>
    <w:rsid w:val="0049173E"/>
    <w:rsid w:val="00491918"/>
    <w:rsid w:val="00491DB1"/>
    <w:rsid w:val="00491FEB"/>
    <w:rsid w:val="004939D9"/>
    <w:rsid w:val="00493BF1"/>
    <w:rsid w:val="00493FA0"/>
    <w:rsid w:val="00494050"/>
    <w:rsid w:val="00494263"/>
    <w:rsid w:val="00494350"/>
    <w:rsid w:val="00494637"/>
    <w:rsid w:val="004947BF"/>
    <w:rsid w:val="0049484D"/>
    <w:rsid w:val="0049574D"/>
    <w:rsid w:val="004959B8"/>
    <w:rsid w:val="00496C91"/>
    <w:rsid w:val="00497112"/>
    <w:rsid w:val="00497813"/>
    <w:rsid w:val="00497CDC"/>
    <w:rsid w:val="004A0CB7"/>
    <w:rsid w:val="004A1483"/>
    <w:rsid w:val="004A14BC"/>
    <w:rsid w:val="004A1670"/>
    <w:rsid w:val="004A1D76"/>
    <w:rsid w:val="004A1EF1"/>
    <w:rsid w:val="004A2464"/>
    <w:rsid w:val="004A2703"/>
    <w:rsid w:val="004A2975"/>
    <w:rsid w:val="004A2C57"/>
    <w:rsid w:val="004A30AB"/>
    <w:rsid w:val="004A3A23"/>
    <w:rsid w:val="004A405F"/>
    <w:rsid w:val="004A4774"/>
    <w:rsid w:val="004A60CA"/>
    <w:rsid w:val="004A6299"/>
    <w:rsid w:val="004A7547"/>
    <w:rsid w:val="004A78EF"/>
    <w:rsid w:val="004B0352"/>
    <w:rsid w:val="004B12AF"/>
    <w:rsid w:val="004B138B"/>
    <w:rsid w:val="004B5521"/>
    <w:rsid w:val="004B5C42"/>
    <w:rsid w:val="004B77D8"/>
    <w:rsid w:val="004B7B6C"/>
    <w:rsid w:val="004B7D4A"/>
    <w:rsid w:val="004C0037"/>
    <w:rsid w:val="004C0D20"/>
    <w:rsid w:val="004C0F59"/>
    <w:rsid w:val="004C1DA0"/>
    <w:rsid w:val="004C4219"/>
    <w:rsid w:val="004C4C94"/>
    <w:rsid w:val="004C5B43"/>
    <w:rsid w:val="004C6777"/>
    <w:rsid w:val="004C7218"/>
    <w:rsid w:val="004C7C4C"/>
    <w:rsid w:val="004C7DB3"/>
    <w:rsid w:val="004D0A1B"/>
    <w:rsid w:val="004D0AA3"/>
    <w:rsid w:val="004D0D57"/>
    <w:rsid w:val="004D1EAA"/>
    <w:rsid w:val="004D1ED6"/>
    <w:rsid w:val="004D2B17"/>
    <w:rsid w:val="004D2B47"/>
    <w:rsid w:val="004D3B05"/>
    <w:rsid w:val="004D4A11"/>
    <w:rsid w:val="004D4AB5"/>
    <w:rsid w:val="004D4B39"/>
    <w:rsid w:val="004D604F"/>
    <w:rsid w:val="004D7C50"/>
    <w:rsid w:val="004E06C2"/>
    <w:rsid w:val="004E120F"/>
    <w:rsid w:val="004E2246"/>
    <w:rsid w:val="004E2370"/>
    <w:rsid w:val="004E267E"/>
    <w:rsid w:val="004E2BB9"/>
    <w:rsid w:val="004E4AAF"/>
    <w:rsid w:val="004E610F"/>
    <w:rsid w:val="004F016A"/>
    <w:rsid w:val="004F0650"/>
    <w:rsid w:val="004F1609"/>
    <w:rsid w:val="004F188A"/>
    <w:rsid w:val="004F1B33"/>
    <w:rsid w:val="004F242D"/>
    <w:rsid w:val="004F2CC6"/>
    <w:rsid w:val="004F333F"/>
    <w:rsid w:val="004F34A1"/>
    <w:rsid w:val="004F42E2"/>
    <w:rsid w:val="004F44C0"/>
    <w:rsid w:val="004F4D49"/>
    <w:rsid w:val="004F59DB"/>
    <w:rsid w:val="004F5FFD"/>
    <w:rsid w:val="004F613C"/>
    <w:rsid w:val="004F6209"/>
    <w:rsid w:val="004F6D55"/>
    <w:rsid w:val="004F737B"/>
    <w:rsid w:val="005002F1"/>
    <w:rsid w:val="005012D8"/>
    <w:rsid w:val="00501D7B"/>
    <w:rsid w:val="005023BC"/>
    <w:rsid w:val="005034FA"/>
    <w:rsid w:val="0050402B"/>
    <w:rsid w:val="0050503E"/>
    <w:rsid w:val="00505DCB"/>
    <w:rsid w:val="005062C2"/>
    <w:rsid w:val="00506850"/>
    <w:rsid w:val="0050689F"/>
    <w:rsid w:val="00510966"/>
    <w:rsid w:val="00511890"/>
    <w:rsid w:val="00512278"/>
    <w:rsid w:val="00512429"/>
    <w:rsid w:val="00512A27"/>
    <w:rsid w:val="00512D11"/>
    <w:rsid w:val="00513323"/>
    <w:rsid w:val="00513355"/>
    <w:rsid w:val="005137D0"/>
    <w:rsid w:val="00513908"/>
    <w:rsid w:val="00513A45"/>
    <w:rsid w:val="00513EAC"/>
    <w:rsid w:val="0051427C"/>
    <w:rsid w:val="005147EB"/>
    <w:rsid w:val="005148DF"/>
    <w:rsid w:val="00515064"/>
    <w:rsid w:val="00515A81"/>
    <w:rsid w:val="00515AB5"/>
    <w:rsid w:val="00516625"/>
    <w:rsid w:val="00516A3F"/>
    <w:rsid w:val="005170BB"/>
    <w:rsid w:val="00517123"/>
    <w:rsid w:val="005171DB"/>
    <w:rsid w:val="00517AD9"/>
    <w:rsid w:val="00517BF2"/>
    <w:rsid w:val="0052155F"/>
    <w:rsid w:val="00521DAD"/>
    <w:rsid w:val="0052307E"/>
    <w:rsid w:val="0052342D"/>
    <w:rsid w:val="005236D9"/>
    <w:rsid w:val="00524607"/>
    <w:rsid w:val="00524BB3"/>
    <w:rsid w:val="005250FE"/>
    <w:rsid w:val="00525B1B"/>
    <w:rsid w:val="00525BA5"/>
    <w:rsid w:val="00526116"/>
    <w:rsid w:val="00526A0E"/>
    <w:rsid w:val="00530258"/>
    <w:rsid w:val="005316F9"/>
    <w:rsid w:val="00531CC5"/>
    <w:rsid w:val="00531FB3"/>
    <w:rsid w:val="005334A1"/>
    <w:rsid w:val="005334AD"/>
    <w:rsid w:val="0053474E"/>
    <w:rsid w:val="00534C60"/>
    <w:rsid w:val="005357CF"/>
    <w:rsid w:val="00535EE5"/>
    <w:rsid w:val="0053788D"/>
    <w:rsid w:val="00541AD8"/>
    <w:rsid w:val="00542096"/>
    <w:rsid w:val="00542456"/>
    <w:rsid w:val="00542899"/>
    <w:rsid w:val="005430E7"/>
    <w:rsid w:val="005434CA"/>
    <w:rsid w:val="00543B51"/>
    <w:rsid w:val="00543DCA"/>
    <w:rsid w:val="00544556"/>
    <w:rsid w:val="00546003"/>
    <w:rsid w:val="005462CE"/>
    <w:rsid w:val="00546586"/>
    <w:rsid w:val="005477F5"/>
    <w:rsid w:val="005508F9"/>
    <w:rsid w:val="00550FBC"/>
    <w:rsid w:val="00551184"/>
    <w:rsid w:val="00551212"/>
    <w:rsid w:val="00551D97"/>
    <w:rsid w:val="0055237D"/>
    <w:rsid w:val="0055308A"/>
    <w:rsid w:val="00553198"/>
    <w:rsid w:val="005531DD"/>
    <w:rsid w:val="00553304"/>
    <w:rsid w:val="005538F9"/>
    <w:rsid w:val="00553C09"/>
    <w:rsid w:val="0055409E"/>
    <w:rsid w:val="0055506F"/>
    <w:rsid w:val="00556DBB"/>
    <w:rsid w:val="005572E0"/>
    <w:rsid w:val="00561D63"/>
    <w:rsid w:val="005627C8"/>
    <w:rsid w:val="005629EF"/>
    <w:rsid w:val="00562AFF"/>
    <w:rsid w:val="005658E4"/>
    <w:rsid w:val="00567C7D"/>
    <w:rsid w:val="00567CFD"/>
    <w:rsid w:val="005704B1"/>
    <w:rsid w:val="00570CF9"/>
    <w:rsid w:val="00570D6C"/>
    <w:rsid w:val="005716BE"/>
    <w:rsid w:val="005728E4"/>
    <w:rsid w:val="00572F63"/>
    <w:rsid w:val="00572F8C"/>
    <w:rsid w:val="005737F9"/>
    <w:rsid w:val="00573E65"/>
    <w:rsid w:val="00573FC8"/>
    <w:rsid w:val="00574514"/>
    <w:rsid w:val="005747D3"/>
    <w:rsid w:val="00575657"/>
    <w:rsid w:val="00577896"/>
    <w:rsid w:val="00577ABC"/>
    <w:rsid w:val="00577DBA"/>
    <w:rsid w:val="00580CFB"/>
    <w:rsid w:val="005810E8"/>
    <w:rsid w:val="00581FB2"/>
    <w:rsid w:val="00583838"/>
    <w:rsid w:val="00583FB1"/>
    <w:rsid w:val="00584C49"/>
    <w:rsid w:val="00584E80"/>
    <w:rsid w:val="0058638E"/>
    <w:rsid w:val="00587D0F"/>
    <w:rsid w:val="005903FC"/>
    <w:rsid w:val="005905B2"/>
    <w:rsid w:val="00591165"/>
    <w:rsid w:val="00592FF4"/>
    <w:rsid w:val="005932E9"/>
    <w:rsid w:val="0059338D"/>
    <w:rsid w:val="005939A5"/>
    <w:rsid w:val="005940FC"/>
    <w:rsid w:val="0059623D"/>
    <w:rsid w:val="00596C4A"/>
    <w:rsid w:val="00597838"/>
    <w:rsid w:val="005A01AE"/>
    <w:rsid w:val="005A05D6"/>
    <w:rsid w:val="005A162C"/>
    <w:rsid w:val="005A1D99"/>
    <w:rsid w:val="005A2CB5"/>
    <w:rsid w:val="005A2D8E"/>
    <w:rsid w:val="005A30D6"/>
    <w:rsid w:val="005A3238"/>
    <w:rsid w:val="005A35B1"/>
    <w:rsid w:val="005A3D2F"/>
    <w:rsid w:val="005A5A3C"/>
    <w:rsid w:val="005A5F8D"/>
    <w:rsid w:val="005A60C6"/>
    <w:rsid w:val="005A6722"/>
    <w:rsid w:val="005A6768"/>
    <w:rsid w:val="005A78D2"/>
    <w:rsid w:val="005B0458"/>
    <w:rsid w:val="005B1BC4"/>
    <w:rsid w:val="005B21AC"/>
    <w:rsid w:val="005B2696"/>
    <w:rsid w:val="005B35C8"/>
    <w:rsid w:val="005B3A47"/>
    <w:rsid w:val="005B598C"/>
    <w:rsid w:val="005B59BC"/>
    <w:rsid w:val="005B59C4"/>
    <w:rsid w:val="005B6D5B"/>
    <w:rsid w:val="005B7158"/>
    <w:rsid w:val="005B773E"/>
    <w:rsid w:val="005B7DF8"/>
    <w:rsid w:val="005C00ED"/>
    <w:rsid w:val="005C08C6"/>
    <w:rsid w:val="005C0D26"/>
    <w:rsid w:val="005C18BB"/>
    <w:rsid w:val="005C218C"/>
    <w:rsid w:val="005C23A1"/>
    <w:rsid w:val="005C291A"/>
    <w:rsid w:val="005C596A"/>
    <w:rsid w:val="005C5BF3"/>
    <w:rsid w:val="005C640B"/>
    <w:rsid w:val="005C7780"/>
    <w:rsid w:val="005D0350"/>
    <w:rsid w:val="005D07D3"/>
    <w:rsid w:val="005D152F"/>
    <w:rsid w:val="005D2370"/>
    <w:rsid w:val="005D2409"/>
    <w:rsid w:val="005D2709"/>
    <w:rsid w:val="005D2CDC"/>
    <w:rsid w:val="005D5049"/>
    <w:rsid w:val="005D6062"/>
    <w:rsid w:val="005D685A"/>
    <w:rsid w:val="005D68D4"/>
    <w:rsid w:val="005E0227"/>
    <w:rsid w:val="005E18C5"/>
    <w:rsid w:val="005E281B"/>
    <w:rsid w:val="005E2906"/>
    <w:rsid w:val="005E4468"/>
    <w:rsid w:val="005E4EA3"/>
    <w:rsid w:val="005E6FC3"/>
    <w:rsid w:val="005E739B"/>
    <w:rsid w:val="005F0165"/>
    <w:rsid w:val="005F12D2"/>
    <w:rsid w:val="005F1602"/>
    <w:rsid w:val="005F1625"/>
    <w:rsid w:val="005F16F0"/>
    <w:rsid w:val="005F2157"/>
    <w:rsid w:val="005F2A0F"/>
    <w:rsid w:val="005F2D00"/>
    <w:rsid w:val="005F3C29"/>
    <w:rsid w:val="005F3C9C"/>
    <w:rsid w:val="005F51BD"/>
    <w:rsid w:val="005F5358"/>
    <w:rsid w:val="005F614F"/>
    <w:rsid w:val="005F6E0A"/>
    <w:rsid w:val="00600311"/>
    <w:rsid w:val="00600340"/>
    <w:rsid w:val="00602C89"/>
    <w:rsid w:val="00603E84"/>
    <w:rsid w:val="00604C57"/>
    <w:rsid w:val="00605AEB"/>
    <w:rsid w:val="0060672A"/>
    <w:rsid w:val="00606745"/>
    <w:rsid w:val="006067FE"/>
    <w:rsid w:val="0061074D"/>
    <w:rsid w:val="00610880"/>
    <w:rsid w:val="006112E5"/>
    <w:rsid w:val="00611F2C"/>
    <w:rsid w:val="00612836"/>
    <w:rsid w:val="0061390B"/>
    <w:rsid w:val="00614454"/>
    <w:rsid w:val="00614ADA"/>
    <w:rsid w:val="00615D33"/>
    <w:rsid w:val="00617705"/>
    <w:rsid w:val="00621D29"/>
    <w:rsid w:val="006224D8"/>
    <w:rsid w:val="00622A2D"/>
    <w:rsid w:val="00622A3A"/>
    <w:rsid w:val="00622C55"/>
    <w:rsid w:val="006232BB"/>
    <w:rsid w:val="00624857"/>
    <w:rsid w:val="006259A5"/>
    <w:rsid w:val="00625CFC"/>
    <w:rsid w:val="00625EB7"/>
    <w:rsid w:val="00626FA7"/>
    <w:rsid w:val="00627463"/>
    <w:rsid w:val="00627A8E"/>
    <w:rsid w:val="00630128"/>
    <w:rsid w:val="00630301"/>
    <w:rsid w:val="006308D3"/>
    <w:rsid w:val="00630AD6"/>
    <w:rsid w:val="00630F46"/>
    <w:rsid w:val="0063155B"/>
    <w:rsid w:val="006318FB"/>
    <w:rsid w:val="006324F2"/>
    <w:rsid w:val="00632CD9"/>
    <w:rsid w:val="00633761"/>
    <w:rsid w:val="00634EA1"/>
    <w:rsid w:val="006359F4"/>
    <w:rsid w:val="00635AE7"/>
    <w:rsid w:val="006362FC"/>
    <w:rsid w:val="00636495"/>
    <w:rsid w:val="00636743"/>
    <w:rsid w:val="00636833"/>
    <w:rsid w:val="00641479"/>
    <w:rsid w:val="00641A82"/>
    <w:rsid w:val="00641E8A"/>
    <w:rsid w:val="00643EC4"/>
    <w:rsid w:val="0064458D"/>
    <w:rsid w:val="00644877"/>
    <w:rsid w:val="006453CF"/>
    <w:rsid w:val="00646178"/>
    <w:rsid w:val="00646418"/>
    <w:rsid w:val="006470C5"/>
    <w:rsid w:val="00647399"/>
    <w:rsid w:val="00647902"/>
    <w:rsid w:val="00650119"/>
    <w:rsid w:val="0065127A"/>
    <w:rsid w:val="00652496"/>
    <w:rsid w:val="006526FA"/>
    <w:rsid w:val="00653394"/>
    <w:rsid w:val="00654DC3"/>
    <w:rsid w:val="006557D7"/>
    <w:rsid w:val="00655B83"/>
    <w:rsid w:val="00655C3C"/>
    <w:rsid w:val="00656407"/>
    <w:rsid w:val="0065704C"/>
    <w:rsid w:val="006572B6"/>
    <w:rsid w:val="006601CE"/>
    <w:rsid w:val="00660825"/>
    <w:rsid w:val="00661454"/>
    <w:rsid w:val="006617FE"/>
    <w:rsid w:val="00661DDA"/>
    <w:rsid w:val="006621C9"/>
    <w:rsid w:val="00662268"/>
    <w:rsid w:val="006634A7"/>
    <w:rsid w:val="00665A4B"/>
    <w:rsid w:val="00666210"/>
    <w:rsid w:val="0066663A"/>
    <w:rsid w:val="00666855"/>
    <w:rsid w:val="006679F2"/>
    <w:rsid w:val="00667D22"/>
    <w:rsid w:val="0067059F"/>
    <w:rsid w:val="0067062C"/>
    <w:rsid w:val="006707A3"/>
    <w:rsid w:val="0067106F"/>
    <w:rsid w:val="00671DBD"/>
    <w:rsid w:val="006730AC"/>
    <w:rsid w:val="006749F0"/>
    <w:rsid w:val="00674EEC"/>
    <w:rsid w:val="00675151"/>
    <w:rsid w:val="00676722"/>
    <w:rsid w:val="0067704A"/>
    <w:rsid w:val="00677494"/>
    <w:rsid w:val="00677A19"/>
    <w:rsid w:val="00677ECB"/>
    <w:rsid w:val="006813DD"/>
    <w:rsid w:val="006816F2"/>
    <w:rsid w:val="006819F9"/>
    <w:rsid w:val="00681E91"/>
    <w:rsid w:val="00682584"/>
    <w:rsid w:val="00684FF2"/>
    <w:rsid w:val="00685D19"/>
    <w:rsid w:val="00686869"/>
    <w:rsid w:val="0068686D"/>
    <w:rsid w:val="0068698D"/>
    <w:rsid w:val="0068772A"/>
    <w:rsid w:val="00687A0B"/>
    <w:rsid w:val="006900DD"/>
    <w:rsid w:val="00690F03"/>
    <w:rsid w:val="00690F50"/>
    <w:rsid w:val="00692B31"/>
    <w:rsid w:val="0069341C"/>
    <w:rsid w:val="00693487"/>
    <w:rsid w:val="00694776"/>
    <w:rsid w:val="00694ABC"/>
    <w:rsid w:val="00695177"/>
    <w:rsid w:val="006952F5"/>
    <w:rsid w:val="00697719"/>
    <w:rsid w:val="00697F22"/>
    <w:rsid w:val="006A056C"/>
    <w:rsid w:val="006A08D2"/>
    <w:rsid w:val="006A1BFB"/>
    <w:rsid w:val="006A1D39"/>
    <w:rsid w:val="006A218F"/>
    <w:rsid w:val="006A2FE6"/>
    <w:rsid w:val="006A35B2"/>
    <w:rsid w:val="006A378B"/>
    <w:rsid w:val="006A421E"/>
    <w:rsid w:val="006A674C"/>
    <w:rsid w:val="006A6AAA"/>
    <w:rsid w:val="006A7683"/>
    <w:rsid w:val="006A76BC"/>
    <w:rsid w:val="006B017B"/>
    <w:rsid w:val="006B02AB"/>
    <w:rsid w:val="006B069A"/>
    <w:rsid w:val="006B13FC"/>
    <w:rsid w:val="006B15CE"/>
    <w:rsid w:val="006B1AD6"/>
    <w:rsid w:val="006B2565"/>
    <w:rsid w:val="006B34BB"/>
    <w:rsid w:val="006B4E1C"/>
    <w:rsid w:val="006B59A0"/>
    <w:rsid w:val="006B5B26"/>
    <w:rsid w:val="006B5CAA"/>
    <w:rsid w:val="006B5D67"/>
    <w:rsid w:val="006B6570"/>
    <w:rsid w:val="006C0CE0"/>
    <w:rsid w:val="006C1647"/>
    <w:rsid w:val="006C1784"/>
    <w:rsid w:val="006C2072"/>
    <w:rsid w:val="006C2ABA"/>
    <w:rsid w:val="006C34B9"/>
    <w:rsid w:val="006C3DC0"/>
    <w:rsid w:val="006C454F"/>
    <w:rsid w:val="006C48BB"/>
    <w:rsid w:val="006C5021"/>
    <w:rsid w:val="006C5C73"/>
    <w:rsid w:val="006C6499"/>
    <w:rsid w:val="006C7ECB"/>
    <w:rsid w:val="006D05FA"/>
    <w:rsid w:val="006D0CE1"/>
    <w:rsid w:val="006D117A"/>
    <w:rsid w:val="006D174B"/>
    <w:rsid w:val="006D1AE6"/>
    <w:rsid w:val="006D3B57"/>
    <w:rsid w:val="006D4CC9"/>
    <w:rsid w:val="006D54D9"/>
    <w:rsid w:val="006D5524"/>
    <w:rsid w:val="006D5FFD"/>
    <w:rsid w:val="006D61F7"/>
    <w:rsid w:val="006D63DC"/>
    <w:rsid w:val="006D65E8"/>
    <w:rsid w:val="006D7BAE"/>
    <w:rsid w:val="006E1207"/>
    <w:rsid w:val="006E13AB"/>
    <w:rsid w:val="006E1DCF"/>
    <w:rsid w:val="006E20DE"/>
    <w:rsid w:val="006E211F"/>
    <w:rsid w:val="006E2516"/>
    <w:rsid w:val="006E2847"/>
    <w:rsid w:val="006E3054"/>
    <w:rsid w:val="006E3D15"/>
    <w:rsid w:val="006E3DFE"/>
    <w:rsid w:val="006E3FCB"/>
    <w:rsid w:val="006E5789"/>
    <w:rsid w:val="006E57D2"/>
    <w:rsid w:val="006E5B03"/>
    <w:rsid w:val="006E61B7"/>
    <w:rsid w:val="006E6632"/>
    <w:rsid w:val="006E6C65"/>
    <w:rsid w:val="006E6E88"/>
    <w:rsid w:val="006E6F89"/>
    <w:rsid w:val="006E749A"/>
    <w:rsid w:val="006F0E5A"/>
    <w:rsid w:val="006F1862"/>
    <w:rsid w:val="006F42AC"/>
    <w:rsid w:val="006F543F"/>
    <w:rsid w:val="006F7AB5"/>
    <w:rsid w:val="006F7F9E"/>
    <w:rsid w:val="007012E9"/>
    <w:rsid w:val="00701E2D"/>
    <w:rsid w:val="00702985"/>
    <w:rsid w:val="007029E2"/>
    <w:rsid w:val="00702D17"/>
    <w:rsid w:val="00703229"/>
    <w:rsid w:val="00703704"/>
    <w:rsid w:val="00703FBD"/>
    <w:rsid w:val="00705125"/>
    <w:rsid w:val="0070532D"/>
    <w:rsid w:val="00705DF3"/>
    <w:rsid w:val="00705EC9"/>
    <w:rsid w:val="007067C8"/>
    <w:rsid w:val="00706801"/>
    <w:rsid w:val="00706985"/>
    <w:rsid w:val="007076C2"/>
    <w:rsid w:val="0071062D"/>
    <w:rsid w:val="007110C5"/>
    <w:rsid w:val="007115B5"/>
    <w:rsid w:val="007120A6"/>
    <w:rsid w:val="00712239"/>
    <w:rsid w:val="00712914"/>
    <w:rsid w:val="0071465F"/>
    <w:rsid w:val="00714FC1"/>
    <w:rsid w:val="0071565C"/>
    <w:rsid w:val="0071588C"/>
    <w:rsid w:val="007158E3"/>
    <w:rsid w:val="00716AAE"/>
    <w:rsid w:val="00717697"/>
    <w:rsid w:val="007176C6"/>
    <w:rsid w:val="0072070E"/>
    <w:rsid w:val="00721169"/>
    <w:rsid w:val="00721215"/>
    <w:rsid w:val="00721507"/>
    <w:rsid w:val="007218CC"/>
    <w:rsid w:val="00723201"/>
    <w:rsid w:val="00723326"/>
    <w:rsid w:val="007242D9"/>
    <w:rsid w:val="00724329"/>
    <w:rsid w:val="0072438B"/>
    <w:rsid w:val="0072495B"/>
    <w:rsid w:val="00724A59"/>
    <w:rsid w:val="00725156"/>
    <w:rsid w:val="007253AD"/>
    <w:rsid w:val="007265A3"/>
    <w:rsid w:val="00726A8A"/>
    <w:rsid w:val="00726E98"/>
    <w:rsid w:val="007273AB"/>
    <w:rsid w:val="007273C2"/>
    <w:rsid w:val="00730181"/>
    <w:rsid w:val="00731ECD"/>
    <w:rsid w:val="0073267E"/>
    <w:rsid w:val="00732BCF"/>
    <w:rsid w:val="0073464C"/>
    <w:rsid w:val="00734959"/>
    <w:rsid w:val="00735287"/>
    <w:rsid w:val="0073643D"/>
    <w:rsid w:val="0073680F"/>
    <w:rsid w:val="00736AED"/>
    <w:rsid w:val="00737036"/>
    <w:rsid w:val="007406B9"/>
    <w:rsid w:val="00741662"/>
    <w:rsid w:val="0074235B"/>
    <w:rsid w:val="00742642"/>
    <w:rsid w:val="00743771"/>
    <w:rsid w:val="0074539F"/>
    <w:rsid w:val="007454BE"/>
    <w:rsid w:val="007458BE"/>
    <w:rsid w:val="007468E6"/>
    <w:rsid w:val="00746BAD"/>
    <w:rsid w:val="00747566"/>
    <w:rsid w:val="007503C2"/>
    <w:rsid w:val="00750904"/>
    <w:rsid w:val="0075157C"/>
    <w:rsid w:val="00752293"/>
    <w:rsid w:val="00754919"/>
    <w:rsid w:val="00754DC4"/>
    <w:rsid w:val="007554CF"/>
    <w:rsid w:val="007557A9"/>
    <w:rsid w:val="00755B9B"/>
    <w:rsid w:val="00756A41"/>
    <w:rsid w:val="00757204"/>
    <w:rsid w:val="00757F0C"/>
    <w:rsid w:val="0076007F"/>
    <w:rsid w:val="0076089D"/>
    <w:rsid w:val="00761D20"/>
    <w:rsid w:val="00761D63"/>
    <w:rsid w:val="0076222C"/>
    <w:rsid w:val="00762B17"/>
    <w:rsid w:val="00763485"/>
    <w:rsid w:val="007645E1"/>
    <w:rsid w:val="00764E20"/>
    <w:rsid w:val="00764E6A"/>
    <w:rsid w:val="00766184"/>
    <w:rsid w:val="00766643"/>
    <w:rsid w:val="0076760C"/>
    <w:rsid w:val="00767793"/>
    <w:rsid w:val="00767E56"/>
    <w:rsid w:val="00772AEA"/>
    <w:rsid w:val="00772FA1"/>
    <w:rsid w:val="00773F71"/>
    <w:rsid w:val="00774795"/>
    <w:rsid w:val="007749EF"/>
    <w:rsid w:val="00774C32"/>
    <w:rsid w:val="007755D2"/>
    <w:rsid w:val="007758D5"/>
    <w:rsid w:val="00775961"/>
    <w:rsid w:val="00776C25"/>
    <w:rsid w:val="00776C82"/>
    <w:rsid w:val="00776CE7"/>
    <w:rsid w:val="00777C1C"/>
    <w:rsid w:val="00777D8A"/>
    <w:rsid w:val="00777F26"/>
    <w:rsid w:val="00777F7F"/>
    <w:rsid w:val="007800CF"/>
    <w:rsid w:val="007804CE"/>
    <w:rsid w:val="007807F6"/>
    <w:rsid w:val="00781320"/>
    <w:rsid w:val="00781624"/>
    <w:rsid w:val="007823F2"/>
    <w:rsid w:val="00782D2A"/>
    <w:rsid w:val="00783943"/>
    <w:rsid w:val="00783D58"/>
    <w:rsid w:val="00784864"/>
    <w:rsid w:val="00785E18"/>
    <w:rsid w:val="00786028"/>
    <w:rsid w:val="007870D5"/>
    <w:rsid w:val="00787B1F"/>
    <w:rsid w:val="00787C96"/>
    <w:rsid w:val="0079022C"/>
    <w:rsid w:val="00791BD9"/>
    <w:rsid w:val="007924E5"/>
    <w:rsid w:val="007927FE"/>
    <w:rsid w:val="00793476"/>
    <w:rsid w:val="007935F6"/>
    <w:rsid w:val="007939A1"/>
    <w:rsid w:val="00793C9B"/>
    <w:rsid w:val="00793CAB"/>
    <w:rsid w:val="00793ED8"/>
    <w:rsid w:val="00795135"/>
    <w:rsid w:val="007961B4"/>
    <w:rsid w:val="0079737D"/>
    <w:rsid w:val="00797CDA"/>
    <w:rsid w:val="00797D81"/>
    <w:rsid w:val="007A2463"/>
    <w:rsid w:val="007A2541"/>
    <w:rsid w:val="007A255D"/>
    <w:rsid w:val="007A359D"/>
    <w:rsid w:val="007A36D2"/>
    <w:rsid w:val="007A3F95"/>
    <w:rsid w:val="007A50CD"/>
    <w:rsid w:val="007A57C7"/>
    <w:rsid w:val="007A60A0"/>
    <w:rsid w:val="007A638E"/>
    <w:rsid w:val="007A63D9"/>
    <w:rsid w:val="007A7024"/>
    <w:rsid w:val="007A7A35"/>
    <w:rsid w:val="007A7A4C"/>
    <w:rsid w:val="007A7AC7"/>
    <w:rsid w:val="007B02E2"/>
    <w:rsid w:val="007B0E25"/>
    <w:rsid w:val="007B1185"/>
    <w:rsid w:val="007B17D0"/>
    <w:rsid w:val="007B201B"/>
    <w:rsid w:val="007B2EC8"/>
    <w:rsid w:val="007B3B8B"/>
    <w:rsid w:val="007B3CCC"/>
    <w:rsid w:val="007C02AE"/>
    <w:rsid w:val="007C05D8"/>
    <w:rsid w:val="007C2625"/>
    <w:rsid w:val="007C34BC"/>
    <w:rsid w:val="007C40A4"/>
    <w:rsid w:val="007C5580"/>
    <w:rsid w:val="007C5B5B"/>
    <w:rsid w:val="007C5C6F"/>
    <w:rsid w:val="007C621D"/>
    <w:rsid w:val="007C6380"/>
    <w:rsid w:val="007C63DB"/>
    <w:rsid w:val="007C69B6"/>
    <w:rsid w:val="007C6E1A"/>
    <w:rsid w:val="007C79C0"/>
    <w:rsid w:val="007D00DF"/>
    <w:rsid w:val="007D0802"/>
    <w:rsid w:val="007D0DD0"/>
    <w:rsid w:val="007D2228"/>
    <w:rsid w:val="007D2A1B"/>
    <w:rsid w:val="007D341F"/>
    <w:rsid w:val="007D4408"/>
    <w:rsid w:val="007D4EE8"/>
    <w:rsid w:val="007D5A3F"/>
    <w:rsid w:val="007D5D01"/>
    <w:rsid w:val="007D5D51"/>
    <w:rsid w:val="007D6216"/>
    <w:rsid w:val="007D69AB"/>
    <w:rsid w:val="007D6E33"/>
    <w:rsid w:val="007E0400"/>
    <w:rsid w:val="007E12DD"/>
    <w:rsid w:val="007E282B"/>
    <w:rsid w:val="007E4F7B"/>
    <w:rsid w:val="007E594D"/>
    <w:rsid w:val="007E5965"/>
    <w:rsid w:val="007E5B82"/>
    <w:rsid w:val="007E7A85"/>
    <w:rsid w:val="007E7BEB"/>
    <w:rsid w:val="007F05E1"/>
    <w:rsid w:val="007F0BB7"/>
    <w:rsid w:val="007F0D55"/>
    <w:rsid w:val="007F1386"/>
    <w:rsid w:val="007F2AA8"/>
    <w:rsid w:val="007F30B0"/>
    <w:rsid w:val="007F6C5E"/>
    <w:rsid w:val="007F7AF5"/>
    <w:rsid w:val="008011ED"/>
    <w:rsid w:val="008011F5"/>
    <w:rsid w:val="008014B5"/>
    <w:rsid w:val="00801D7B"/>
    <w:rsid w:val="00802089"/>
    <w:rsid w:val="00802234"/>
    <w:rsid w:val="0080268D"/>
    <w:rsid w:val="008028E7"/>
    <w:rsid w:val="00802BB6"/>
    <w:rsid w:val="00802FBB"/>
    <w:rsid w:val="00803D02"/>
    <w:rsid w:val="0080484B"/>
    <w:rsid w:val="008049D5"/>
    <w:rsid w:val="00804EC6"/>
    <w:rsid w:val="008110E7"/>
    <w:rsid w:val="00812D02"/>
    <w:rsid w:val="00812D1C"/>
    <w:rsid w:val="00813249"/>
    <w:rsid w:val="008165F5"/>
    <w:rsid w:val="00820C39"/>
    <w:rsid w:val="00820E5A"/>
    <w:rsid w:val="00820F08"/>
    <w:rsid w:val="00821D76"/>
    <w:rsid w:val="00822F76"/>
    <w:rsid w:val="0082360E"/>
    <w:rsid w:val="008237D9"/>
    <w:rsid w:val="00824B0A"/>
    <w:rsid w:val="00824C5B"/>
    <w:rsid w:val="00824D15"/>
    <w:rsid w:val="00825048"/>
    <w:rsid w:val="00825587"/>
    <w:rsid w:val="00825BB7"/>
    <w:rsid w:val="00826113"/>
    <w:rsid w:val="008275D4"/>
    <w:rsid w:val="00827926"/>
    <w:rsid w:val="00827ACC"/>
    <w:rsid w:val="00827C26"/>
    <w:rsid w:val="00827EDD"/>
    <w:rsid w:val="008302B9"/>
    <w:rsid w:val="0083057A"/>
    <w:rsid w:val="00831E02"/>
    <w:rsid w:val="008321CB"/>
    <w:rsid w:val="00833156"/>
    <w:rsid w:val="00833305"/>
    <w:rsid w:val="008333CB"/>
    <w:rsid w:val="008333DE"/>
    <w:rsid w:val="00833936"/>
    <w:rsid w:val="008346D6"/>
    <w:rsid w:val="00835799"/>
    <w:rsid w:val="00835EC2"/>
    <w:rsid w:val="00836F15"/>
    <w:rsid w:val="008379A9"/>
    <w:rsid w:val="0084003D"/>
    <w:rsid w:val="00840200"/>
    <w:rsid w:val="0084034D"/>
    <w:rsid w:val="008403D3"/>
    <w:rsid w:val="0084047C"/>
    <w:rsid w:val="00840D54"/>
    <w:rsid w:val="00841460"/>
    <w:rsid w:val="008416D7"/>
    <w:rsid w:val="00842BBA"/>
    <w:rsid w:val="0084366A"/>
    <w:rsid w:val="0084383E"/>
    <w:rsid w:val="00844256"/>
    <w:rsid w:val="00845076"/>
    <w:rsid w:val="008456A3"/>
    <w:rsid w:val="00846E50"/>
    <w:rsid w:val="0084746C"/>
    <w:rsid w:val="00847CDE"/>
    <w:rsid w:val="00847D70"/>
    <w:rsid w:val="00850AE4"/>
    <w:rsid w:val="008518F4"/>
    <w:rsid w:val="00852C4E"/>
    <w:rsid w:val="00854EE1"/>
    <w:rsid w:val="008553FF"/>
    <w:rsid w:val="00855A4B"/>
    <w:rsid w:val="00856DBF"/>
    <w:rsid w:val="008575CD"/>
    <w:rsid w:val="00861007"/>
    <w:rsid w:val="008612A6"/>
    <w:rsid w:val="00863763"/>
    <w:rsid w:val="008639F3"/>
    <w:rsid w:val="00863C2F"/>
    <w:rsid w:val="00863C79"/>
    <w:rsid w:val="0086456B"/>
    <w:rsid w:val="008648A6"/>
    <w:rsid w:val="008651CF"/>
    <w:rsid w:val="008669BF"/>
    <w:rsid w:val="008672B2"/>
    <w:rsid w:val="0086745F"/>
    <w:rsid w:val="008676CE"/>
    <w:rsid w:val="00870C8C"/>
    <w:rsid w:val="00870F84"/>
    <w:rsid w:val="0087103F"/>
    <w:rsid w:val="008719B6"/>
    <w:rsid w:val="00873CB9"/>
    <w:rsid w:val="00873E4A"/>
    <w:rsid w:val="008741E6"/>
    <w:rsid w:val="008743F0"/>
    <w:rsid w:val="0087568E"/>
    <w:rsid w:val="00876E82"/>
    <w:rsid w:val="00877A3E"/>
    <w:rsid w:val="0088030C"/>
    <w:rsid w:val="00880C53"/>
    <w:rsid w:val="00880CD4"/>
    <w:rsid w:val="00881418"/>
    <w:rsid w:val="008817A9"/>
    <w:rsid w:val="008817F4"/>
    <w:rsid w:val="00881F92"/>
    <w:rsid w:val="00882526"/>
    <w:rsid w:val="00882D0A"/>
    <w:rsid w:val="00883337"/>
    <w:rsid w:val="00883DD1"/>
    <w:rsid w:val="00884819"/>
    <w:rsid w:val="008849B4"/>
    <w:rsid w:val="008854EE"/>
    <w:rsid w:val="00885C78"/>
    <w:rsid w:val="00885CE4"/>
    <w:rsid w:val="0088793F"/>
    <w:rsid w:val="008906E6"/>
    <w:rsid w:val="0089115F"/>
    <w:rsid w:val="0089140A"/>
    <w:rsid w:val="00892678"/>
    <w:rsid w:val="0089268E"/>
    <w:rsid w:val="0089466E"/>
    <w:rsid w:val="008955F0"/>
    <w:rsid w:val="00896D2F"/>
    <w:rsid w:val="00897485"/>
    <w:rsid w:val="00897A78"/>
    <w:rsid w:val="00897AEF"/>
    <w:rsid w:val="008A0030"/>
    <w:rsid w:val="008A051D"/>
    <w:rsid w:val="008A0B28"/>
    <w:rsid w:val="008A1CD7"/>
    <w:rsid w:val="008A249C"/>
    <w:rsid w:val="008A34FB"/>
    <w:rsid w:val="008A3B30"/>
    <w:rsid w:val="008A3D36"/>
    <w:rsid w:val="008A5DE1"/>
    <w:rsid w:val="008A6229"/>
    <w:rsid w:val="008A6EBB"/>
    <w:rsid w:val="008A7882"/>
    <w:rsid w:val="008B03A3"/>
    <w:rsid w:val="008B0CB9"/>
    <w:rsid w:val="008B119A"/>
    <w:rsid w:val="008B259C"/>
    <w:rsid w:val="008B2C2E"/>
    <w:rsid w:val="008B2F75"/>
    <w:rsid w:val="008B3D75"/>
    <w:rsid w:val="008B414B"/>
    <w:rsid w:val="008B49D7"/>
    <w:rsid w:val="008B7253"/>
    <w:rsid w:val="008C0CCF"/>
    <w:rsid w:val="008C1432"/>
    <w:rsid w:val="008C17C3"/>
    <w:rsid w:val="008C2054"/>
    <w:rsid w:val="008C23C4"/>
    <w:rsid w:val="008C23EA"/>
    <w:rsid w:val="008C254D"/>
    <w:rsid w:val="008C272C"/>
    <w:rsid w:val="008C2875"/>
    <w:rsid w:val="008C2A0B"/>
    <w:rsid w:val="008C2B4B"/>
    <w:rsid w:val="008C2C78"/>
    <w:rsid w:val="008C30D1"/>
    <w:rsid w:val="008C4E93"/>
    <w:rsid w:val="008C681B"/>
    <w:rsid w:val="008C6EEA"/>
    <w:rsid w:val="008C7535"/>
    <w:rsid w:val="008C7E05"/>
    <w:rsid w:val="008D03D0"/>
    <w:rsid w:val="008D3A68"/>
    <w:rsid w:val="008D629D"/>
    <w:rsid w:val="008D6691"/>
    <w:rsid w:val="008D6709"/>
    <w:rsid w:val="008D7141"/>
    <w:rsid w:val="008D7B97"/>
    <w:rsid w:val="008D7EAE"/>
    <w:rsid w:val="008E1452"/>
    <w:rsid w:val="008E1507"/>
    <w:rsid w:val="008E3429"/>
    <w:rsid w:val="008E34B2"/>
    <w:rsid w:val="008E3C7F"/>
    <w:rsid w:val="008E5226"/>
    <w:rsid w:val="008E54AB"/>
    <w:rsid w:val="008E573C"/>
    <w:rsid w:val="008E6A83"/>
    <w:rsid w:val="008E7CEA"/>
    <w:rsid w:val="008F0B4F"/>
    <w:rsid w:val="008F0E6F"/>
    <w:rsid w:val="008F13CA"/>
    <w:rsid w:val="008F1B20"/>
    <w:rsid w:val="008F22F7"/>
    <w:rsid w:val="008F23C0"/>
    <w:rsid w:val="008F2422"/>
    <w:rsid w:val="008F3152"/>
    <w:rsid w:val="008F3B62"/>
    <w:rsid w:val="008F4969"/>
    <w:rsid w:val="008F519B"/>
    <w:rsid w:val="008F55CF"/>
    <w:rsid w:val="008F5807"/>
    <w:rsid w:val="008F7222"/>
    <w:rsid w:val="008F7303"/>
    <w:rsid w:val="008F7659"/>
    <w:rsid w:val="008F7742"/>
    <w:rsid w:val="009026A1"/>
    <w:rsid w:val="009026F2"/>
    <w:rsid w:val="009042E6"/>
    <w:rsid w:val="009043A1"/>
    <w:rsid w:val="009058C0"/>
    <w:rsid w:val="00905DBE"/>
    <w:rsid w:val="00906A18"/>
    <w:rsid w:val="00907A61"/>
    <w:rsid w:val="00907ED1"/>
    <w:rsid w:val="00910602"/>
    <w:rsid w:val="00910691"/>
    <w:rsid w:val="00911717"/>
    <w:rsid w:val="00911E97"/>
    <w:rsid w:val="00911F08"/>
    <w:rsid w:val="00912083"/>
    <w:rsid w:val="00912129"/>
    <w:rsid w:val="0091227E"/>
    <w:rsid w:val="00912574"/>
    <w:rsid w:val="009130DD"/>
    <w:rsid w:val="009148B3"/>
    <w:rsid w:val="00914C90"/>
    <w:rsid w:val="00915735"/>
    <w:rsid w:val="00915B6B"/>
    <w:rsid w:val="00916455"/>
    <w:rsid w:val="0091771E"/>
    <w:rsid w:val="0091771F"/>
    <w:rsid w:val="009205F0"/>
    <w:rsid w:val="00920CF0"/>
    <w:rsid w:val="00921131"/>
    <w:rsid w:val="00921EAA"/>
    <w:rsid w:val="00922E4F"/>
    <w:rsid w:val="00923238"/>
    <w:rsid w:val="00923CD9"/>
    <w:rsid w:val="00925A0A"/>
    <w:rsid w:val="00925CB4"/>
    <w:rsid w:val="00926808"/>
    <w:rsid w:val="00926832"/>
    <w:rsid w:val="00926928"/>
    <w:rsid w:val="0092764E"/>
    <w:rsid w:val="00930E4C"/>
    <w:rsid w:val="009313A8"/>
    <w:rsid w:val="00932C5A"/>
    <w:rsid w:val="00932C94"/>
    <w:rsid w:val="00933364"/>
    <w:rsid w:val="009345A3"/>
    <w:rsid w:val="00934D4A"/>
    <w:rsid w:val="00934F57"/>
    <w:rsid w:val="009362C9"/>
    <w:rsid w:val="00937138"/>
    <w:rsid w:val="00937544"/>
    <w:rsid w:val="009377D5"/>
    <w:rsid w:val="00937B11"/>
    <w:rsid w:val="00937E8A"/>
    <w:rsid w:val="00941257"/>
    <w:rsid w:val="00943EE3"/>
    <w:rsid w:val="00944D3C"/>
    <w:rsid w:val="00944FC6"/>
    <w:rsid w:val="00945E3A"/>
    <w:rsid w:val="00946366"/>
    <w:rsid w:val="009464E8"/>
    <w:rsid w:val="00946A82"/>
    <w:rsid w:val="00947198"/>
    <w:rsid w:val="00947471"/>
    <w:rsid w:val="00950C07"/>
    <w:rsid w:val="00950F88"/>
    <w:rsid w:val="00951228"/>
    <w:rsid w:val="009512E5"/>
    <w:rsid w:val="009513AD"/>
    <w:rsid w:val="0095142D"/>
    <w:rsid w:val="00952222"/>
    <w:rsid w:val="00953838"/>
    <w:rsid w:val="00953F3E"/>
    <w:rsid w:val="0095414F"/>
    <w:rsid w:val="00954411"/>
    <w:rsid w:val="00954C6B"/>
    <w:rsid w:val="00954E76"/>
    <w:rsid w:val="009560B2"/>
    <w:rsid w:val="0095632A"/>
    <w:rsid w:val="00956438"/>
    <w:rsid w:val="00956630"/>
    <w:rsid w:val="009567B2"/>
    <w:rsid w:val="009576C2"/>
    <w:rsid w:val="00957901"/>
    <w:rsid w:val="009600A0"/>
    <w:rsid w:val="0096024F"/>
    <w:rsid w:val="009606E7"/>
    <w:rsid w:val="00961590"/>
    <w:rsid w:val="00961EC8"/>
    <w:rsid w:val="009621DD"/>
    <w:rsid w:val="00962342"/>
    <w:rsid w:val="009626F4"/>
    <w:rsid w:val="00962703"/>
    <w:rsid w:val="00962987"/>
    <w:rsid w:val="00964137"/>
    <w:rsid w:val="00964AB1"/>
    <w:rsid w:val="009675AA"/>
    <w:rsid w:val="0096765A"/>
    <w:rsid w:val="00970D2D"/>
    <w:rsid w:val="00970EC0"/>
    <w:rsid w:val="0097118C"/>
    <w:rsid w:val="009713E0"/>
    <w:rsid w:val="009718EF"/>
    <w:rsid w:val="00971CC6"/>
    <w:rsid w:val="00972C11"/>
    <w:rsid w:val="00972D24"/>
    <w:rsid w:val="0097312C"/>
    <w:rsid w:val="00974455"/>
    <w:rsid w:val="00974C33"/>
    <w:rsid w:val="00975A14"/>
    <w:rsid w:val="00976896"/>
    <w:rsid w:val="0097764A"/>
    <w:rsid w:val="00977D14"/>
    <w:rsid w:val="0098184D"/>
    <w:rsid w:val="00981CC2"/>
    <w:rsid w:val="00981DBA"/>
    <w:rsid w:val="00981F5B"/>
    <w:rsid w:val="00982F4E"/>
    <w:rsid w:val="00983073"/>
    <w:rsid w:val="00983BE0"/>
    <w:rsid w:val="00984227"/>
    <w:rsid w:val="009846C6"/>
    <w:rsid w:val="00984BC9"/>
    <w:rsid w:val="00984FB7"/>
    <w:rsid w:val="009851BA"/>
    <w:rsid w:val="00985A9C"/>
    <w:rsid w:val="00985F22"/>
    <w:rsid w:val="00985F3F"/>
    <w:rsid w:val="00986C47"/>
    <w:rsid w:val="009870F1"/>
    <w:rsid w:val="009872F3"/>
    <w:rsid w:val="009874ED"/>
    <w:rsid w:val="00987A40"/>
    <w:rsid w:val="0099034B"/>
    <w:rsid w:val="009906F0"/>
    <w:rsid w:val="00991C38"/>
    <w:rsid w:val="00991FF3"/>
    <w:rsid w:val="0099258E"/>
    <w:rsid w:val="00992EA8"/>
    <w:rsid w:val="00992FF1"/>
    <w:rsid w:val="009930B9"/>
    <w:rsid w:val="00993328"/>
    <w:rsid w:val="009940C6"/>
    <w:rsid w:val="0099419F"/>
    <w:rsid w:val="00996F3A"/>
    <w:rsid w:val="009975CA"/>
    <w:rsid w:val="00997881"/>
    <w:rsid w:val="009A22ED"/>
    <w:rsid w:val="009A4282"/>
    <w:rsid w:val="009A49F0"/>
    <w:rsid w:val="009A4D96"/>
    <w:rsid w:val="009A5065"/>
    <w:rsid w:val="009A53E3"/>
    <w:rsid w:val="009A6699"/>
    <w:rsid w:val="009B0A03"/>
    <w:rsid w:val="009B14EF"/>
    <w:rsid w:val="009B1647"/>
    <w:rsid w:val="009B182C"/>
    <w:rsid w:val="009B18C2"/>
    <w:rsid w:val="009B1BAB"/>
    <w:rsid w:val="009B4D8B"/>
    <w:rsid w:val="009B5DDB"/>
    <w:rsid w:val="009B6451"/>
    <w:rsid w:val="009B6E70"/>
    <w:rsid w:val="009B72C8"/>
    <w:rsid w:val="009B7362"/>
    <w:rsid w:val="009B7471"/>
    <w:rsid w:val="009C1323"/>
    <w:rsid w:val="009C13AD"/>
    <w:rsid w:val="009C1689"/>
    <w:rsid w:val="009C1F88"/>
    <w:rsid w:val="009C21C0"/>
    <w:rsid w:val="009C38D5"/>
    <w:rsid w:val="009C3EAE"/>
    <w:rsid w:val="009C4F1C"/>
    <w:rsid w:val="009C5B69"/>
    <w:rsid w:val="009C5BD3"/>
    <w:rsid w:val="009C6380"/>
    <w:rsid w:val="009C64BA"/>
    <w:rsid w:val="009C6E88"/>
    <w:rsid w:val="009C7A3C"/>
    <w:rsid w:val="009C7F4D"/>
    <w:rsid w:val="009D0F2A"/>
    <w:rsid w:val="009D10C6"/>
    <w:rsid w:val="009D17E2"/>
    <w:rsid w:val="009D1D77"/>
    <w:rsid w:val="009D2411"/>
    <w:rsid w:val="009D2EB8"/>
    <w:rsid w:val="009D3B9E"/>
    <w:rsid w:val="009D3D23"/>
    <w:rsid w:val="009D3D75"/>
    <w:rsid w:val="009D3D92"/>
    <w:rsid w:val="009D48ED"/>
    <w:rsid w:val="009D5E4B"/>
    <w:rsid w:val="009E0285"/>
    <w:rsid w:val="009E0BEB"/>
    <w:rsid w:val="009E0DF0"/>
    <w:rsid w:val="009E2387"/>
    <w:rsid w:val="009E262F"/>
    <w:rsid w:val="009E2AA2"/>
    <w:rsid w:val="009E4979"/>
    <w:rsid w:val="009E4C10"/>
    <w:rsid w:val="009E5A83"/>
    <w:rsid w:val="009E62CB"/>
    <w:rsid w:val="009E6319"/>
    <w:rsid w:val="009E6900"/>
    <w:rsid w:val="009E6ED1"/>
    <w:rsid w:val="009E7D09"/>
    <w:rsid w:val="009F012B"/>
    <w:rsid w:val="009F06E5"/>
    <w:rsid w:val="009F190D"/>
    <w:rsid w:val="009F1D61"/>
    <w:rsid w:val="009F3229"/>
    <w:rsid w:val="009F3678"/>
    <w:rsid w:val="009F3ACD"/>
    <w:rsid w:val="009F50FF"/>
    <w:rsid w:val="009F532F"/>
    <w:rsid w:val="009F5CAF"/>
    <w:rsid w:val="009F6110"/>
    <w:rsid w:val="009F6149"/>
    <w:rsid w:val="009F6B26"/>
    <w:rsid w:val="009F6D94"/>
    <w:rsid w:val="009F7615"/>
    <w:rsid w:val="009F7D17"/>
    <w:rsid w:val="009F7F0C"/>
    <w:rsid w:val="00A001DE"/>
    <w:rsid w:val="00A00B6E"/>
    <w:rsid w:val="00A011ED"/>
    <w:rsid w:val="00A01D84"/>
    <w:rsid w:val="00A01E10"/>
    <w:rsid w:val="00A024A2"/>
    <w:rsid w:val="00A024A8"/>
    <w:rsid w:val="00A026A1"/>
    <w:rsid w:val="00A039F9"/>
    <w:rsid w:val="00A04428"/>
    <w:rsid w:val="00A04645"/>
    <w:rsid w:val="00A11248"/>
    <w:rsid w:val="00A115F5"/>
    <w:rsid w:val="00A12CCC"/>
    <w:rsid w:val="00A1310F"/>
    <w:rsid w:val="00A13BCC"/>
    <w:rsid w:val="00A153DD"/>
    <w:rsid w:val="00A1551D"/>
    <w:rsid w:val="00A16FB2"/>
    <w:rsid w:val="00A20734"/>
    <w:rsid w:val="00A227E0"/>
    <w:rsid w:val="00A22E02"/>
    <w:rsid w:val="00A231B6"/>
    <w:rsid w:val="00A23327"/>
    <w:rsid w:val="00A242BD"/>
    <w:rsid w:val="00A243A0"/>
    <w:rsid w:val="00A24640"/>
    <w:rsid w:val="00A24E4B"/>
    <w:rsid w:val="00A25387"/>
    <w:rsid w:val="00A2601D"/>
    <w:rsid w:val="00A269CD"/>
    <w:rsid w:val="00A26DA6"/>
    <w:rsid w:val="00A27214"/>
    <w:rsid w:val="00A27789"/>
    <w:rsid w:val="00A30784"/>
    <w:rsid w:val="00A307BC"/>
    <w:rsid w:val="00A30D2E"/>
    <w:rsid w:val="00A310C7"/>
    <w:rsid w:val="00A3201A"/>
    <w:rsid w:val="00A331E4"/>
    <w:rsid w:val="00A34775"/>
    <w:rsid w:val="00A35EF9"/>
    <w:rsid w:val="00A3679A"/>
    <w:rsid w:val="00A36990"/>
    <w:rsid w:val="00A40025"/>
    <w:rsid w:val="00A411A1"/>
    <w:rsid w:val="00A4151B"/>
    <w:rsid w:val="00A419CE"/>
    <w:rsid w:val="00A41C4B"/>
    <w:rsid w:val="00A422DB"/>
    <w:rsid w:val="00A426B2"/>
    <w:rsid w:val="00A43C4C"/>
    <w:rsid w:val="00A43DB9"/>
    <w:rsid w:val="00A44737"/>
    <w:rsid w:val="00A44937"/>
    <w:rsid w:val="00A45395"/>
    <w:rsid w:val="00A4637B"/>
    <w:rsid w:val="00A473A4"/>
    <w:rsid w:val="00A4767C"/>
    <w:rsid w:val="00A5005E"/>
    <w:rsid w:val="00A51132"/>
    <w:rsid w:val="00A51A1E"/>
    <w:rsid w:val="00A520CC"/>
    <w:rsid w:val="00A52F62"/>
    <w:rsid w:val="00A53575"/>
    <w:rsid w:val="00A53702"/>
    <w:rsid w:val="00A549C9"/>
    <w:rsid w:val="00A5571C"/>
    <w:rsid w:val="00A5611E"/>
    <w:rsid w:val="00A5682B"/>
    <w:rsid w:val="00A61FE7"/>
    <w:rsid w:val="00A62A63"/>
    <w:rsid w:val="00A62C41"/>
    <w:rsid w:val="00A631CE"/>
    <w:rsid w:val="00A63A2D"/>
    <w:rsid w:val="00A63A6E"/>
    <w:rsid w:val="00A63F7E"/>
    <w:rsid w:val="00A64A54"/>
    <w:rsid w:val="00A65F4C"/>
    <w:rsid w:val="00A673FC"/>
    <w:rsid w:val="00A67D56"/>
    <w:rsid w:val="00A710D6"/>
    <w:rsid w:val="00A71CE3"/>
    <w:rsid w:val="00A72565"/>
    <w:rsid w:val="00A73D36"/>
    <w:rsid w:val="00A7472E"/>
    <w:rsid w:val="00A757E4"/>
    <w:rsid w:val="00A75877"/>
    <w:rsid w:val="00A75EA7"/>
    <w:rsid w:val="00A75F85"/>
    <w:rsid w:val="00A76C6E"/>
    <w:rsid w:val="00A76F4D"/>
    <w:rsid w:val="00A773BB"/>
    <w:rsid w:val="00A7794A"/>
    <w:rsid w:val="00A800F5"/>
    <w:rsid w:val="00A80D73"/>
    <w:rsid w:val="00A8110D"/>
    <w:rsid w:val="00A819C6"/>
    <w:rsid w:val="00A82450"/>
    <w:rsid w:val="00A826AC"/>
    <w:rsid w:val="00A828FA"/>
    <w:rsid w:val="00A8342D"/>
    <w:rsid w:val="00A84825"/>
    <w:rsid w:val="00A84BF6"/>
    <w:rsid w:val="00A84D51"/>
    <w:rsid w:val="00A853BE"/>
    <w:rsid w:val="00A8554C"/>
    <w:rsid w:val="00A913AF"/>
    <w:rsid w:val="00A9194A"/>
    <w:rsid w:val="00A925AC"/>
    <w:rsid w:val="00A948B8"/>
    <w:rsid w:val="00A94D0A"/>
    <w:rsid w:val="00A951D9"/>
    <w:rsid w:val="00A95B7F"/>
    <w:rsid w:val="00A97E03"/>
    <w:rsid w:val="00AA0341"/>
    <w:rsid w:val="00AA0EBD"/>
    <w:rsid w:val="00AA0F83"/>
    <w:rsid w:val="00AA1785"/>
    <w:rsid w:val="00AA1A44"/>
    <w:rsid w:val="00AA250A"/>
    <w:rsid w:val="00AA3359"/>
    <w:rsid w:val="00AA3427"/>
    <w:rsid w:val="00AA3461"/>
    <w:rsid w:val="00AA4693"/>
    <w:rsid w:val="00AA54BE"/>
    <w:rsid w:val="00AA5C48"/>
    <w:rsid w:val="00AA63DD"/>
    <w:rsid w:val="00AA642D"/>
    <w:rsid w:val="00AA6E3C"/>
    <w:rsid w:val="00AA72B2"/>
    <w:rsid w:val="00AA7B4A"/>
    <w:rsid w:val="00AB017B"/>
    <w:rsid w:val="00AB02B8"/>
    <w:rsid w:val="00AB0AF5"/>
    <w:rsid w:val="00AB0C36"/>
    <w:rsid w:val="00AB193D"/>
    <w:rsid w:val="00AB312E"/>
    <w:rsid w:val="00AB52E1"/>
    <w:rsid w:val="00AB5375"/>
    <w:rsid w:val="00AB6DC0"/>
    <w:rsid w:val="00AB702D"/>
    <w:rsid w:val="00AB7758"/>
    <w:rsid w:val="00AB7CEE"/>
    <w:rsid w:val="00AB7D7D"/>
    <w:rsid w:val="00AC12E6"/>
    <w:rsid w:val="00AC1E18"/>
    <w:rsid w:val="00AC27DD"/>
    <w:rsid w:val="00AC2846"/>
    <w:rsid w:val="00AC323E"/>
    <w:rsid w:val="00AC3C32"/>
    <w:rsid w:val="00AC3EC0"/>
    <w:rsid w:val="00AC52C1"/>
    <w:rsid w:val="00AC68EE"/>
    <w:rsid w:val="00AC6C67"/>
    <w:rsid w:val="00AC7218"/>
    <w:rsid w:val="00AD1F4E"/>
    <w:rsid w:val="00AD2C02"/>
    <w:rsid w:val="00AD3645"/>
    <w:rsid w:val="00AD3745"/>
    <w:rsid w:val="00AD4EF5"/>
    <w:rsid w:val="00AD5016"/>
    <w:rsid w:val="00AD639C"/>
    <w:rsid w:val="00AD74E7"/>
    <w:rsid w:val="00AD75AF"/>
    <w:rsid w:val="00AD7CA7"/>
    <w:rsid w:val="00AD7E48"/>
    <w:rsid w:val="00AE153A"/>
    <w:rsid w:val="00AE1BF2"/>
    <w:rsid w:val="00AE2902"/>
    <w:rsid w:val="00AE2ACE"/>
    <w:rsid w:val="00AE2DAF"/>
    <w:rsid w:val="00AE3002"/>
    <w:rsid w:val="00AE3CC8"/>
    <w:rsid w:val="00AE567E"/>
    <w:rsid w:val="00AE5A4F"/>
    <w:rsid w:val="00AE62DC"/>
    <w:rsid w:val="00AE6577"/>
    <w:rsid w:val="00AF0356"/>
    <w:rsid w:val="00AF2E1B"/>
    <w:rsid w:val="00AF4425"/>
    <w:rsid w:val="00AF4BA0"/>
    <w:rsid w:val="00AF63C5"/>
    <w:rsid w:val="00AF676B"/>
    <w:rsid w:val="00AF6815"/>
    <w:rsid w:val="00AF686D"/>
    <w:rsid w:val="00AF6DD8"/>
    <w:rsid w:val="00AF7523"/>
    <w:rsid w:val="00B00162"/>
    <w:rsid w:val="00B016A4"/>
    <w:rsid w:val="00B01758"/>
    <w:rsid w:val="00B0240B"/>
    <w:rsid w:val="00B0262F"/>
    <w:rsid w:val="00B02CD7"/>
    <w:rsid w:val="00B02EC3"/>
    <w:rsid w:val="00B037A6"/>
    <w:rsid w:val="00B05DD5"/>
    <w:rsid w:val="00B0683A"/>
    <w:rsid w:val="00B0713F"/>
    <w:rsid w:val="00B0753E"/>
    <w:rsid w:val="00B07B98"/>
    <w:rsid w:val="00B10986"/>
    <w:rsid w:val="00B1101B"/>
    <w:rsid w:val="00B11149"/>
    <w:rsid w:val="00B13D3A"/>
    <w:rsid w:val="00B151D1"/>
    <w:rsid w:val="00B15582"/>
    <w:rsid w:val="00B155BC"/>
    <w:rsid w:val="00B17EEA"/>
    <w:rsid w:val="00B20360"/>
    <w:rsid w:val="00B20A44"/>
    <w:rsid w:val="00B21625"/>
    <w:rsid w:val="00B21AA0"/>
    <w:rsid w:val="00B23701"/>
    <w:rsid w:val="00B24B66"/>
    <w:rsid w:val="00B2602E"/>
    <w:rsid w:val="00B261E3"/>
    <w:rsid w:val="00B2632F"/>
    <w:rsid w:val="00B26769"/>
    <w:rsid w:val="00B26E03"/>
    <w:rsid w:val="00B2789A"/>
    <w:rsid w:val="00B303A0"/>
    <w:rsid w:val="00B30FDF"/>
    <w:rsid w:val="00B318AF"/>
    <w:rsid w:val="00B31DF3"/>
    <w:rsid w:val="00B327C5"/>
    <w:rsid w:val="00B33178"/>
    <w:rsid w:val="00B33940"/>
    <w:rsid w:val="00B33B92"/>
    <w:rsid w:val="00B33C2E"/>
    <w:rsid w:val="00B340B9"/>
    <w:rsid w:val="00B347DE"/>
    <w:rsid w:val="00B351F5"/>
    <w:rsid w:val="00B35F2B"/>
    <w:rsid w:val="00B3666B"/>
    <w:rsid w:val="00B37CF1"/>
    <w:rsid w:val="00B41921"/>
    <w:rsid w:val="00B419DB"/>
    <w:rsid w:val="00B41C8D"/>
    <w:rsid w:val="00B41F9A"/>
    <w:rsid w:val="00B42884"/>
    <w:rsid w:val="00B42B85"/>
    <w:rsid w:val="00B4499A"/>
    <w:rsid w:val="00B456AF"/>
    <w:rsid w:val="00B4590B"/>
    <w:rsid w:val="00B4659A"/>
    <w:rsid w:val="00B47509"/>
    <w:rsid w:val="00B4768C"/>
    <w:rsid w:val="00B50AC5"/>
    <w:rsid w:val="00B51159"/>
    <w:rsid w:val="00B52B3B"/>
    <w:rsid w:val="00B55575"/>
    <w:rsid w:val="00B55B13"/>
    <w:rsid w:val="00B5608E"/>
    <w:rsid w:val="00B564BF"/>
    <w:rsid w:val="00B5697D"/>
    <w:rsid w:val="00B56AC5"/>
    <w:rsid w:val="00B56D96"/>
    <w:rsid w:val="00B56E68"/>
    <w:rsid w:val="00B5732E"/>
    <w:rsid w:val="00B57C6D"/>
    <w:rsid w:val="00B607C0"/>
    <w:rsid w:val="00B610CE"/>
    <w:rsid w:val="00B615BC"/>
    <w:rsid w:val="00B61D9F"/>
    <w:rsid w:val="00B62181"/>
    <w:rsid w:val="00B64610"/>
    <w:rsid w:val="00B64FC9"/>
    <w:rsid w:val="00B66877"/>
    <w:rsid w:val="00B66A9C"/>
    <w:rsid w:val="00B66FED"/>
    <w:rsid w:val="00B731FA"/>
    <w:rsid w:val="00B731FF"/>
    <w:rsid w:val="00B73A0D"/>
    <w:rsid w:val="00B747EE"/>
    <w:rsid w:val="00B75CD1"/>
    <w:rsid w:val="00B76F5E"/>
    <w:rsid w:val="00B80B23"/>
    <w:rsid w:val="00B8202D"/>
    <w:rsid w:val="00B8301B"/>
    <w:rsid w:val="00B840B9"/>
    <w:rsid w:val="00B846E1"/>
    <w:rsid w:val="00B868BC"/>
    <w:rsid w:val="00B87775"/>
    <w:rsid w:val="00B90132"/>
    <w:rsid w:val="00B906C5"/>
    <w:rsid w:val="00B90830"/>
    <w:rsid w:val="00B924A5"/>
    <w:rsid w:val="00B93302"/>
    <w:rsid w:val="00B93532"/>
    <w:rsid w:val="00B93AF7"/>
    <w:rsid w:val="00B93CAB"/>
    <w:rsid w:val="00B95CCD"/>
    <w:rsid w:val="00B95CF3"/>
    <w:rsid w:val="00B966A5"/>
    <w:rsid w:val="00B9747A"/>
    <w:rsid w:val="00B9798E"/>
    <w:rsid w:val="00BA049F"/>
    <w:rsid w:val="00BA1177"/>
    <w:rsid w:val="00BA11E5"/>
    <w:rsid w:val="00BA1814"/>
    <w:rsid w:val="00BA283A"/>
    <w:rsid w:val="00BA296F"/>
    <w:rsid w:val="00BA316E"/>
    <w:rsid w:val="00BA32C1"/>
    <w:rsid w:val="00BA3CB9"/>
    <w:rsid w:val="00BA4AA2"/>
    <w:rsid w:val="00BA52D0"/>
    <w:rsid w:val="00BA5760"/>
    <w:rsid w:val="00BA7F79"/>
    <w:rsid w:val="00BB1CCB"/>
    <w:rsid w:val="00BB1DED"/>
    <w:rsid w:val="00BB2781"/>
    <w:rsid w:val="00BB280F"/>
    <w:rsid w:val="00BB2BBF"/>
    <w:rsid w:val="00BB2EE2"/>
    <w:rsid w:val="00BB50C1"/>
    <w:rsid w:val="00BB5198"/>
    <w:rsid w:val="00BB5240"/>
    <w:rsid w:val="00BB6029"/>
    <w:rsid w:val="00BB6994"/>
    <w:rsid w:val="00BB6E67"/>
    <w:rsid w:val="00BB7FA6"/>
    <w:rsid w:val="00BC19D0"/>
    <w:rsid w:val="00BC3C6E"/>
    <w:rsid w:val="00BC3FD5"/>
    <w:rsid w:val="00BC43F3"/>
    <w:rsid w:val="00BC49B6"/>
    <w:rsid w:val="00BC6458"/>
    <w:rsid w:val="00BC6989"/>
    <w:rsid w:val="00BC7525"/>
    <w:rsid w:val="00BD04AD"/>
    <w:rsid w:val="00BD05D5"/>
    <w:rsid w:val="00BD0E47"/>
    <w:rsid w:val="00BD21A5"/>
    <w:rsid w:val="00BD25B6"/>
    <w:rsid w:val="00BD3349"/>
    <w:rsid w:val="00BD4208"/>
    <w:rsid w:val="00BD4C2F"/>
    <w:rsid w:val="00BD4D9C"/>
    <w:rsid w:val="00BD527D"/>
    <w:rsid w:val="00BD64E2"/>
    <w:rsid w:val="00BD6CC3"/>
    <w:rsid w:val="00BD7902"/>
    <w:rsid w:val="00BE31E1"/>
    <w:rsid w:val="00BE3A92"/>
    <w:rsid w:val="00BE3FD1"/>
    <w:rsid w:val="00BE46F4"/>
    <w:rsid w:val="00BE498E"/>
    <w:rsid w:val="00BE4AED"/>
    <w:rsid w:val="00BE4EE4"/>
    <w:rsid w:val="00BE52AC"/>
    <w:rsid w:val="00BE5E39"/>
    <w:rsid w:val="00BE612E"/>
    <w:rsid w:val="00BE6425"/>
    <w:rsid w:val="00BE71C1"/>
    <w:rsid w:val="00BE7477"/>
    <w:rsid w:val="00BE767D"/>
    <w:rsid w:val="00BF1735"/>
    <w:rsid w:val="00BF182E"/>
    <w:rsid w:val="00BF2060"/>
    <w:rsid w:val="00BF3D88"/>
    <w:rsid w:val="00BF5173"/>
    <w:rsid w:val="00BF546E"/>
    <w:rsid w:val="00BF567C"/>
    <w:rsid w:val="00BF56DB"/>
    <w:rsid w:val="00BF5B78"/>
    <w:rsid w:val="00BF7C8A"/>
    <w:rsid w:val="00C00211"/>
    <w:rsid w:val="00C01266"/>
    <w:rsid w:val="00C01503"/>
    <w:rsid w:val="00C0299D"/>
    <w:rsid w:val="00C035CE"/>
    <w:rsid w:val="00C03635"/>
    <w:rsid w:val="00C069DC"/>
    <w:rsid w:val="00C06D39"/>
    <w:rsid w:val="00C11389"/>
    <w:rsid w:val="00C11754"/>
    <w:rsid w:val="00C11A2B"/>
    <w:rsid w:val="00C11B97"/>
    <w:rsid w:val="00C12AAC"/>
    <w:rsid w:val="00C1307E"/>
    <w:rsid w:val="00C13294"/>
    <w:rsid w:val="00C1386F"/>
    <w:rsid w:val="00C14074"/>
    <w:rsid w:val="00C14458"/>
    <w:rsid w:val="00C153E2"/>
    <w:rsid w:val="00C15FE9"/>
    <w:rsid w:val="00C17AD5"/>
    <w:rsid w:val="00C20745"/>
    <w:rsid w:val="00C20BB1"/>
    <w:rsid w:val="00C215BD"/>
    <w:rsid w:val="00C22646"/>
    <w:rsid w:val="00C22C74"/>
    <w:rsid w:val="00C23658"/>
    <w:rsid w:val="00C25063"/>
    <w:rsid w:val="00C25549"/>
    <w:rsid w:val="00C263C5"/>
    <w:rsid w:val="00C267B9"/>
    <w:rsid w:val="00C26D1C"/>
    <w:rsid w:val="00C3001C"/>
    <w:rsid w:val="00C30841"/>
    <w:rsid w:val="00C30CE7"/>
    <w:rsid w:val="00C30F61"/>
    <w:rsid w:val="00C32160"/>
    <w:rsid w:val="00C322B6"/>
    <w:rsid w:val="00C32537"/>
    <w:rsid w:val="00C32A65"/>
    <w:rsid w:val="00C33301"/>
    <w:rsid w:val="00C3378F"/>
    <w:rsid w:val="00C33E16"/>
    <w:rsid w:val="00C3463D"/>
    <w:rsid w:val="00C3479D"/>
    <w:rsid w:val="00C347C2"/>
    <w:rsid w:val="00C34817"/>
    <w:rsid w:val="00C34F65"/>
    <w:rsid w:val="00C3530B"/>
    <w:rsid w:val="00C36062"/>
    <w:rsid w:val="00C36C19"/>
    <w:rsid w:val="00C37735"/>
    <w:rsid w:val="00C37CB7"/>
    <w:rsid w:val="00C37D08"/>
    <w:rsid w:val="00C40339"/>
    <w:rsid w:val="00C41815"/>
    <w:rsid w:val="00C42C0F"/>
    <w:rsid w:val="00C446D6"/>
    <w:rsid w:val="00C44852"/>
    <w:rsid w:val="00C44E79"/>
    <w:rsid w:val="00C44FE4"/>
    <w:rsid w:val="00C4511B"/>
    <w:rsid w:val="00C45923"/>
    <w:rsid w:val="00C45C7C"/>
    <w:rsid w:val="00C46BE9"/>
    <w:rsid w:val="00C47838"/>
    <w:rsid w:val="00C47C1C"/>
    <w:rsid w:val="00C512BC"/>
    <w:rsid w:val="00C5219F"/>
    <w:rsid w:val="00C526CA"/>
    <w:rsid w:val="00C527DD"/>
    <w:rsid w:val="00C52C08"/>
    <w:rsid w:val="00C52F59"/>
    <w:rsid w:val="00C53B12"/>
    <w:rsid w:val="00C54DDA"/>
    <w:rsid w:val="00C56C2D"/>
    <w:rsid w:val="00C57B71"/>
    <w:rsid w:val="00C613A7"/>
    <w:rsid w:val="00C614A2"/>
    <w:rsid w:val="00C61D4B"/>
    <w:rsid w:val="00C622E9"/>
    <w:rsid w:val="00C64170"/>
    <w:rsid w:val="00C65E7D"/>
    <w:rsid w:val="00C669EB"/>
    <w:rsid w:val="00C66E5C"/>
    <w:rsid w:val="00C672E6"/>
    <w:rsid w:val="00C673D1"/>
    <w:rsid w:val="00C677A3"/>
    <w:rsid w:val="00C67D01"/>
    <w:rsid w:val="00C7008E"/>
    <w:rsid w:val="00C707D4"/>
    <w:rsid w:val="00C70C69"/>
    <w:rsid w:val="00C713DA"/>
    <w:rsid w:val="00C7174A"/>
    <w:rsid w:val="00C7175C"/>
    <w:rsid w:val="00C73263"/>
    <w:rsid w:val="00C742B6"/>
    <w:rsid w:val="00C747F0"/>
    <w:rsid w:val="00C74BDB"/>
    <w:rsid w:val="00C750AE"/>
    <w:rsid w:val="00C76171"/>
    <w:rsid w:val="00C77C09"/>
    <w:rsid w:val="00C803D6"/>
    <w:rsid w:val="00C80F76"/>
    <w:rsid w:val="00C84DD8"/>
    <w:rsid w:val="00C87EF0"/>
    <w:rsid w:val="00C90304"/>
    <w:rsid w:val="00C9046E"/>
    <w:rsid w:val="00C90B20"/>
    <w:rsid w:val="00C90E25"/>
    <w:rsid w:val="00C913CB"/>
    <w:rsid w:val="00C9179B"/>
    <w:rsid w:val="00C91A36"/>
    <w:rsid w:val="00C92E7F"/>
    <w:rsid w:val="00C938D2"/>
    <w:rsid w:val="00C93AFC"/>
    <w:rsid w:val="00C93ED9"/>
    <w:rsid w:val="00C94DE4"/>
    <w:rsid w:val="00C95509"/>
    <w:rsid w:val="00C965C7"/>
    <w:rsid w:val="00C96C6B"/>
    <w:rsid w:val="00C9700F"/>
    <w:rsid w:val="00CA02E9"/>
    <w:rsid w:val="00CA0DA6"/>
    <w:rsid w:val="00CA1EBC"/>
    <w:rsid w:val="00CA2843"/>
    <w:rsid w:val="00CA4C0C"/>
    <w:rsid w:val="00CA4C55"/>
    <w:rsid w:val="00CA538E"/>
    <w:rsid w:val="00CA5DD8"/>
    <w:rsid w:val="00CA7AC0"/>
    <w:rsid w:val="00CA7F97"/>
    <w:rsid w:val="00CB025B"/>
    <w:rsid w:val="00CB03B0"/>
    <w:rsid w:val="00CB06D0"/>
    <w:rsid w:val="00CB094E"/>
    <w:rsid w:val="00CB0D00"/>
    <w:rsid w:val="00CB237A"/>
    <w:rsid w:val="00CB2EE6"/>
    <w:rsid w:val="00CB3EE6"/>
    <w:rsid w:val="00CB47D6"/>
    <w:rsid w:val="00CB54A2"/>
    <w:rsid w:val="00CB559B"/>
    <w:rsid w:val="00CB57E9"/>
    <w:rsid w:val="00CB585C"/>
    <w:rsid w:val="00CB740D"/>
    <w:rsid w:val="00CC0EF6"/>
    <w:rsid w:val="00CC11C1"/>
    <w:rsid w:val="00CC1E94"/>
    <w:rsid w:val="00CC3FB3"/>
    <w:rsid w:val="00CC4822"/>
    <w:rsid w:val="00CC4F45"/>
    <w:rsid w:val="00CC5892"/>
    <w:rsid w:val="00CC6246"/>
    <w:rsid w:val="00CD0016"/>
    <w:rsid w:val="00CD17EC"/>
    <w:rsid w:val="00CD187D"/>
    <w:rsid w:val="00CD2E67"/>
    <w:rsid w:val="00CD306D"/>
    <w:rsid w:val="00CD3096"/>
    <w:rsid w:val="00CD3AC0"/>
    <w:rsid w:val="00CD445D"/>
    <w:rsid w:val="00CD4AE3"/>
    <w:rsid w:val="00CD4C50"/>
    <w:rsid w:val="00CD5C34"/>
    <w:rsid w:val="00CD757B"/>
    <w:rsid w:val="00CD7631"/>
    <w:rsid w:val="00CD7AAA"/>
    <w:rsid w:val="00CD7DFB"/>
    <w:rsid w:val="00CE02D5"/>
    <w:rsid w:val="00CE1837"/>
    <w:rsid w:val="00CE201C"/>
    <w:rsid w:val="00CE23B6"/>
    <w:rsid w:val="00CE2F4E"/>
    <w:rsid w:val="00CE3194"/>
    <w:rsid w:val="00CE31EA"/>
    <w:rsid w:val="00CE4326"/>
    <w:rsid w:val="00CE5C16"/>
    <w:rsid w:val="00CE658B"/>
    <w:rsid w:val="00CE6D86"/>
    <w:rsid w:val="00CE7C85"/>
    <w:rsid w:val="00CE7FED"/>
    <w:rsid w:val="00CF0751"/>
    <w:rsid w:val="00CF1EFE"/>
    <w:rsid w:val="00CF2762"/>
    <w:rsid w:val="00CF2E9C"/>
    <w:rsid w:val="00CF4215"/>
    <w:rsid w:val="00CF45AE"/>
    <w:rsid w:val="00CF57B9"/>
    <w:rsid w:val="00CF631C"/>
    <w:rsid w:val="00CF66AE"/>
    <w:rsid w:val="00CF6789"/>
    <w:rsid w:val="00CF6FB5"/>
    <w:rsid w:val="00D014EA"/>
    <w:rsid w:val="00D02859"/>
    <w:rsid w:val="00D02FF6"/>
    <w:rsid w:val="00D03952"/>
    <w:rsid w:val="00D04B6E"/>
    <w:rsid w:val="00D0502F"/>
    <w:rsid w:val="00D06444"/>
    <w:rsid w:val="00D06BE3"/>
    <w:rsid w:val="00D070B7"/>
    <w:rsid w:val="00D1026C"/>
    <w:rsid w:val="00D10701"/>
    <w:rsid w:val="00D10B81"/>
    <w:rsid w:val="00D10FC9"/>
    <w:rsid w:val="00D11558"/>
    <w:rsid w:val="00D1158B"/>
    <w:rsid w:val="00D1180B"/>
    <w:rsid w:val="00D11818"/>
    <w:rsid w:val="00D11E13"/>
    <w:rsid w:val="00D1264E"/>
    <w:rsid w:val="00D12A4F"/>
    <w:rsid w:val="00D12C1B"/>
    <w:rsid w:val="00D1313B"/>
    <w:rsid w:val="00D13CA9"/>
    <w:rsid w:val="00D140AA"/>
    <w:rsid w:val="00D146EF"/>
    <w:rsid w:val="00D14BFF"/>
    <w:rsid w:val="00D14F0B"/>
    <w:rsid w:val="00D168E8"/>
    <w:rsid w:val="00D2014B"/>
    <w:rsid w:val="00D204EB"/>
    <w:rsid w:val="00D21BF7"/>
    <w:rsid w:val="00D22433"/>
    <w:rsid w:val="00D23306"/>
    <w:rsid w:val="00D23456"/>
    <w:rsid w:val="00D25484"/>
    <w:rsid w:val="00D25A23"/>
    <w:rsid w:val="00D27087"/>
    <w:rsid w:val="00D304B4"/>
    <w:rsid w:val="00D305D0"/>
    <w:rsid w:val="00D31B9C"/>
    <w:rsid w:val="00D31D97"/>
    <w:rsid w:val="00D32089"/>
    <w:rsid w:val="00D32282"/>
    <w:rsid w:val="00D32831"/>
    <w:rsid w:val="00D32996"/>
    <w:rsid w:val="00D331AF"/>
    <w:rsid w:val="00D33438"/>
    <w:rsid w:val="00D341AD"/>
    <w:rsid w:val="00D36147"/>
    <w:rsid w:val="00D36AAB"/>
    <w:rsid w:val="00D36D11"/>
    <w:rsid w:val="00D40400"/>
    <w:rsid w:val="00D40BFD"/>
    <w:rsid w:val="00D40FD2"/>
    <w:rsid w:val="00D41324"/>
    <w:rsid w:val="00D440BC"/>
    <w:rsid w:val="00D4535E"/>
    <w:rsid w:val="00D45636"/>
    <w:rsid w:val="00D462E4"/>
    <w:rsid w:val="00D4659C"/>
    <w:rsid w:val="00D467E5"/>
    <w:rsid w:val="00D479C1"/>
    <w:rsid w:val="00D501FC"/>
    <w:rsid w:val="00D507E9"/>
    <w:rsid w:val="00D50C49"/>
    <w:rsid w:val="00D51467"/>
    <w:rsid w:val="00D51F68"/>
    <w:rsid w:val="00D5348D"/>
    <w:rsid w:val="00D54B43"/>
    <w:rsid w:val="00D55C40"/>
    <w:rsid w:val="00D55C80"/>
    <w:rsid w:val="00D55E70"/>
    <w:rsid w:val="00D55FCB"/>
    <w:rsid w:val="00D5622F"/>
    <w:rsid w:val="00D56A4C"/>
    <w:rsid w:val="00D56D48"/>
    <w:rsid w:val="00D6095F"/>
    <w:rsid w:val="00D6347E"/>
    <w:rsid w:val="00D643CF"/>
    <w:rsid w:val="00D64549"/>
    <w:rsid w:val="00D64584"/>
    <w:rsid w:val="00D64C6F"/>
    <w:rsid w:val="00D67304"/>
    <w:rsid w:val="00D674EC"/>
    <w:rsid w:val="00D7111F"/>
    <w:rsid w:val="00D711A9"/>
    <w:rsid w:val="00D71278"/>
    <w:rsid w:val="00D72088"/>
    <w:rsid w:val="00D725A4"/>
    <w:rsid w:val="00D72677"/>
    <w:rsid w:val="00D7344F"/>
    <w:rsid w:val="00D73B0D"/>
    <w:rsid w:val="00D745E4"/>
    <w:rsid w:val="00D74EFE"/>
    <w:rsid w:val="00D75B54"/>
    <w:rsid w:val="00D75EF2"/>
    <w:rsid w:val="00D7610C"/>
    <w:rsid w:val="00D7674B"/>
    <w:rsid w:val="00D767ED"/>
    <w:rsid w:val="00D76884"/>
    <w:rsid w:val="00D779C1"/>
    <w:rsid w:val="00D77C1B"/>
    <w:rsid w:val="00D80604"/>
    <w:rsid w:val="00D809D1"/>
    <w:rsid w:val="00D81615"/>
    <w:rsid w:val="00D82568"/>
    <w:rsid w:val="00D8259D"/>
    <w:rsid w:val="00D82D89"/>
    <w:rsid w:val="00D82DD9"/>
    <w:rsid w:val="00D83362"/>
    <w:rsid w:val="00D8345E"/>
    <w:rsid w:val="00D83623"/>
    <w:rsid w:val="00D83BFE"/>
    <w:rsid w:val="00D83FEF"/>
    <w:rsid w:val="00D85217"/>
    <w:rsid w:val="00D852F8"/>
    <w:rsid w:val="00D85688"/>
    <w:rsid w:val="00D8574B"/>
    <w:rsid w:val="00D8661A"/>
    <w:rsid w:val="00D86CBD"/>
    <w:rsid w:val="00D87A7A"/>
    <w:rsid w:val="00D908AB"/>
    <w:rsid w:val="00D92B04"/>
    <w:rsid w:val="00D92FA8"/>
    <w:rsid w:val="00D930ED"/>
    <w:rsid w:val="00D93455"/>
    <w:rsid w:val="00D94167"/>
    <w:rsid w:val="00D944DE"/>
    <w:rsid w:val="00D9457E"/>
    <w:rsid w:val="00D95441"/>
    <w:rsid w:val="00D957D7"/>
    <w:rsid w:val="00D9702C"/>
    <w:rsid w:val="00D974D1"/>
    <w:rsid w:val="00D97A4C"/>
    <w:rsid w:val="00D97E83"/>
    <w:rsid w:val="00DA033C"/>
    <w:rsid w:val="00DA2155"/>
    <w:rsid w:val="00DA238C"/>
    <w:rsid w:val="00DA2AF7"/>
    <w:rsid w:val="00DA3F53"/>
    <w:rsid w:val="00DA462C"/>
    <w:rsid w:val="00DA491C"/>
    <w:rsid w:val="00DA500F"/>
    <w:rsid w:val="00DA52C6"/>
    <w:rsid w:val="00DA52F9"/>
    <w:rsid w:val="00DA6B34"/>
    <w:rsid w:val="00DA6EFF"/>
    <w:rsid w:val="00DA7276"/>
    <w:rsid w:val="00DA7616"/>
    <w:rsid w:val="00DB0408"/>
    <w:rsid w:val="00DB1627"/>
    <w:rsid w:val="00DB19DD"/>
    <w:rsid w:val="00DB1C2A"/>
    <w:rsid w:val="00DB3270"/>
    <w:rsid w:val="00DB3784"/>
    <w:rsid w:val="00DB4AC4"/>
    <w:rsid w:val="00DB5382"/>
    <w:rsid w:val="00DB5B64"/>
    <w:rsid w:val="00DB5BE8"/>
    <w:rsid w:val="00DB602A"/>
    <w:rsid w:val="00DB6447"/>
    <w:rsid w:val="00DB7360"/>
    <w:rsid w:val="00DB7C4E"/>
    <w:rsid w:val="00DB7EFF"/>
    <w:rsid w:val="00DB7F72"/>
    <w:rsid w:val="00DC00EE"/>
    <w:rsid w:val="00DC12F2"/>
    <w:rsid w:val="00DC2228"/>
    <w:rsid w:val="00DC2EE6"/>
    <w:rsid w:val="00DC324F"/>
    <w:rsid w:val="00DC3930"/>
    <w:rsid w:val="00DC4664"/>
    <w:rsid w:val="00DC5168"/>
    <w:rsid w:val="00DC59DC"/>
    <w:rsid w:val="00DC59E1"/>
    <w:rsid w:val="00DC71A8"/>
    <w:rsid w:val="00DC7557"/>
    <w:rsid w:val="00DC7E4B"/>
    <w:rsid w:val="00DC848A"/>
    <w:rsid w:val="00DD04AA"/>
    <w:rsid w:val="00DD0B5B"/>
    <w:rsid w:val="00DD12E4"/>
    <w:rsid w:val="00DD1307"/>
    <w:rsid w:val="00DD2045"/>
    <w:rsid w:val="00DD2187"/>
    <w:rsid w:val="00DD2508"/>
    <w:rsid w:val="00DD3807"/>
    <w:rsid w:val="00DD4B74"/>
    <w:rsid w:val="00DD4EF6"/>
    <w:rsid w:val="00DD4F85"/>
    <w:rsid w:val="00DD5846"/>
    <w:rsid w:val="00DD758F"/>
    <w:rsid w:val="00DD75E0"/>
    <w:rsid w:val="00DE00D0"/>
    <w:rsid w:val="00DE0D95"/>
    <w:rsid w:val="00DE10B0"/>
    <w:rsid w:val="00DE1B7F"/>
    <w:rsid w:val="00DE1E39"/>
    <w:rsid w:val="00DE266B"/>
    <w:rsid w:val="00DE3DF8"/>
    <w:rsid w:val="00DE42E9"/>
    <w:rsid w:val="00DE49F5"/>
    <w:rsid w:val="00DE4C6D"/>
    <w:rsid w:val="00DE5846"/>
    <w:rsid w:val="00DE73E6"/>
    <w:rsid w:val="00DE7B32"/>
    <w:rsid w:val="00DE7D36"/>
    <w:rsid w:val="00DE7FD2"/>
    <w:rsid w:val="00DF05EE"/>
    <w:rsid w:val="00DF0B40"/>
    <w:rsid w:val="00DF10D9"/>
    <w:rsid w:val="00DF1664"/>
    <w:rsid w:val="00DF1CD2"/>
    <w:rsid w:val="00DF2E41"/>
    <w:rsid w:val="00DF39EE"/>
    <w:rsid w:val="00DF3B28"/>
    <w:rsid w:val="00DF3D75"/>
    <w:rsid w:val="00DF4A45"/>
    <w:rsid w:val="00DF50D3"/>
    <w:rsid w:val="00DF5DF0"/>
    <w:rsid w:val="00DF6536"/>
    <w:rsid w:val="00DF6573"/>
    <w:rsid w:val="00DF6DE7"/>
    <w:rsid w:val="00DF7567"/>
    <w:rsid w:val="00DF7DC9"/>
    <w:rsid w:val="00E033AD"/>
    <w:rsid w:val="00E036D5"/>
    <w:rsid w:val="00E03A8D"/>
    <w:rsid w:val="00E03B35"/>
    <w:rsid w:val="00E04822"/>
    <w:rsid w:val="00E0533B"/>
    <w:rsid w:val="00E057E3"/>
    <w:rsid w:val="00E0600E"/>
    <w:rsid w:val="00E109DF"/>
    <w:rsid w:val="00E10D8C"/>
    <w:rsid w:val="00E10DB9"/>
    <w:rsid w:val="00E11B81"/>
    <w:rsid w:val="00E11E24"/>
    <w:rsid w:val="00E1231D"/>
    <w:rsid w:val="00E123E4"/>
    <w:rsid w:val="00E129BE"/>
    <w:rsid w:val="00E12D16"/>
    <w:rsid w:val="00E147C9"/>
    <w:rsid w:val="00E14940"/>
    <w:rsid w:val="00E14EFE"/>
    <w:rsid w:val="00E14F17"/>
    <w:rsid w:val="00E17565"/>
    <w:rsid w:val="00E176B4"/>
    <w:rsid w:val="00E17DA0"/>
    <w:rsid w:val="00E20905"/>
    <w:rsid w:val="00E20C82"/>
    <w:rsid w:val="00E218A4"/>
    <w:rsid w:val="00E230BB"/>
    <w:rsid w:val="00E23A6F"/>
    <w:rsid w:val="00E24524"/>
    <w:rsid w:val="00E25960"/>
    <w:rsid w:val="00E25E00"/>
    <w:rsid w:val="00E26660"/>
    <w:rsid w:val="00E2763C"/>
    <w:rsid w:val="00E278E4"/>
    <w:rsid w:val="00E3046A"/>
    <w:rsid w:val="00E3092C"/>
    <w:rsid w:val="00E309D7"/>
    <w:rsid w:val="00E3235F"/>
    <w:rsid w:val="00E3296D"/>
    <w:rsid w:val="00E32B75"/>
    <w:rsid w:val="00E33239"/>
    <w:rsid w:val="00E33B25"/>
    <w:rsid w:val="00E3586E"/>
    <w:rsid w:val="00E35BDC"/>
    <w:rsid w:val="00E3696F"/>
    <w:rsid w:val="00E37ACE"/>
    <w:rsid w:val="00E40100"/>
    <w:rsid w:val="00E40316"/>
    <w:rsid w:val="00E40A2B"/>
    <w:rsid w:val="00E40FCA"/>
    <w:rsid w:val="00E4100E"/>
    <w:rsid w:val="00E412FE"/>
    <w:rsid w:val="00E417FF"/>
    <w:rsid w:val="00E43C84"/>
    <w:rsid w:val="00E44D3E"/>
    <w:rsid w:val="00E4573E"/>
    <w:rsid w:val="00E4666D"/>
    <w:rsid w:val="00E467D7"/>
    <w:rsid w:val="00E46ABA"/>
    <w:rsid w:val="00E46D6B"/>
    <w:rsid w:val="00E475F9"/>
    <w:rsid w:val="00E47673"/>
    <w:rsid w:val="00E477AB"/>
    <w:rsid w:val="00E50A08"/>
    <w:rsid w:val="00E5204D"/>
    <w:rsid w:val="00E520FC"/>
    <w:rsid w:val="00E55D7E"/>
    <w:rsid w:val="00E56F10"/>
    <w:rsid w:val="00E571D8"/>
    <w:rsid w:val="00E57AD0"/>
    <w:rsid w:val="00E60DAB"/>
    <w:rsid w:val="00E62217"/>
    <w:rsid w:val="00E63CEC"/>
    <w:rsid w:val="00E64425"/>
    <w:rsid w:val="00E658EA"/>
    <w:rsid w:val="00E659FD"/>
    <w:rsid w:val="00E65D4C"/>
    <w:rsid w:val="00E66152"/>
    <w:rsid w:val="00E661C5"/>
    <w:rsid w:val="00E6736C"/>
    <w:rsid w:val="00E70DF4"/>
    <w:rsid w:val="00E717E1"/>
    <w:rsid w:val="00E724C4"/>
    <w:rsid w:val="00E7309B"/>
    <w:rsid w:val="00E73793"/>
    <w:rsid w:val="00E73848"/>
    <w:rsid w:val="00E73EC9"/>
    <w:rsid w:val="00E743E7"/>
    <w:rsid w:val="00E744F3"/>
    <w:rsid w:val="00E74823"/>
    <w:rsid w:val="00E755C9"/>
    <w:rsid w:val="00E755CE"/>
    <w:rsid w:val="00E75852"/>
    <w:rsid w:val="00E75A45"/>
    <w:rsid w:val="00E75BEB"/>
    <w:rsid w:val="00E75FBE"/>
    <w:rsid w:val="00E7657A"/>
    <w:rsid w:val="00E767EF"/>
    <w:rsid w:val="00E76992"/>
    <w:rsid w:val="00E76B94"/>
    <w:rsid w:val="00E77267"/>
    <w:rsid w:val="00E8061D"/>
    <w:rsid w:val="00E81857"/>
    <w:rsid w:val="00E82544"/>
    <w:rsid w:val="00E85190"/>
    <w:rsid w:val="00E851F4"/>
    <w:rsid w:val="00E85661"/>
    <w:rsid w:val="00E864F2"/>
    <w:rsid w:val="00E879B5"/>
    <w:rsid w:val="00E87AC3"/>
    <w:rsid w:val="00E90F63"/>
    <w:rsid w:val="00E9134A"/>
    <w:rsid w:val="00E91849"/>
    <w:rsid w:val="00E91EE4"/>
    <w:rsid w:val="00E92071"/>
    <w:rsid w:val="00E922A6"/>
    <w:rsid w:val="00E923DD"/>
    <w:rsid w:val="00E92A52"/>
    <w:rsid w:val="00E936ED"/>
    <w:rsid w:val="00E945C2"/>
    <w:rsid w:val="00E94756"/>
    <w:rsid w:val="00E94778"/>
    <w:rsid w:val="00E94E0D"/>
    <w:rsid w:val="00E95156"/>
    <w:rsid w:val="00E962D3"/>
    <w:rsid w:val="00E9646D"/>
    <w:rsid w:val="00E96B10"/>
    <w:rsid w:val="00E971EC"/>
    <w:rsid w:val="00EA013E"/>
    <w:rsid w:val="00EA0A23"/>
    <w:rsid w:val="00EA0D88"/>
    <w:rsid w:val="00EA17C0"/>
    <w:rsid w:val="00EA24CB"/>
    <w:rsid w:val="00EA26A3"/>
    <w:rsid w:val="00EA2797"/>
    <w:rsid w:val="00EA2EE7"/>
    <w:rsid w:val="00EA4454"/>
    <w:rsid w:val="00EA666A"/>
    <w:rsid w:val="00EA6DA1"/>
    <w:rsid w:val="00EB1B73"/>
    <w:rsid w:val="00EB22B3"/>
    <w:rsid w:val="00EB25EA"/>
    <w:rsid w:val="00EB2DE6"/>
    <w:rsid w:val="00EB4330"/>
    <w:rsid w:val="00EB45D2"/>
    <w:rsid w:val="00EB4894"/>
    <w:rsid w:val="00EB55CA"/>
    <w:rsid w:val="00EB7476"/>
    <w:rsid w:val="00EC06B1"/>
    <w:rsid w:val="00EC1DC5"/>
    <w:rsid w:val="00EC2285"/>
    <w:rsid w:val="00EC2636"/>
    <w:rsid w:val="00EC27BB"/>
    <w:rsid w:val="00EC2846"/>
    <w:rsid w:val="00EC2DD1"/>
    <w:rsid w:val="00EC39DB"/>
    <w:rsid w:val="00EC489E"/>
    <w:rsid w:val="00EC4E7A"/>
    <w:rsid w:val="00EC52A2"/>
    <w:rsid w:val="00EC6DC8"/>
    <w:rsid w:val="00EC6FE4"/>
    <w:rsid w:val="00ED0178"/>
    <w:rsid w:val="00ED0CD4"/>
    <w:rsid w:val="00ED0FE3"/>
    <w:rsid w:val="00ED134A"/>
    <w:rsid w:val="00ED1943"/>
    <w:rsid w:val="00ED2078"/>
    <w:rsid w:val="00ED2F2F"/>
    <w:rsid w:val="00ED2F71"/>
    <w:rsid w:val="00ED32A1"/>
    <w:rsid w:val="00ED399D"/>
    <w:rsid w:val="00ED3A7E"/>
    <w:rsid w:val="00ED47FA"/>
    <w:rsid w:val="00ED4E22"/>
    <w:rsid w:val="00ED4ED5"/>
    <w:rsid w:val="00ED618C"/>
    <w:rsid w:val="00ED6CC2"/>
    <w:rsid w:val="00ED7673"/>
    <w:rsid w:val="00ED791D"/>
    <w:rsid w:val="00ED7A2E"/>
    <w:rsid w:val="00ED7AB8"/>
    <w:rsid w:val="00ED7CB8"/>
    <w:rsid w:val="00ED7E45"/>
    <w:rsid w:val="00ED7EB0"/>
    <w:rsid w:val="00EE0774"/>
    <w:rsid w:val="00EE0F93"/>
    <w:rsid w:val="00EE2C2F"/>
    <w:rsid w:val="00EE5944"/>
    <w:rsid w:val="00EE6543"/>
    <w:rsid w:val="00EE7037"/>
    <w:rsid w:val="00EE74FB"/>
    <w:rsid w:val="00EE7A3A"/>
    <w:rsid w:val="00EF03FA"/>
    <w:rsid w:val="00EF2C3A"/>
    <w:rsid w:val="00EF3818"/>
    <w:rsid w:val="00EF3B95"/>
    <w:rsid w:val="00EF3DFC"/>
    <w:rsid w:val="00EF41B7"/>
    <w:rsid w:val="00EF45E1"/>
    <w:rsid w:val="00EF4989"/>
    <w:rsid w:val="00EF51D5"/>
    <w:rsid w:val="00EF7296"/>
    <w:rsid w:val="00F004D8"/>
    <w:rsid w:val="00F01BE4"/>
    <w:rsid w:val="00F024D6"/>
    <w:rsid w:val="00F02772"/>
    <w:rsid w:val="00F03E44"/>
    <w:rsid w:val="00F04134"/>
    <w:rsid w:val="00F06F31"/>
    <w:rsid w:val="00F10474"/>
    <w:rsid w:val="00F10829"/>
    <w:rsid w:val="00F10934"/>
    <w:rsid w:val="00F114B4"/>
    <w:rsid w:val="00F11E62"/>
    <w:rsid w:val="00F124A0"/>
    <w:rsid w:val="00F12770"/>
    <w:rsid w:val="00F1355B"/>
    <w:rsid w:val="00F1444D"/>
    <w:rsid w:val="00F14E1E"/>
    <w:rsid w:val="00F151AE"/>
    <w:rsid w:val="00F16667"/>
    <w:rsid w:val="00F1737F"/>
    <w:rsid w:val="00F1798A"/>
    <w:rsid w:val="00F21166"/>
    <w:rsid w:val="00F233B0"/>
    <w:rsid w:val="00F236D6"/>
    <w:rsid w:val="00F2430C"/>
    <w:rsid w:val="00F2463C"/>
    <w:rsid w:val="00F248C1"/>
    <w:rsid w:val="00F26E9F"/>
    <w:rsid w:val="00F27712"/>
    <w:rsid w:val="00F27D7D"/>
    <w:rsid w:val="00F30166"/>
    <w:rsid w:val="00F313E7"/>
    <w:rsid w:val="00F31BBF"/>
    <w:rsid w:val="00F32563"/>
    <w:rsid w:val="00F32F00"/>
    <w:rsid w:val="00F33368"/>
    <w:rsid w:val="00F33375"/>
    <w:rsid w:val="00F33533"/>
    <w:rsid w:val="00F33F40"/>
    <w:rsid w:val="00F34282"/>
    <w:rsid w:val="00F347F5"/>
    <w:rsid w:val="00F36D1D"/>
    <w:rsid w:val="00F36E68"/>
    <w:rsid w:val="00F36FB5"/>
    <w:rsid w:val="00F379CD"/>
    <w:rsid w:val="00F41B84"/>
    <w:rsid w:val="00F456E7"/>
    <w:rsid w:val="00F45844"/>
    <w:rsid w:val="00F458CC"/>
    <w:rsid w:val="00F47A7B"/>
    <w:rsid w:val="00F5074C"/>
    <w:rsid w:val="00F50CA0"/>
    <w:rsid w:val="00F52CBB"/>
    <w:rsid w:val="00F5315A"/>
    <w:rsid w:val="00F537FE"/>
    <w:rsid w:val="00F53A6F"/>
    <w:rsid w:val="00F53BE3"/>
    <w:rsid w:val="00F543EF"/>
    <w:rsid w:val="00F546BE"/>
    <w:rsid w:val="00F54FC6"/>
    <w:rsid w:val="00F5606F"/>
    <w:rsid w:val="00F573CF"/>
    <w:rsid w:val="00F57B21"/>
    <w:rsid w:val="00F60909"/>
    <w:rsid w:val="00F61283"/>
    <w:rsid w:val="00F61357"/>
    <w:rsid w:val="00F6227D"/>
    <w:rsid w:val="00F622BE"/>
    <w:rsid w:val="00F625F5"/>
    <w:rsid w:val="00F627F9"/>
    <w:rsid w:val="00F632CA"/>
    <w:rsid w:val="00F65553"/>
    <w:rsid w:val="00F6669B"/>
    <w:rsid w:val="00F66896"/>
    <w:rsid w:val="00F66FBC"/>
    <w:rsid w:val="00F67947"/>
    <w:rsid w:val="00F67F8B"/>
    <w:rsid w:val="00F70D7A"/>
    <w:rsid w:val="00F727D9"/>
    <w:rsid w:val="00F72BA3"/>
    <w:rsid w:val="00F73268"/>
    <w:rsid w:val="00F735AD"/>
    <w:rsid w:val="00F73C41"/>
    <w:rsid w:val="00F74121"/>
    <w:rsid w:val="00F75A72"/>
    <w:rsid w:val="00F77126"/>
    <w:rsid w:val="00F77736"/>
    <w:rsid w:val="00F80269"/>
    <w:rsid w:val="00F80750"/>
    <w:rsid w:val="00F811CB"/>
    <w:rsid w:val="00F81673"/>
    <w:rsid w:val="00F81DF8"/>
    <w:rsid w:val="00F81E0F"/>
    <w:rsid w:val="00F8275A"/>
    <w:rsid w:val="00F82801"/>
    <w:rsid w:val="00F828A8"/>
    <w:rsid w:val="00F83F21"/>
    <w:rsid w:val="00F8475A"/>
    <w:rsid w:val="00F84940"/>
    <w:rsid w:val="00F85B0B"/>
    <w:rsid w:val="00F8675F"/>
    <w:rsid w:val="00F8685C"/>
    <w:rsid w:val="00F87ED9"/>
    <w:rsid w:val="00F9017E"/>
    <w:rsid w:val="00F9042E"/>
    <w:rsid w:val="00F90F73"/>
    <w:rsid w:val="00F91517"/>
    <w:rsid w:val="00F91D55"/>
    <w:rsid w:val="00F91D6A"/>
    <w:rsid w:val="00F92275"/>
    <w:rsid w:val="00F929F4"/>
    <w:rsid w:val="00F935F0"/>
    <w:rsid w:val="00F945D0"/>
    <w:rsid w:val="00FA02AC"/>
    <w:rsid w:val="00FA0E2C"/>
    <w:rsid w:val="00FA13EF"/>
    <w:rsid w:val="00FA16EE"/>
    <w:rsid w:val="00FA26CA"/>
    <w:rsid w:val="00FA270C"/>
    <w:rsid w:val="00FA2A79"/>
    <w:rsid w:val="00FA345F"/>
    <w:rsid w:val="00FA36F0"/>
    <w:rsid w:val="00FA50D3"/>
    <w:rsid w:val="00FA51AB"/>
    <w:rsid w:val="00FA58AB"/>
    <w:rsid w:val="00FA58E9"/>
    <w:rsid w:val="00FA6B21"/>
    <w:rsid w:val="00FA6D44"/>
    <w:rsid w:val="00FA7091"/>
    <w:rsid w:val="00FA777B"/>
    <w:rsid w:val="00FB092F"/>
    <w:rsid w:val="00FB1474"/>
    <w:rsid w:val="00FB180A"/>
    <w:rsid w:val="00FB4F0F"/>
    <w:rsid w:val="00FB6C40"/>
    <w:rsid w:val="00FB7542"/>
    <w:rsid w:val="00FB7834"/>
    <w:rsid w:val="00FC018F"/>
    <w:rsid w:val="00FC0BF3"/>
    <w:rsid w:val="00FC0EF2"/>
    <w:rsid w:val="00FC1D1F"/>
    <w:rsid w:val="00FC25A9"/>
    <w:rsid w:val="00FC290C"/>
    <w:rsid w:val="00FC7038"/>
    <w:rsid w:val="00FC75D3"/>
    <w:rsid w:val="00FD023F"/>
    <w:rsid w:val="00FD02AE"/>
    <w:rsid w:val="00FD03D6"/>
    <w:rsid w:val="00FD07FD"/>
    <w:rsid w:val="00FD0A25"/>
    <w:rsid w:val="00FD1739"/>
    <w:rsid w:val="00FD2B7C"/>
    <w:rsid w:val="00FD3F8E"/>
    <w:rsid w:val="00FD4544"/>
    <w:rsid w:val="00FD5890"/>
    <w:rsid w:val="00FD6763"/>
    <w:rsid w:val="00FD6843"/>
    <w:rsid w:val="00FD6E5D"/>
    <w:rsid w:val="00FD74D0"/>
    <w:rsid w:val="00FD7B99"/>
    <w:rsid w:val="00FD7C5A"/>
    <w:rsid w:val="00FE099F"/>
    <w:rsid w:val="00FE1A40"/>
    <w:rsid w:val="00FE1E98"/>
    <w:rsid w:val="00FE300B"/>
    <w:rsid w:val="00FE3D2F"/>
    <w:rsid w:val="00FE3D38"/>
    <w:rsid w:val="00FE4EDE"/>
    <w:rsid w:val="00FE5C94"/>
    <w:rsid w:val="00FE5DE1"/>
    <w:rsid w:val="00FE5F11"/>
    <w:rsid w:val="00FE6415"/>
    <w:rsid w:val="00FE6CA4"/>
    <w:rsid w:val="00FF049F"/>
    <w:rsid w:val="00FF10AC"/>
    <w:rsid w:val="00FF173E"/>
    <w:rsid w:val="00FF1F42"/>
    <w:rsid w:val="00FF39E7"/>
    <w:rsid w:val="00FF3D05"/>
    <w:rsid w:val="013EB76D"/>
    <w:rsid w:val="02E4B245"/>
    <w:rsid w:val="03E9DB2A"/>
    <w:rsid w:val="045127F7"/>
    <w:rsid w:val="059B557C"/>
    <w:rsid w:val="05A3373F"/>
    <w:rsid w:val="05CD158D"/>
    <w:rsid w:val="05D204BA"/>
    <w:rsid w:val="0699E032"/>
    <w:rsid w:val="06D9602D"/>
    <w:rsid w:val="07057B6E"/>
    <w:rsid w:val="0791E2D1"/>
    <w:rsid w:val="07D6DE20"/>
    <w:rsid w:val="0829CE43"/>
    <w:rsid w:val="094FA06D"/>
    <w:rsid w:val="099B7784"/>
    <w:rsid w:val="09FB3D69"/>
    <w:rsid w:val="0A0F74D0"/>
    <w:rsid w:val="0A11DB12"/>
    <w:rsid w:val="0B086F28"/>
    <w:rsid w:val="0B1A5934"/>
    <w:rsid w:val="0B338C29"/>
    <w:rsid w:val="0BA8A77F"/>
    <w:rsid w:val="0BBA0B15"/>
    <w:rsid w:val="0C6D22C0"/>
    <w:rsid w:val="0DC5DA4E"/>
    <w:rsid w:val="0DF2805F"/>
    <w:rsid w:val="0EA7F1A3"/>
    <w:rsid w:val="0EC0273D"/>
    <w:rsid w:val="0FCA3F37"/>
    <w:rsid w:val="105E438B"/>
    <w:rsid w:val="10EC439F"/>
    <w:rsid w:val="11535CAC"/>
    <w:rsid w:val="120A7F24"/>
    <w:rsid w:val="1281612B"/>
    <w:rsid w:val="128ECE35"/>
    <w:rsid w:val="1313FB60"/>
    <w:rsid w:val="132E34F1"/>
    <w:rsid w:val="1380EF5C"/>
    <w:rsid w:val="13CB2DAB"/>
    <w:rsid w:val="13DCD14B"/>
    <w:rsid w:val="14E85D32"/>
    <w:rsid w:val="166B79B5"/>
    <w:rsid w:val="170CE702"/>
    <w:rsid w:val="174D4839"/>
    <w:rsid w:val="183ED932"/>
    <w:rsid w:val="191551E1"/>
    <w:rsid w:val="19399437"/>
    <w:rsid w:val="19769DC6"/>
    <w:rsid w:val="197A2D49"/>
    <w:rsid w:val="1A4F5E84"/>
    <w:rsid w:val="1B49D4A8"/>
    <w:rsid w:val="1B84C11E"/>
    <w:rsid w:val="1BD5596B"/>
    <w:rsid w:val="1D329276"/>
    <w:rsid w:val="1E23628B"/>
    <w:rsid w:val="1F7A69F4"/>
    <w:rsid w:val="1FC4CA7C"/>
    <w:rsid w:val="2022B16F"/>
    <w:rsid w:val="2041EC61"/>
    <w:rsid w:val="20903537"/>
    <w:rsid w:val="20B63FE2"/>
    <w:rsid w:val="21368EE4"/>
    <w:rsid w:val="21B85344"/>
    <w:rsid w:val="227A5918"/>
    <w:rsid w:val="22F71CA4"/>
    <w:rsid w:val="238FFE1E"/>
    <w:rsid w:val="241F5504"/>
    <w:rsid w:val="244AD34B"/>
    <w:rsid w:val="24867253"/>
    <w:rsid w:val="255D9FF4"/>
    <w:rsid w:val="25B1F9DA"/>
    <w:rsid w:val="25E48047"/>
    <w:rsid w:val="268BC467"/>
    <w:rsid w:val="272C08AB"/>
    <w:rsid w:val="275C7267"/>
    <w:rsid w:val="27C557B0"/>
    <w:rsid w:val="285A61AD"/>
    <w:rsid w:val="285D7AF4"/>
    <w:rsid w:val="2888FCDB"/>
    <w:rsid w:val="28BCA7B2"/>
    <w:rsid w:val="29CAFA03"/>
    <w:rsid w:val="2A258CBF"/>
    <w:rsid w:val="2A346EFB"/>
    <w:rsid w:val="2AFA919A"/>
    <w:rsid w:val="2B4E54D1"/>
    <w:rsid w:val="2C31E29A"/>
    <w:rsid w:val="2CE126BB"/>
    <w:rsid w:val="2D02ED8D"/>
    <w:rsid w:val="2D5B2F7B"/>
    <w:rsid w:val="2DEB4CDE"/>
    <w:rsid w:val="2DFCE800"/>
    <w:rsid w:val="2DFDE5DC"/>
    <w:rsid w:val="2EFE7C75"/>
    <w:rsid w:val="2F933285"/>
    <w:rsid w:val="2F9D1BCA"/>
    <w:rsid w:val="3032A6AD"/>
    <w:rsid w:val="30A8BFDB"/>
    <w:rsid w:val="319DCD61"/>
    <w:rsid w:val="32CFF6CE"/>
    <w:rsid w:val="3314D249"/>
    <w:rsid w:val="33228BDA"/>
    <w:rsid w:val="336A476F"/>
    <w:rsid w:val="34065331"/>
    <w:rsid w:val="342290F8"/>
    <w:rsid w:val="344946B7"/>
    <w:rsid w:val="3499AFDB"/>
    <w:rsid w:val="34BDEDA8"/>
    <w:rsid w:val="354600D3"/>
    <w:rsid w:val="355FAF97"/>
    <w:rsid w:val="35DC619F"/>
    <w:rsid w:val="373E1CF5"/>
    <w:rsid w:val="37742345"/>
    <w:rsid w:val="377C82C7"/>
    <w:rsid w:val="37CD84EC"/>
    <w:rsid w:val="37E3C8AF"/>
    <w:rsid w:val="38DE5666"/>
    <w:rsid w:val="3A0A566E"/>
    <w:rsid w:val="3B2F737C"/>
    <w:rsid w:val="3C4FF3EA"/>
    <w:rsid w:val="3C58D20E"/>
    <w:rsid w:val="3D2D11E9"/>
    <w:rsid w:val="3E104B00"/>
    <w:rsid w:val="3E38FABC"/>
    <w:rsid w:val="3EAEF753"/>
    <w:rsid w:val="3EAFCEA3"/>
    <w:rsid w:val="3F6E6C4F"/>
    <w:rsid w:val="3FE68DD0"/>
    <w:rsid w:val="40DC7FC5"/>
    <w:rsid w:val="40E7AB68"/>
    <w:rsid w:val="40F12475"/>
    <w:rsid w:val="4139E272"/>
    <w:rsid w:val="41707F5C"/>
    <w:rsid w:val="4217F14E"/>
    <w:rsid w:val="42BBEA05"/>
    <w:rsid w:val="43744279"/>
    <w:rsid w:val="43B4BDCE"/>
    <w:rsid w:val="43BB2138"/>
    <w:rsid w:val="43E39D32"/>
    <w:rsid w:val="4442B6E2"/>
    <w:rsid w:val="445B05CF"/>
    <w:rsid w:val="44E802C4"/>
    <w:rsid w:val="4602C386"/>
    <w:rsid w:val="472B48B4"/>
    <w:rsid w:val="473364A0"/>
    <w:rsid w:val="4792A691"/>
    <w:rsid w:val="47ACB9D8"/>
    <w:rsid w:val="48A32F09"/>
    <w:rsid w:val="48B12FAD"/>
    <w:rsid w:val="494E79D0"/>
    <w:rsid w:val="49CE1E04"/>
    <w:rsid w:val="4A737A38"/>
    <w:rsid w:val="4B12D4AF"/>
    <w:rsid w:val="4B7A21F1"/>
    <w:rsid w:val="4B869EAF"/>
    <w:rsid w:val="4C0E1D69"/>
    <w:rsid w:val="4C9A83FD"/>
    <w:rsid w:val="4D176832"/>
    <w:rsid w:val="4D4104CA"/>
    <w:rsid w:val="4D4C41E4"/>
    <w:rsid w:val="4E1FAE2F"/>
    <w:rsid w:val="4E589815"/>
    <w:rsid w:val="4EDC82AB"/>
    <w:rsid w:val="4F8ECF1B"/>
    <w:rsid w:val="4F9A98B6"/>
    <w:rsid w:val="4FCD9DCF"/>
    <w:rsid w:val="5062FD8C"/>
    <w:rsid w:val="5120607A"/>
    <w:rsid w:val="517795F8"/>
    <w:rsid w:val="518806A3"/>
    <w:rsid w:val="52233B9E"/>
    <w:rsid w:val="5235336C"/>
    <w:rsid w:val="52A6A7C9"/>
    <w:rsid w:val="539D654B"/>
    <w:rsid w:val="552932E7"/>
    <w:rsid w:val="559817E7"/>
    <w:rsid w:val="56731776"/>
    <w:rsid w:val="57BE3847"/>
    <w:rsid w:val="584A56AF"/>
    <w:rsid w:val="590CEE28"/>
    <w:rsid w:val="59335FE5"/>
    <w:rsid w:val="59D3FE8B"/>
    <w:rsid w:val="59E505DB"/>
    <w:rsid w:val="5A13BA91"/>
    <w:rsid w:val="5A3EB275"/>
    <w:rsid w:val="5A911FA0"/>
    <w:rsid w:val="5A99A8A7"/>
    <w:rsid w:val="5AAF26A4"/>
    <w:rsid w:val="5B14BDB2"/>
    <w:rsid w:val="5B7F4C0E"/>
    <w:rsid w:val="5BB0C203"/>
    <w:rsid w:val="5BBB05B3"/>
    <w:rsid w:val="5BC9EA11"/>
    <w:rsid w:val="5BDDBBB0"/>
    <w:rsid w:val="5BDDCDE6"/>
    <w:rsid w:val="5BF291CE"/>
    <w:rsid w:val="5C5DA3D1"/>
    <w:rsid w:val="5C8FB8F2"/>
    <w:rsid w:val="5CA4EF76"/>
    <w:rsid w:val="5E9AA22F"/>
    <w:rsid w:val="5EAE3448"/>
    <w:rsid w:val="5EEF4ED4"/>
    <w:rsid w:val="5F2CC23C"/>
    <w:rsid w:val="5F658832"/>
    <w:rsid w:val="5FB507CA"/>
    <w:rsid w:val="608DF001"/>
    <w:rsid w:val="61808288"/>
    <w:rsid w:val="61EE8D92"/>
    <w:rsid w:val="61FE375F"/>
    <w:rsid w:val="62527C40"/>
    <w:rsid w:val="626E9D0F"/>
    <w:rsid w:val="62AA2535"/>
    <w:rsid w:val="62DF0788"/>
    <w:rsid w:val="63C36438"/>
    <w:rsid w:val="642DD716"/>
    <w:rsid w:val="64702243"/>
    <w:rsid w:val="64987BE0"/>
    <w:rsid w:val="64BDB5A3"/>
    <w:rsid w:val="64D24687"/>
    <w:rsid w:val="64FD248E"/>
    <w:rsid w:val="65B28C71"/>
    <w:rsid w:val="65D1C082"/>
    <w:rsid w:val="66691789"/>
    <w:rsid w:val="676737EF"/>
    <w:rsid w:val="696558D5"/>
    <w:rsid w:val="69DADDDF"/>
    <w:rsid w:val="6B5B0480"/>
    <w:rsid w:val="6BB4D577"/>
    <w:rsid w:val="6C23143E"/>
    <w:rsid w:val="6C2851DB"/>
    <w:rsid w:val="6C8321AE"/>
    <w:rsid w:val="6E5A5556"/>
    <w:rsid w:val="6E784D52"/>
    <w:rsid w:val="6EA7666C"/>
    <w:rsid w:val="6EE17103"/>
    <w:rsid w:val="6F2C2CFB"/>
    <w:rsid w:val="6FBF08C8"/>
    <w:rsid w:val="6FDF1250"/>
    <w:rsid w:val="70139BCC"/>
    <w:rsid w:val="70288CCB"/>
    <w:rsid w:val="71412F73"/>
    <w:rsid w:val="720D90C0"/>
    <w:rsid w:val="72222EF1"/>
    <w:rsid w:val="723A42DA"/>
    <w:rsid w:val="725EAEED"/>
    <w:rsid w:val="72E59F94"/>
    <w:rsid w:val="72F26332"/>
    <w:rsid w:val="731BA212"/>
    <w:rsid w:val="735594F9"/>
    <w:rsid w:val="735ADFB8"/>
    <w:rsid w:val="73A86F43"/>
    <w:rsid w:val="74549FB4"/>
    <w:rsid w:val="74BB12B1"/>
    <w:rsid w:val="75D2D363"/>
    <w:rsid w:val="75DA2623"/>
    <w:rsid w:val="75EE7011"/>
    <w:rsid w:val="76C2B5DA"/>
    <w:rsid w:val="7702A14D"/>
    <w:rsid w:val="7718DEBD"/>
    <w:rsid w:val="7731BFD5"/>
    <w:rsid w:val="79705186"/>
    <w:rsid w:val="7A107276"/>
    <w:rsid w:val="7A463F54"/>
    <w:rsid w:val="7B499B3F"/>
    <w:rsid w:val="7B8F2D28"/>
    <w:rsid w:val="7BEB1C79"/>
    <w:rsid w:val="7BF93955"/>
    <w:rsid w:val="7C03DBE7"/>
    <w:rsid w:val="7CFC4235"/>
    <w:rsid w:val="7D38C17F"/>
    <w:rsid w:val="7D8F0665"/>
    <w:rsid w:val="7DBE5106"/>
    <w:rsid w:val="7E5D20BF"/>
    <w:rsid w:val="7E77CD96"/>
    <w:rsid w:val="7E965223"/>
    <w:rsid w:val="7EBC1C4D"/>
    <w:rsid w:val="7EBC88C1"/>
    <w:rsid w:val="7EBC90D1"/>
    <w:rsid w:val="7EFDE8B5"/>
    <w:rsid w:val="7F83211E"/>
    <w:rsid w:val="7FD8A59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9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631C"/>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5D2709"/>
    <w:pPr>
      <w:tabs>
        <w:tab w:val="left" w:pos="480"/>
        <w:tab w:val="right" w:leader="dot" w:pos="9004"/>
      </w:tabs>
      <w:spacing w:before="120"/>
    </w:pPr>
    <w:rPr>
      <w:b/>
      <w:bCs/>
      <w:noProof/>
    </w:rPr>
  </w:style>
  <w:style w:type="paragraph" w:styleId="Verzeichnis2">
    <w:name w:val="toc 2"/>
    <w:basedOn w:val="Standard"/>
    <w:next w:val="Standard"/>
    <w:autoRedefine/>
    <w:uiPriority w:val="39"/>
    <w:rsid w:val="00B5697D"/>
    <w:pPr>
      <w:tabs>
        <w:tab w:val="left" w:pos="720"/>
        <w:tab w:val="right" w:leader="dot" w:pos="9004"/>
      </w:tabs>
      <w:spacing w:before="120"/>
      <w:ind w:left="238"/>
    </w:pPr>
  </w:style>
  <w:style w:type="paragraph" w:styleId="Verzeichnis3">
    <w:name w:val="toc 3"/>
    <w:basedOn w:val="Standard"/>
    <w:next w:val="Standard"/>
    <w:autoRedefine/>
    <w:uiPriority w:val="39"/>
    <w:rsid w:val="006E4DF2"/>
    <w:pPr>
      <w:tabs>
        <w:tab w:val="left" w:pos="96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uiPriority w:val="99"/>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8"/>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3322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874997472">
      <w:bodyDiv w:val="1"/>
      <w:marLeft w:val="0"/>
      <w:marRight w:val="0"/>
      <w:marTop w:val="0"/>
      <w:marBottom w:val="0"/>
      <w:divBdr>
        <w:top w:val="none" w:sz="0" w:space="0" w:color="auto"/>
        <w:left w:val="none" w:sz="0" w:space="0" w:color="auto"/>
        <w:bottom w:val="none" w:sz="0" w:space="0" w:color="auto"/>
        <w:right w:val="none" w:sz="0" w:space="0" w:color="auto"/>
      </w:divBdr>
    </w:div>
    <w:div w:id="1033920987">
      <w:bodyDiv w:val="1"/>
      <w:marLeft w:val="0"/>
      <w:marRight w:val="0"/>
      <w:marTop w:val="0"/>
      <w:marBottom w:val="0"/>
      <w:divBdr>
        <w:top w:val="none" w:sz="0" w:space="0" w:color="auto"/>
        <w:left w:val="none" w:sz="0" w:space="0" w:color="auto"/>
        <w:bottom w:val="none" w:sz="0" w:space="0" w:color="auto"/>
        <w:right w:val="none" w:sz="0" w:space="0" w:color="auto"/>
      </w:divBdr>
    </w:div>
    <w:div w:id="1302686734">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 w:id="1912350177">
      <w:bodyDiv w:val="1"/>
      <w:marLeft w:val="0"/>
      <w:marRight w:val="0"/>
      <w:marTop w:val="0"/>
      <w:marBottom w:val="0"/>
      <w:divBdr>
        <w:top w:val="none" w:sz="0" w:space="0" w:color="auto"/>
        <w:left w:val="none" w:sz="0" w:space="0" w:color="auto"/>
        <w:bottom w:val="none" w:sz="0" w:space="0" w:color="auto"/>
        <w:right w:val="none" w:sz="0" w:space="0" w:color="auto"/>
      </w:divBdr>
      <w:divsChild>
        <w:div w:id="1567372088">
          <w:marLeft w:val="0"/>
          <w:marRight w:val="0"/>
          <w:marTop w:val="220"/>
          <w:marBottom w:val="0"/>
          <w:divBdr>
            <w:top w:val="none" w:sz="0" w:space="0" w:color="auto"/>
            <w:left w:val="none" w:sz="0" w:space="0" w:color="auto"/>
            <w:bottom w:val="none" w:sz="0" w:space="0" w:color="auto"/>
            <w:right w:val="none" w:sz="0" w:space="0" w:color="auto"/>
          </w:divBdr>
          <w:divsChild>
            <w:div w:id="389500913">
              <w:marLeft w:val="0"/>
              <w:marRight w:val="0"/>
              <w:marTop w:val="120"/>
              <w:marBottom w:val="0"/>
              <w:divBdr>
                <w:top w:val="none" w:sz="0" w:space="0" w:color="auto"/>
                <w:left w:val="none" w:sz="0" w:space="0" w:color="auto"/>
                <w:bottom w:val="none" w:sz="0" w:space="0" w:color="auto"/>
                <w:right w:val="none" w:sz="0" w:space="0" w:color="auto"/>
              </w:divBdr>
            </w:div>
            <w:div w:id="1285388251">
              <w:marLeft w:val="0"/>
              <w:marRight w:val="0"/>
              <w:marTop w:val="80"/>
              <w:marBottom w:val="0"/>
              <w:divBdr>
                <w:top w:val="none" w:sz="0" w:space="0" w:color="auto"/>
                <w:left w:val="none" w:sz="0" w:space="0" w:color="auto"/>
                <w:bottom w:val="none" w:sz="0" w:space="0" w:color="auto"/>
                <w:right w:val="none" w:sz="0" w:space="0" w:color="auto"/>
              </w:divBdr>
            </w:div>
            <w:div w:id="1730379277">
              <w:marLeft w:val="0"/>
              <w:marRight w:val="0"/>
              <w:marTop w:val="80"/>
              <w:marBottom w:val="0"/>
              <w:divBdr>
                <w:top w:val="none" w:sz="0" w:space="0" w:color="auto"/>
                <w:left w:val="none" w:sz="0" w:space="0" w:color="auto"/>
                <w:bottom w:val="none" w:sz="0" w:space="0" w:color="auto"/>
                <w:right w:val="none" w:sz="0" w:space="0" w:color="auto"/>
              </w:divBdr>
              <w:divsChild>
                <w:div w:id="1090271863">
                  <w:marLeft w:val="284"/>
                  <w:marRight w:val="0"/>
                  <w:marTop w:val="60"/>
                  <w:marBottom w:val="0"/>
                  <w:divBdr>
                    <w:top w:val="none" w:sz="0" w:space="0" w:color="auto"/>
                    <w:left w:val="none" w:sz="0" w:space="0" w:color="auto"/>
                    <w:bottom w:val="none" w:sz="0" w:space="0" w:color="auto"/>
                    <w:right w:val="none" w:sz="0" w:space="0" w:color="auto"/>
                  </w:divBdr>
                </w:div>
                <w:div w:id="2133664469">
                  <w:marLeft w:val="284"/>
                  <w:marRight w:val="0"/>
                  <w:marTop w:val="60"/>
                  <w:marBottom w:val="0"/>
                  <w:divBdr>
                    <w:top w:val="none" w:sz="0" w:space="0" w:color="auto"/>
                    <w:left w:val="none" w:sz="0" w:space="0" w:color="auto"/>
                    <w:bottom w:val="none" w:sz="0" w:space="0" w:color="auto"/>
                    <w:right w:val="none" w:sz="0" w:space="0" w:color="auto"/>
                  </w:divBdr>
                </w:div>
              </w:divsChild>
            </w:div>
            <w:div w:id="1885830899">
              <w:marLeft w:val="0"/>
              <w:marRight w:val="0"/>
              <w:marTop w:val="80"/>
              <w:marBottom w:val="0"/>
              <w:divBdr>
                <w:top w:val="none" w:sz="0" w:space="0" w:color="auto"/>
                <w:left w:val="none" w:sz="0" w:space="0" w:color="auto"/>
                <w:bottom w:val="none" w:sz="0" w:space="0" w:color="auto"/>
                <w:right w:val="none" w:sz="0" w:space="0" w:color="auto"/>
              </w:divBdr>
            </w:div>
          </w:divsChild>
        </w:div>
        <w:div w:id="184374100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B028946F5F1242AE5196ADBF81C242" ma:contentTypeVersion="3" ma:contentTypeDescription="Ein neues Dokument erstellen." ma:contentTypeScope="" ma:versionID="62bc2d407fe235f45ff038f385ab52fe">
  <xsd:schema xmlns:xsd="http://www.w3.org/2001/XMLSchema" xmlns:xs="http://www.w3.org/2001/XMLSchema" xmlns:p="http://schemas.microsoft.com/office/2006/metadata/properties" xmlns:ns2="2a14abaf-4fa0-4b89-83f4-749b866dd9d6" targetNamespace="http://schemas.microsoft.com/office/2006/metadata/properties" ma:root="true" ma:fieldsID="d0cf747cc860d0d27bb32c29c2c39545" ns2:_="">
    <xsd:import namespace="2a14abaf-4fa0-4b89-83f4-749b866dd9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4abaf-4fa0-4b89-83f4-749b866dd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B3518-396A-4DB2-AD7D-E64471C09D3A}">
  <ds:schemaRefs>
    <ds:schemaRef ds:uri="http://schemas.microsoft.com/sharepoint/v3/contenttype/forms"/>
  </ds:schemaRefs>
</ds:datastoreItem>
</file>

<file path=customXml/itemProps2.xml><?xml version="1.0" encoding="utf-8"?>
<ds:datastoreItem xmlns:ds="http://schemas.openxmlformats.org/officeDocument/2006/customXml" ds:itemID="{3F875528-0692-4389-98C0-51646BD959E3}">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2a14abaf-4fa0-4b89-83f4-749b866dd9d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25B11A4-AE48-4E83-832B-258321DC0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4abaf-4fa0-4b89-83f4-749b866d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BE384-7ACD-4E88-A2B5-12B747E9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5002</Words>
  <Characters>40473</Characters>
  <Application>Microsoft Office Word</Application>
  <DocSecurity>0</DocSecurity>
  <Lines>337</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45385</CharactersWithSpaces>
  <SharedDoc>false</SharedDoc>
  <HLinks>
    <vt:vector size="168" baseType="variant">
      <vt:variant>
        <vt:i4>1769531</vt:i4>
      </vt:variant>
      <vt:variant>
        <vt:i4>164</vt:i4>
      </vt:variant>
      <vt:variant>
        <vt:i4>0</vt:i4>
      </vt:variant>
      <vt:variant>
        <vt:i4>5</vt:i4>
      </vt:variant>
      <vt:variant>
        <vt:lpwstr/>
      </vt:variant>
      <vt:variant>
        <vt:lpwstr>_Toc141788370</vt:lpwstr>
      </vt:variant>
      <vt:variant>
        <vt:i4>1703995</vt:i4>
      </vt:variant>
      <vt:variant>
        <vt:i4>158</vt:i4>
      </vt:variant>
      <vt:variant>
        <vt:i4>0</vt:i4>
      </vt:variant>
      <vt:variant>
        <vt:i4>5</vt:i4>
      </vt:variant>
      <vt:variant>
        <vt:lpwstr/>
      </vt:variant>
      <vt:variant>
        <vt:lpwstr>_Toc141788369</vt:lpwstr>
      </vt:variant>
      <vt:variant>
        <vt:i4>1703995</vt:i4>
      </vt:variant>
      <vt:variant>
        <vt:i4>152</vt:i4>
      </vt:variant>
      <vt:variant>
        <vt:i4>0</vt:i4>
      </vt:variant>
      <vt:variant>
        <vt:i4>5</vt:i4>
      </vt:variant>
      <vt:variant>
        <vt:lpwstr/>
      </vt:variant>
      <vt:variant>
        <vt:lpwstr>_Toc141788368</vt:lpwstr>
      </vt:variant>
      <vt:variant>
        <vt:i4>1703995</vt:i4>
      </vt:variant>
      <vt:variant>
        <vt:i4>146</vt:i4>
      </vt:variant>
      <vt:variant>
        <vt:i4>0</vt:i4>
      </vt:variant>
      <vt:variant>
        <vt:i4>5</vt:i4>
      </vt:variant>
      <vt:variant>
        <vt:lpwstr/>
      </vt:variant>
      <vt:variant>
        <vt:lpwstr>_Toc141788367</vt:lpwstr>
      </vt:variant>
      <vt:variant>
        <vt:i4>1703995</vt:i4>
      </vt:variant>
      <vt:variant>
        <vt:i4>140</vt:i4>
      </vt:variant>
      <vt:variant>
        <vt:i4>0</vt:i4>
      </vt:variant>
      <vt:variant>
        <vt:i4>5</vt:i4>
      </vt:variant>
      <vt:variant>
        <vt:lpwstr/>
      </vt:variant>
      <vt:variant>
        <vt:lpwstr>_Toc141788366</vt:lpwstr>
      </vt:variant>
      <vt:variant>
        <vt:i4>1703995</vt:i4>
      </vt:variant>
      <vt:variant>
        <vt:i4>134</vt:i4>
      </vt:variant>
      <vt:variant>
        <vt:i4>0</vt:i4>
      </vt:variant>
      <vt:variant>
        <vt:i4>5</vt:i4>
      </vt:variant>
      <vt:variant>
        <vt:lpwstr/>
      </vt:variant>
      <vt:variant>
        <vt:lpwstr>_Toc141788365</vt:lpwstr>
      </vt:variant>
      <vt:variant>
        <vt:i4>1703995</vt:i4>
      </vt:variant>
      <vt:variant>
        <vt:i4>128</vt:i4>
      </vt:variant>
      <vt:variant>
        <vt:i4>0</vt:i4>
      </vt:variant>
      <vt:variant>
        <vt:i4>5</vt:i4>
      </vt:variant>
      <vt:variant>
        <vt:lpwstr/>
      </vt:variant>
      <vt:variant>
        <vt:lpwstr>_Toc141788364</vt:lpwstr>
      </vt:variant>
      <vt:variant>
        <vt:i4>1703995</vt:i4>
      </vt:variant>
      <vt:variant>
        <vt:i4>122</vt:i4>
      </vt:variant>
      <vt:variant>
        <vt:i4>0</vt:i4>
      </vt:variant>
      <vt:variant>
        <vt:i4>5</vt:i4>
      </vt:variant>
      <vt:variant>
        <vt:lpwstr/>
      </vt:variant>
      <vt:variant>
        <vt:lpwstr>_Toc141788363</vt:lpwstr>
      </vt:variant>
      <vt:variant>
        <vt:i4>1703995</vt:i4>
      </vt:variant>
      <vt:variant>
        <vt:i4>116</vt:i4>
      </vt:variant>
      <vt:variant>
        <vt:i4>0</vt:i4>
      </vt:variant>
      <vt:variant>
        <vt:i4>5</vt:i4>
      </vt:variant>
      <vt:variant>
        <vt:lpwstr/>
      </vt:variant>
      <vt:variant>
        <vt:lpwstr>_Toc141788362</vt:lpwstr>
      </vt:variant>
      <vt:variant>
        <vt:i4>1703995</vt:i4>
      </vt:variant>
      <vt:variant>
        <vt:i4>110</vt:i4>
      </vt:variant>
      <vt:variant>
        <vt:i4>0</vt:i4>
      </vt:variant>
      <vt:variant>
        <vt:i4>5</vt:i4>
      </vt:variant>
      <vt:variant>
        <vt:lpwstr/>
      </vt:variant>
      <vt:variant>
        <vt:lpwstr>_Toc141788361</vt:lpwstr>
      </vt:variant>
      <vt:variant>
        <vt:i4>1703995</vt:i4>
      </vt:variant>
      <vt:variant>
        <vt:i4>104</vt:i4>
      </vt:variant>
      <vt:variant>
        <vt:i4>0</vt:i4>
      </vt:variant>
      <vt:variant>
        <vt:i4>5</vt:i4>
      </vt:variant>
      <vt:variant>
        <vt:lpwstr/>
      </vt:variant>
      <vt:variant>
        <vt:lpwstr>_Toc141788360</vt:lpwstr>
      </vt:variant>
      <vt:variant>
        <vt:i4>1638459</vt:i4>
      </vt:variant>
      <vt:variant>
        <vt:i4>98</vt:i4>
      </vt:variant>
      <vt:variant>
        <vt:i4>0</vt:i4>
      </vt:variant>
      <vt:variant>
        <vt:i4>5</vt:i4>
      </vt:variant>
      <vt:variant>
        <vt:lpwstr/>
      </vt:variant>
      <vt:variant>
        <vt:lpwstr>_Toc141788359</vt:lpwstr>
      </vt:variant>
      <vt:variant>
        <vt:i4>1638459</vt:i4>
      </vt:variant>
      <vt:variant>
        <vt:i4>92</vt:i4>
      </vt:variant>
      <vt:variant>
        <vt:i4>0</vt:i4>
      </vt:variant>
      <vt:variant>
        <vt:i4>5</vt:i4>
      </vt:variant>
      <vt:variant>
        <vt:lpwstr/>
      </vt:variant>
      <vt:variant>
        <vt:lpwstr>_Toc141788358</vt:lpwstr>
      </vt:variant>
      <vt:variant>
        <vt:i4>1638459</vt:i4>
      </vt:variant>
      <vt:variant>
        <vt:i4>86</vt:i4>
      </vt:variant>
      <vt:variant>
        <vt:i4>0</vt:i4>
      </vt:variant>
      <vt:variant>
        <vt:i4>5</vt:i4>
      </vt:variant>
      <vt:variant>
        <vt:lpwstr/>
      </vt:variant>
      <vt:variant>
        <vt:lpwstr>_Toc141788357</vt:lpwstr>
      </vt:variant>
      <vt:variant>
        <vt:i4>1638459</vt:i4>
      </vt:variant>
      <vt:variant>
        <vt:i4>80</vt:i4>
      </vt:variant>
      <vt:variant>
        <vt:i4>0</vt:i4>
      </vt:variant>
      <vt:variant>
        <vt:i4>5</vt:i4>
      </vt:variant>
      <vt:variant>
        <vt:lpwstr/>
      </vt:variant>
      <vt:variant>
        <vt:lpwstr>_Toc141788356</vt:lpwstr>
      </vt:variant>
      <vt:variant>
        <vt:i4>1638459</vt:i4>
      </vt:variant>
      <vt:variant>
        <vt:i4>74</vt:i4>
      </vt:variant>
      <vt:variant>
        <vt:i4>0</vt:i4>
      </vt:variant>
      <vt:variant>
        <vt:i4>5</vt:i4>
      </vt:variant>
      <vt:variant>
        <vt:lpwstr/>
      </vt:variant>
      <vt:variant>
        <vt:lpwstr>_Toc141788355</vt:lpwstr>
      </vt:variant>
      <vt:variant>
        <vt:i4>1638459</vt:i4>
      </vt:variant>
      <vt:variant>
        <vt:i4>68</vt:i4>
      </vt:variant>
      <vt:variant>
        <vt:i4>0</vt:i4>
      </vt:variant>
      <vt:variant>
        <vt:i4>5</vt:i4>
      </vt:variant>
      <vt:variant>
        <vt:lpwstr/>
      </vt:variant>
      <vt:variant>
        <vt:lpwstr>_Toc141788354</vt:lpwstr>
      </vt:variant>
      <vt:variant>
        <vt:i4>1638459</vt:i4>
      </vt:variant>
      <vt:variant>
        <vt:i4>62</vt:i4>
      </vt:variant>
      <vt:variant>
        <vt:i4>0</vt:i4>
      </vt:variant>
      <vt:variant>
        <vt:i4>5</vt:i4>
      </vt:variant>
      <vt:variant>
        <vt:lpwstr/>
      </vt:variant>
      <vt:variant>
        <vt:lpwstr>_Toc141788353</vt:lpwstr>
      </vt:variant>
      <vt:variant>
        <vt:i4>1638459</vt:i4>
      </vt:variant>
      <vt:variant>
        <vt:i4>56</vt:i4>
      </vt:variant>
      <vt:variant>
        <vt:i4>0</vt:i4>
      </vt:variant>
      <vt:variant>
        <vt:i4>5</vt:i4>
      </vt:variant>
      <vt:variant>
        <vt:lpwstr/>
      </vt:variant>
      <vt:variant>
        <vt:lpwstr>_Toc141788352</vt:lpwstr>
      </vt:variant>
      <vt:variant>
        <vt:i4>1638459</vt:i4>
      </vt:variant>
      <vt:variant>
        <vt:i4>50</vt:i4>
      </vt:variant>
      <vt:variant>
        <vt:i4>0</vt:i4>
      </vt:variant>
      <vt:variant>
        <vt:i4>5</vt:i4>
      </vt:variant>
      <vt:variant>
        <vt:lpwstr/>
      </vt:variant>
      <vt:variant>
        <vt:lpwstr>_Toc141788351</vt:lpwstr>
      </vt:variant>
      <vt:variant>
        <vt:i4>1638459</vt:i4>
      </vt:variant>
      <vt:variant>
        <vt:i4>44</vt:i4>
      </vt:variant>
      <vt:variant>
        <vt:i4>0</vt:i4>
      </vt:variant>
      <vt:variant>
        <vt:i4>5</vt:i4>
      </vt:variant>
      <vt:variant>
        <vt:lpwstr/>
      </vt:variant>
      <vt:variant>
        <vt:lpwstr>_Toc141788350</vt:lpwstr>
      </vt:variant>
      <vt:variant>
        <vt:i4>1572923</vt:i4>
      </vt:variant>
      <vt:variant>
        <vt:i4>38</vt:i4>
      </vt:variant>
      <vt:variant>
        <vt:i4>0</vt:i4>
      </vt:variant>
      <vt:variant>
        <vt:i4>5</vt:i4>
      </vt:variant>
      <vt:variant>
        <vt:lpwstr/>
      </vt:variant>
      <vt:variant>
        <vt:lpwstr>_Toc141788349</vt:lpwstr>
      </vt:variant>
      <vt:variant>
        <vt:i4>1572923</vt:i4>
      </vt:variant>
      <vt:variant>
        <vt:i4>32</vt:i4>
      </vt:variant>
      <vt:variant>
        <vt:i4>0</vt:i4>
      </vt:variant>
      <vt:variant>
        <vt:i4>5</vt:i4>
      </vt:variant>
      <vt:variant>
        <vt:lpwstr/>
      </vt:variant>
      <vt:variant>
        <vt:lpwstr>_Toc141788348</vt:lpwstr>
      </vt:variant>
      <vt:variant>
        <vt:i4>1572923</vt:i4>
      </vt:variant>
      <vt:variant>
        <vt:i4>26</vt:i4>
      </vt:variant>
      <vt:variant>
        <vt:i4>0</vt:i4>
      </vt:variant>
      <vt:variant>
        <vt:i4>5</vt:i4>
      </vt:variant>
      <vt:variant>
        <vt:lpwstr/>
      </vt:variant>
      <vt:variant>
        <vt:lpwstr>_Toc141788347</vt:lpwstr>
      </vt:variant>
      <vt:variant>
        <vt:i4>1572923</vt:i4>
      </vt:variant>
      <vt:variant>
        <vt:i4>20</vt:i4>
      </vt:variant>
      <vt:variant>
        <vt:i4>0</vt:i4>
      </vt:variant>
      <vt:variant>
        <vt:i4>5</vt:i4>
      </vt:variant>
      <vt:variant>
        <vt:lpwstr/>
      </vt:variant>
      <vt:variant>
        <vt:lpwstr>_Toc141788346</vt:lpwstr>
      </vt:variant>
      <vt:variant>
        <vt:i4>1572923</vt:i4>
      </vt:variant>
      <vt:variant>
        <vt:i4>14</vt:i4>
      </vt:variant>
      <vt:variant>
        <vt:i4>0</vt:i4>
      </vt:variant>
      <vt:variant>
        <vt:i4>5</vt:i4>
      </vt:variant>
      <vt:variant>
        <vt:lpwstr/>
      </vt:variant>
      <vt:variant>
        <vt:lpwstr>_Toc141788345</vt:lpwstr>
      </vt:variant>
      <vt:variant>
        <vt:i4>1572923</vt:i4>
      </vt:variant>
      <vt:variant>
        <vt:i4>8</vt:i4>
      </vt:variant>
      <vt:variant>
        <vt:i4>0</vt:i4>
      </vt:variant>
      <vt:variant>
        <vt:i4>5</vt:i4>
      </vt:variant>
      <vt:variant>
        <vt:lpwstr/>
      </vt:variant>
      <vt:variant>
        <vt:lpwstr>_Toc141788344</vt:lpwstr>
      </vt:variant>
      <vt:variant>
        <vt:i4>1572923</vt:i4>
      </vt:variant>
      <vt:variant>
        <vt:i4>2</vt:i4>
      </vt:variant>
      <vt:variant>
        <vt:i4>0</vt:i4>
      </vt:variant>
      <vt:variant>
        <vt:i4>5</vt:i4>
      </vt:variant>
      <vt:variant>
        <vt:lpwstr/>
      </vt:variant>
      <vt:variant>
        <vt:lpwstr>_Toc141788343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2023-08-25T07:03:00Z</dcterms:created>
  <dcterms:modified xsi:type="dcterms:W3CDTF">2023-10-09T15:16:00Z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0x01010093B028946F5F1242AE5196ADBF81C242</vt:lpwstr>
  </property>
</Properties>
</file>