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1E10E451" w:rsidR="009F7D17" w:rsidRDefault="00C20C12" w:rsidP="00E3092C">
      <w:pPr>
        <w:pStyle w:val="Default"/>
        <w:rPr>
          <w:rFonts w:ascii="Garamond" w:hAnsi="Garamond" w:cs="Times New Roman"/>
          <w:color w:val="505154"/>
          <w:sz w:val="50"/>
          <w:szCs w:val="36"/>
          <w:lang w:val="en-US"/>
        </w:rPr>
      </w:pPr>
      <w:r w:rsidRPr="00B50531">
        <w:rPr>
          <w:rFonts w:ascii="Garamond" w:hAnsi="Garamond" w:cs="Times New Roman"/>
          <w:color w:val="505154"/>
          <w:sz w:val="50"/>
          <w:szCs w:val="36"/>
          <w:lang w:val="en-US"/>
        </w:rPr>
        <w:t>Report</w:t>
      </w:r>
      <w:r w:rsidR="0000488D">
        <w:rPr>
          <w:rFonts w:ascii="Garamond" w:hAnsi="Garamond" w:cs="Times New Roman"/>
          <w:color w:val="505154"/>
          <w:sz w:val="50"/>
          <w:szCs w:val="36"/>
          <w:lang w:val="en-US"/>
        </w:rPr>
        <w:t xml:space="preserve"> template</w:t>
      </w:r>
    </w:p>
    <w:p w14:paraId="7010D482" w14:textId="77777777" w:rsidR="00CE4623" w:rsidRPr="00B50531" w:rsidRDefault="00CE4623" w:rsidP="00E3092C">
      <w:pPr>
        <w:pStyle w:val="Default"/>
        <w:rPr>
          <w:rFonts w:ascii="Garamond" w:hAnsi="Garamond" w:cs="Times New Roman"/>
          <w:color w:val="505154"/>
          <w:sz w:val="50"/>
          <w:szCs w:val="36"/>
          <w:lang w:val="en-US"/>
        </w:rPr>
      </w:pPr>
    </w:p>
    <w:p w14:paraId="5C6DC1B3" w14:textId="5FDB57D0" w:rsidR="00C20C12" w:rsidRPr="00B50531" w:rsidRDefault="00AE35F7" w:rsidP="009F7D17">
      <w:pPr>
        <w:pStyle w:val="Default"/>
        <w:spacing w:before="120" w:line="200" w:lineRule="atLeast"/>
        <w:rPr>
          <w:rFonts w:ascii="Garamond" w:hAnsi="Garamond" w:cs="Times New Roman"/>
          <w:szCs w:val="36"/>
          <w:lang w:val="en-US"/>
        </w:rPr>
      </w:pPr>
      <w:r>
        <w:rPr>
          <w:rFonts w:ascii="Garamond" w:hAnsi="Garamond" w:cs="Times New Roman"/>
          <w:szCs w:val="36"/>
          <w:lang w:val="en-US"/>
        </w:rPr>
        <w:t xml:space="preserve">on the </w:t>
      </w:r>
      <w:r w:rsidR="002169FB">
        <w:rPr>
          <w:rFonts w:ascii="Garamond" w:hAnsi="Garamond" w:cs="Times New Roman"/>
          <w:szCs w:val="36"/>
          <w:lang w:val="en-US"/>
        </w:rPr>
        <w:t xml:space="preserve">resolvability audit </w:t>
      </w:r>
      <w:r>
        <w:rPr>
          <w:rFonts w:ascii="Garamond" w:hAnsi="Garamond" w:cs="Times New Roman"/>
          <w:szCs w:val="36"/>
          <w:lang w:val="en-US"/>
        </w:rPr>
        <w:t xml:space="preserve">of </w:t>
      </w:r>
      <w:r w:rsidR="0000488D">
        <w:rPr>
          <w:rFonts w:ascii="Garamond" w:hAnsi="Garamond" w:cs="Times New Roman"/>
          <w:szCs w:val="36"/>
          <w:lang w:val="en-US"/>
        </w:rPr>
        <w:t>entities</w:t>
      </w:r>
      <w:r>
        <w:rPr>
          <w:rFonts w:ascii="Garamond" w:hAnsi="Garamond" w:cs="Times New Roman"/>
          <w:szCs w:val="36"/>
          <w:lang w:val="en-US"/>
        </w:rPr>
        <w:t xml:space="preserve"> according to Art. 2</w:t>
      </w:r>
      <w:r w:rsidR="007F0025">
        <w:rPr>
          <w:rFonts w:ascii="Garamond" w:hAnsi="Garamond" w:cs="Times New Roman"/>
          <w:szCs w:val="36"/>
          <w:lang w:val="en-US"/>
        </w:rPr>
        <w:t xml:space="preserve"> </w:t>
      </w:r>
      <w:r>
        <w:rPr>
          <w:rFonts w:ascii="Garamond" w:hAnsi="Garamond" w:cs="Times New Roman"/>
          <w:szCs w:val="36"/>
          <w:lang w:val="en-US"/>
        </w:rPr>
        <w:t xml:space="preserve">(1) (a)-(d) </w:t>
      </w:r>
      <w:r w:rsidR="00496EAD">
        <w:rPr>
          <w:rFonts w:ascii="Garamond" w:hAnsi="Garamond" w:cs="Times New Roman"/>
          <w:szCs w:val="36"/>
          <w:lang w:val="en-US"/>
        </w:rPr>
        <w:t>SAG</w:t>
      </w:r>
      <w:r w:rsidR="002F07E3">
        <w:rPr>
          <w:rFonts w:ascii="Garamond" w:hAnsi="Garamond" w:cs="Times New Roman"/>
          <w:szCs w:val="36"/>
          <w:lang w:val="en-US"/>
        </w:rPr>
        <w:t xml:space="preserve"> (</w:t>
      </w:r>
      <w:proofErr w:type="spellStart"/>
      <w:r w:rsidR="003D3B4D" w:rsidRPr="009F7995">
        <w:rPr>
          <w:rFonts w:ascii="Garamond" w:hAnsi="Garamond" w:cs="Times New Roman"/>
          <w:i/>
          <w:szCs w:val="36"/>
          <w:lang w:val="en-US"/>
        </w:rPr>
        <w:t>Sanierungs</w:t>
      </w:r>
      <w:proofErr w:type="spellEnd"/>
      <w:r w:rsidR="003D3B4D" w:rsidRPr="009F7995">
        <w:rPr>
          <w:rFonts w:ascii="Garamond" w:hAnsi="Garamond" w:cs="Times New Roman"/>
          <w:i/>
          <w:szCs w:val="36"/>
          <w:lang w:val="en-US"/>
        </w:rPr>
        <w:t xml:space="preserve">- und </w:t>
      </w:r>
      <w:proofErr w:type="spellStart"/>
      <w:r w:rsidR="003D3B4D" w:rsidRPr="009F7995">
        <w:rPr>
          <w:rFonts w:ascii="Garamond" w:hAnsi="Garamond" w:cs="Times New Roman"/>
          <w:i/>
          <w:szCs w:val="36"/>
          <w:lang w:val="en-US"/>
        </w:rPr>
        <w:t>Abwicklungsgesetz</w:t>
      </w:r>
      <w:proofErr w:type="spellEnd"/>
      <w:r w:rsidR="002F07E3">
        <w:rPr>
          <w:rFonts w:ascii="Garamond" w:hAnsi="Garamond" w:cs="Times New Roman"/>
          <w:szCs w:val="36"/>
          <w:lang w:val="en-US"/>
        </w:rPr>
        <w:t>)</w:t>
      </w:r>
    </w:p>
    <w:p w14:paraId="2219662C" w14:textId="449F8BED" w:rsidR="009F7D17" w:rsidRPr="00B50531" w:rsidRDefault="00254B93" w:rsidP="009F7D17">
      <w:pPr>
        <w:pStyle w:val="Default"/>
        <w:spacing w:before="120" w:line="200" w:lineRule="atLeast"/>
        <w:rPr>
          <w:rFonts w:ascii="Garamond" w:hAnsi="Garamond" w:cs="Times New Roman"/>
          <w:szCs w:val="36"/>
          <w:lang w:val="en-US"/>
        </w:rPr>
      </w:pPr>
      <w:r w:rsidRPr="00B50531">
        <w:rPr>
          <w:rFonts w:ascii="Garamond" w:hAnsi="Garamond" w:cs="Times New Roman"/>
          <w:szCs w:val="36"/>
          <w:lang w:val="en-US"/>
        </w:rPr>
        <w:t>(</w:t>
      </w:r>
      <w:r w:rsidR="00C20C12" w:rsidRPr="00B50531">
        <w:rPr>
          <w:rFonts w:ascii="Garamond" w:hAnsi="Garamond" w:cs="Times New Roman"/>
          <w:szCs w:val="36"/>
          <w:lang w:val="en-US"/>
        </w:rPr>
        <w:t>Appendix</w:t>
      </w:r>
      <w:r w:rsidRPr="00B50531">
        <w:rPr>
          <w:rFonts w:ascii="Garamond" w:hAnsi="Garamond" w:cs="Times New Roman"/>
          <w:szCs w:val="36"/>
          <w:lang w:val="en-US"/>
        </w:rPr>
        <w:t xml:space="preserve"> A</w:t>
      </w:r>
      <w:r w:rsidR="0000488D">
        <w:rPr>
          <w:rFonts w:ascii="Garamond" w:hAnsi="Garamond" w:cs="Times New Roman"/>
          <w:szCs w:val="36"/>
          <w:lang w:val="en-US"/>
        </w:rPr>
        <w:t>3</w:t>
      </w:r>
      <w:r w:rsidRPr="00B50531">
        <w:rPr>
          <w:rFonts w:ascii="Garamond" w:hAnsi="Garamond" w:cs="Times New Roman"/>
          <w:szCs w:val="36"/>
          <w:lang w:val="en-US"/>
        </w:rPr>
        <w:t>)</w:t>
      </w:r>
    </w:p>
    <w:p w14:paraId="43716094" w14:textId="77777777" w:rsidR="003A65D2" w:rsidRPr="00B50531" w:rsidRDefault="003A65D2" w:rsidP="009F7D17">
      <w:pPr>
        <w:pStyle w:val="Default"/>
        <w:spacing w:before="120" w:line="200" w:lineRule="atLeast"/>
        <w:rPr>
          <w:rFonts w:ascii="Garamond" w:hAnsi="Garamond" w:cs="Times New Roman"/>
          <w:szCs w:val="36"/>
          <w:lang w:val="en-US"/>
        </w:rPr>
      </w:pPr>
    </w:p>
    <w:p w14:paraId="6F92E940" w14:textId="77777777" w:rsidR="009F7D17" w:rsidRPr="00B50531" w:rsidRDefault="009F7D17" w:rsidP="009F7D17">
      <w:pPr>
        <w:pStyle w:val="Default"/>
        <w:spacing w:before="120"/>
        <w:rPr>
          <w:rFonts w:ascii="Arial" w:hAnsi="Arial" w:cs="Arial"/>
          <w:b/>
          <w:sz w:val="20"/>
          <w:szCs w:val="20"/>
          <w:lang w:val="en-US"/>
        </w:rPr>
      </w:pPr>
    </w:p>
    <w:p w14:paraId="720B3422" w14:textId="28C91E31" w:rsidR="00DF2E41" w:rsidRPr="00B50531" w:rsidRDefault="00D8574B" w:rsidP="009F7D17">
      <w:pPr>
        <w:pStyle w:val="Default"/>
        <w:spacing w:before="120"/>
        <w:rPr>
          <w:rFonts w:ascii="Garamond" w:hAnsi="Garamond" w:cs="Arial"/>
          <w:sz w:val="20"/>
          <w:szCs w:val="20"/>
          <w:lang w:val="en-US"/>
        </w:rPr>
      </w:pPr>
      <w:r w:rsidRPr="00B50531">
        <w:rPr>
          <w:rFonts w:ascii="Garamond" w:hAnsi="Garamond" w:cs="Arial"/>
          <w:sz w:val="20"/>
          <w:szCs w:val="20"/>
          <w:lang w:val="en-US"/>
        </w:rPr>
        <w:t>De</w:t>
      </w:r>
      <w:r w:rsidR="00C20C12" w:rsidRPr="00B50531">
        <w:rPr>
          <w:rFonts w:ascii="Garamond" w:hAnsi="Garamond" w:cs="Arial"/>
          <w:sz w:val="20"/>
          <w:szCs w:val="20"/>
          <w:lang w:val="en-US"/>
        </w:rPr>
        <w:t>c</w:t>
      </w:r>
      <w:r w:rsidRPr="00B50531">
        <w:rPr>
          <w:rFonts w:ascii="Garamond" w:hAnsi="Garamond" w:cs="Arial"/>
          <w:sz w:val="20"/>
          <w:szCs w:val="20"/>
          <w:lang w:val="en-US"/>
        </w:rPr>
        <w:t>ember</w:t>
      </w:r>
      <w:r w:rsidR="00636495" w:rsidRPr="00B50531">
        <w:rPr>
          <w:rFonts w:ascii="Garamond" w:hAnsi="Garamond" w:cs="Arial"/>
          <w:sz w:val="20"/>
          <w:szCs w:val="20"/>
          <w:lang w:val="en-US"/>
        </w:rPr>
        <w:t xml:space="preserve"> 202</w:t>
      </w:r>
      <w:r w:rsidRPr="00B50531">
        <w:rPr>
          <w:rFonts w:ascii="Garamond" w:hAnsi="Garamond" w:cs="Arial"/>
          <w:sz w:val="20"/>
          <w:szCs w:val="20"/>
          <w:lang w:val="en-US"/>
        </w:rPr>
        <w:t>3</w:t>
      </w:r>
    </w:p>
    <w:p w14:paraId="32DBEE2B" w14:textId="77777777" w:rsidR="00C7008E" w:rsidRPr="00B50531" w:rsidRDefault="00C7008E" w:rsidP="009F7D17">
      <w:pPr>
        <w:pStyle w:val="Default"/>
        <w:spacing w:before="120"/>
        <w:rPr>
          <w:rFonts w:ascii="Garamond" w:hAnsi="Garamond" w:cs="Arial"/>
          <w:sz w:val="20"/>
          <w:szCs w:val="20"/>
          <w:lang w:val="en-US"/>
        </w:rPr>
      </w:pPr>
    </w:p>
    <w:p w14:paraId="3A4CBE2A" w14:textId="53ED9351" w:rsidR="00611F2C" w:rsidRPr="00B50531" w:rsidRDefault="00611F2C" w:rsidP="00EC489E">
      <w:pPr>
        <w:pStyle w:val="Default"/>
        <w:spacing w:before="120"/>
        <w:rPr>
          <w:rFonts w:ascii="Garamond" w:hAnsi="Garamond" w:cs="Arial"/>
          <w:sz w:val="20"/>
          <w:szCs w:val="20"/>
          <w:lang w:val="en-US"/>
        </w:rPr>
      </w:pPr>
    </w:p>
    <w:p w14:paraId="2D28233B" w14:textId="5C396CA8" w:rsidR="00611F2C" w:rsidRPr="00B50531" w:rsidRDefault="00611F2C" w:rsidP="00EC489E">
      <w:pPr>
        <w:pStyle w:val="Default"/>
        <w:spacing w:before="120"/>
        <w:rPr>
          <w:rFonts w:ascii="Garamond" w:hAnsi="Garamond" w:cs="Arial"/>
          <w:sz w:val="20"/>
          <w:szCs w:val="20"/>
          <w:lang w:val="en-US"/>
        </w:rPr>
        <w:sectPr w:rsidR="00611F2C" w:rsidRPr="00B50531" w:rsidSect="005F2157">
          <w:headerReference w:type="even" r:id="rId11"/>
          <w:headerReference w:type="default" r:id="rId12"/>
          <w:footerReference w:type="even" r:id="rId13"/>
          <w:footerReference w:type="default" r:id="rId14"/>
          <w:headerReference w:type="first" r:id="rId15"/>
          <w:footerReference w:type="first" r:id="rId16"/>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en-US"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50531" w:rsidRDefault="003A65D2" w:rsidP="00254B93">
          <w:pPr>
            <w:pStyle w:val="Inhaltsverzeichnisberschrift"/>
            <w:spacing w:before="120" w:after="0" w:line="240" w:lineRule="auto"/>
            <w:rPr>
              <w:rFonts w:ascii="Arial" w:hAnsi="Arial" w:cs="Arial"/>
              <w:sz w:val="20"/>
              <w:szCs w:val="20"/>
              <w:lang w:val="en-US"/>
            </w:rPr>
          </w:pPr>
          <w:proofErr w:type="spellStart"/>
          <w:r w:rsidRPr="00B50531">
            <w:rPr>
              <w:rFonts w:ascii="Arial" w:hAnsi="Arial" w:cs="Arial"/>
              <w:sz w:val="20"/>
              <w:szCs w:val="20"/>
              <w:lang w:val="en-US"/>
            </w:rPr>
            <w:t>Inhalt</w:t>
          </w:r>
          <w:proofErr w:type="spellEnd"/>
        </w:p>
        <w:p w14:paraId="1FB40F51" w14:textId="77935506" w:rsidR="00B07B2A" w:rsidRDefault="00326E88">
          <w:pPr>
            <w:pStyle w:val="Verzeichnis1"/>
            <w:rPr>
              <w:rFonts w:asciiTheme="minorHAnsi" w:eastAsiaTheme="minorEastAsia" w:hAnsiTheme="minorHAnsi" w:cstheme="minorBidi"/>
              <w:b w:val="0"/>
              <w:bCs w:val="0"/>
              <w:sz w:val="22"/>
              <w:szCs w:val="22"/>
              <w:lang w:eastAsia="de-CH"/>
            </w:rPr>
          </w:pPr>
          <w:r w:rsidRPr="00B50531">
            <w:rPr>
              <w:lang w:val="en-US"/>
            </w:rPr>
            <w:fldChar w:fldCharType="begin"/>
          </w:r>
          <w:r w:rsidRPr="00B50531">
            <w:rPr>
              <w:lang w:val="en-US"/>
            </w:rPr>
            <w:instrText xml:space="preserve"> TOC \o "2-2" \h \z \t "Überschrift 1;1;Überschrift 3;3;FINMA Gliederung Ebene 1;1;FINMA Gliederung Ebene 2;2;FINMA Gliederung Ebene 3;3" </w:instrText>
          </w:r>
          <w:r w:rsidRPr="00B50531">
            <w:rPr>
              <w:lang w:val="en-US"/>
            </w:rPr>
            <w:fldChar w:fldCharType="separate"/>
          </w:r>
          <w:hyperlink w:anchor="_Toc145409723" w:history="1">
            <w:r w:rsidR="00B07B2A" w:rsidRPr="00CE1054">
              <w:rPr>
                <w:rStyle w:val="Hyperlink"/>
                <w:lang w:val="en-US"/>
              </w:rPr>
              <w:t>1.</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Framework</w:t>
            </w:r>
            <w:r w:rsidR="00B07B2A">
              <w:rPr>
                <w:webHidden/>
              </w:rPr>
              <w:tab/>
            </w:r>
            <w:r w:rsidR="00B07B2A">
              <w:rPr>
                <w:webHidden/>
              </w:rPr>
              <w:fldChar w:fldCharType="begin"/>
            </w:r>
            <w:r w:rsidR="00B07B2A">
              <w:rPr>
                <w:webHidden/>
              </w:rPr>
              <w:instrText xml:space="preserve"> PAGEREF _Toc145409723 \h </w:instrText>
            </w:r>
            <w:r w:rsidR="00B07B2A">
              <w:rPr>
                <w:webHidden/>
              </w:rPr>
            </w:r>
            <w:r w:rsidR="00B07B2A">
              <w:rPr>
                <w:webHidden/>
              </w:rPr>
              <w:fldChar w:fldCharType="separate"/>
            </w:r>
            <w:r w:rsidR="00B07B2A">
              <w:rPr>
                <w:webHidden/>
              </w:rPr>
              <w:t>4</w:t>
            </w:r>
            <w:r w:rsidR="00B07B2A">
              <w:rPr>
                <w:webHidden/>
              </w:rPr>
              <w:fldChar w:fldCharType="end"/>
            </w:r>
          </w:hyperlink>
        </w:p>
        <w:p w14:paraId="59BC5F54" w14:textId="73821FF2" w:rsidR="00B07B2A" w:rsidRDefault="00AC2079">
          <w:pPr>
            <w:pStyle w:val="Verzeichnis1"/>
            <w:rPr>
              <w:rFonts w:asciiTheme="minorHAnsi" w:eastAsiaTheme="minorEastAsia" w:hAnsiTheme="minorHAnsi" w:cstheme="minorBidi"/>
              <w:b w:val="0"/>
              <w:bCs w:val="0"/>
              <w:sz w:val="22"/>
              <w:szCs w:val="22"/>
              <w:lang w:eastAsia="de-CH"/>
            </w:rPr>
          </w:pPr>
          <w:hyperlink w:anchor="_Toc145409724" w:history="1">
            <w:r w:rsidR="00B07B2A" w:rsidRPr="00CE1054">
              <w:rPr>
                <w:rStyle w:val="Hyperlink"/>
                <w:lang w:val="en-US"/>
              </w:rPr>
              <w:t>2.</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Additional mandates of the auditor</w:t>
            </w:r>
            <w:r w:rsidR="00B07B2A">
              <w:rPr>
                <w:webHidden/>
              </w:rPr>
              <w:tab/>
            </w:r>
            <w:r w:rsidR="00B07B2A">
              <w:rPr>
                <w:webHidden/>
              </w:rPr>
              <w:fldChar w:fldCharType="begin"/>
            </w:r>
            <w:r w:rsidR="00B07B2A">
              <w:rPr>
                <w:webHidden/>
              </w:rPr>
              <w:instrText xml:space="preserve"> PAGEREF _Toc145409724 \h </w:instrText>
            </w:r>
            <w:r w:rsidR="00B07B2A">
              <w:rPr>
                <w:webHidden/>
              </w:rPr>
            </w:r>
            <w:r w:rsidR="00B07B2A">
              <w:rPr>
                <w:webHidden/>
              </w:rPr>
              <w:fldChar w:fldCharType="separate"/>
            </w:r>
            <w:r w:rsidR="00B07B2A">
              <w:rPr>
                <w:webHidden/>
              </w:rPr>
              <w:t>4</w:t>
            </w:r>
            <w:r w:rsidR="00B07B2A">
              <w:rPr>
                <w:webHidden/>
              </w:rPr>
              <w:fldChar w:fldCharType="end"/>
            </w:r>
          </w:hyperlink>
        </w:p>
        <w:p w14:paraId="2AA20F9B" w14:textId="61520FDB" w:rsidR="00B07B2A" w:rsidRDefault="00AC2079">
          <w:pPr>
            <w:pStyle w:val="Verzeichnis1"/>
            <w:rPr>
              <w:rFonts w:asciiTheme="minorHAnsi" w:eastAsiaTheme="minorEastAsia" w:hAnsiTheme="minorHAnsi" w:cstheme="minorBidi"/>
              <w:b w:val="0"/>
              <w:bCs w:val="0"/>
              <w:sz w:val="22"/>
              <w:szCs w:val="22"/>
              <w:lang w:eastAsia="de-CH"/>
            </w:rPr>
          </w:pPr>
          <w:hyperlink w:anchor="_Toc145409725" w:history="1">
            <w:r w:rsidR="00B07B2A" w:rsidRPr="00CE1054">
              <w:rPr>
                <w:rStyle w:val="Hyperlink"/>
                <w:lang w:val="en-US"/>
              </w:rPr>
              <w:t>3.</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Summary</w:t>
            </w:r>
            <w:r w:rsidR="00B07B2A">
              <w:rPr>
                <w:webHidden/>
              </w:rPr>
              <w:tab/>
            </w:r>
            <w:r w:rsidR="00B07B2A">
              <w:rPr>
                <w:webHidden/>
              </w:rPr>
              <w:fldChar w:fldCharType="begin"/>
            </w:r>
            <w:r w:rsidR="00B07B2A">
              <w:rPr>
                <w:webHidden/>
              </w:rPr>
              <w:instrText xml:space="preserve"> PAGEREF _Toc145409725 \h </w:instrText>
            </w:r>
            <w:r w:rsidR="00B07B2A">
              <w:rPr>
                <w:webHidden/>
              </w:rPr>
            </w:r>
            <w:r w:rsidR="00B07B2A">
              <w:rPr>
                <w:webHidden/>
              </w:rPr>
              <w:fldChar w:fldCharType="separate"/>
            </w:r>
            <w:r w:rsidR="00B07B2A">
              <w:rPr>
                <w:webHidden/>
              </w:rPr>
              <w:t>4</w:t>
            </w:r>
            <w:r w:rsidR="00B07B2A">
              <w:rPr>
                <w:webHidden/>
              </w:rPr>
              <w:fldChar w:fldCharType="end"/>
            </w:r>
          </w:hyperlink>
        </w:p>
        <w:p w14:paraId="263D6AFA" w14:textId="00248BF7" w:rsidR="00B07B2A" w:rsidRDefault="00AC2079">
          <w:pPr>
            <w:pStyle w:val="Verzeichnis2"/>
            <w:rPr>
              <w:rFonts w:asciiTheme="minorHAnsi" w:eastAsiaTheme="minorEastAsia" w:hAnsiTheme="minorHAnsi" w:cstheme="minorBidi"/>
              <w:noProof/>
              <w:sz w:val="22"/>
              <w:szCs w:val="22"/>
              <w:lang w:eastAsia="de-CH"/>
            </w:rPr>
          </w:pPr>
          <w:hyperlink w:anchor="_Toc145409726" w:history="1">
            <w:r w:rsidR="00B07B2A" w:rsidRPr="00CE1054">
              <w:rPr>
                <w:rStyle w:val="Hyperlink"/>
                <w:noProof/>
                <w:lang w:val="en-US"/>
              </w:rPr>
              <w:t>3.1</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Objections</w:t>
            </w:r>
            <w:r w:rsidR="00B07B2A">
              <w:rPr>
                <w:noProof/>
                <w:webHidden/>
              </w:rPr>
              <w:tab/>
            </w:r>
            <w:r w:rsidR="00B07B2A">
              <w:rPr>
                <w:noProof/>
                <w:webHidden/>
              </w:rPr>
              <w:fldChar w:fldCharType="begin"/>
            </w:r>
            <w:r w:rsidR="00B07B2A">
              <w:rPr>
                <w:noProof/>
                <w:webHidden/>
              </w:rPr>
              <w:instrText xml:space="preserve"> PAGEREF _Toc145409726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1D3DBF1B" w14:textId="112D9799" w:rsidR="00B07B2A" w:rsidRDefault="00AC2079">
          <w:pPr>
            <w:pStyle w:val="Verzeichnis2"/>
            <w:rPr>
              <w:rFonts w:asciiTheme="minorHAnsi" w:eastAsiaTheme="minorEastAsia" w:hAnsiTheme="minorHAnsi" w:cstheme="minorBidi"/>
              <w:noProof/>
              <w:sz w:val="22"/>
              <w:szCs w:val="22"/>
              <w:lang w:eastAsia="de-CH"/>
            </w:rPr>
          </w:pPr>
          <w:hyperlink w:anchor="_Toc145409727" w:history="1">
            <w:r w:rsidR="00B07B2A" w:rsidRPr="00CE1054">
              <w:rPr>
                <w:rStyle w:val="Hyperlink"/>
                <w:noProof/>
                <w:lang w:val="en-US"/>
              </w:rPr>
              <w:t>3.2</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Recommendations</w:t>
            </w:r>
            <w:r w:rsidR="00B07B2A">
              <w:rPr>
                <w:noProof/>
                <w:webHidden/>
              </w:rPr>
              <w:tab/>
            </w:r>
            <w:r w:rsidR="00B07B2A">
              <w:rPr>
                <w:noProof/>
                <w:webHidden/>
              </w:rPr>
              <w:fldChar w:fldCharType="begin"/>
            </w:r>
            <w:r w:rsidR="00B07B2A">
              <w:rPr>
                <w:noProof/>
                <w:webHidden/>
              </w:rPr>
              <w:instrText xml:space="preserve"> PAGEREF _Toc145409727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64D930D2" w14:textId="59899D30" w:rsidR="00B07B2A" w:rsidRDefault="00AC2079">
          <w:pPr>
            <w:pStyle w:val="Verzeichnis2"/>
            <w:rPr>
              <w:rFonts w:asciiTheme="minorHAnsi" w:eastAsiaTheme="minorEastAsia" w:hAnsiTheme="minorHAnsi" w:cstheme="minorBidi"/>
              <w:noProof/>
              <w:sz w:val="22"/>
              <w:szCs w:val="22"/>
              <w:lang w:eastAsia="de-CH"/>
            </w:rPr>
          </w:pPr>
          <w:hyperlink w:anchor="_Toc145409728" w:history="1">
            <w:r w:rsidR="00B07B2A" w:rsidRPr="00CE1054">
              <w:rPr>
                <w:rStyle w:val="Hyperlink"/>
                <w:noProof/>
                <w:lang w:val="en-US"/>
              </w:rPr>
              <w:t>3.3</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Objections from the previous year</w:t>
            </w:r>
            <w:r w:rsidR="00B07B2A">
              <w:rPr>
                <w:noProof/>
                <w:webHidden/>
              </w:rPr>
              <w:tab/>
            </w:r>
            <w:r w:rsidR="00B07B2A">
              <w:rPr>
                <w:noProof/>
                <w:webHidden/>
              </w:rPr>
              <w:fldChar w:fldCharType="begin"/>
            </w:r>
            <w:r w:rsidR="00B07B2A">
              <w:rPr>
                <w:noProof/>
                <w:webHidden/>
              </w:rPr>
              <w:instrText xml:space="preserve"> PAGEREF _Toc145409728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7B32C319" w14:textId="66DC5687" w:rsidR="00B07B2A" w:rsidRDefault="00AC2079">
          <w:pPr>
            <w:pStyle w:val="Verzeichnis2"/>
            <w:rPr>
              <w:rFonts w:asciiTheme="minorHAnsi" w:eastAsiaTheme="minorEastAsia" w:hAnsiTheme="minorHAnsi" w:cstheme="minorBidi"/>
              <w:noProof/>
              <w:sz w:val="22"/>
              <w:szCs w:val="22"/>
              <w:lang w:eastAsia="de-CH"/>
            </w:rPr>
          </w:pPr>
          <w:hyperlink w:anchor="_Toc145409729" w:history="1">
            <w:r w:rsidR="00B07B2A" w:rsidRPr="00CE1054">
              <w:rPr>
                <w:rStyle w:val="Hyperlink"/>
                <w:noProof/>
                <w:lang w:val="en-US"/>
              </w:rPr>
              <w:t>3.4</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Recommendations from the previous year</w:t>
            </w:r>
            <w:r w:rsidR="00B07B2A">
              <w:rPr>
                <w:noProof/>
                <w:webHidden/>
              </w:rPr>
              <w:tab/>
            </w:r>
            <w:r w:rsidR="00B07B2A">
              <w:rPr>
                <w:noProof/>
                <w:webHidden/>
              </w:rPr>
              <w:fldChar w:fldCharType="begin"/>
            </w:r>
            <w:r w:rsidR="00B07B2A">
              <w:rPr>
                <w:noProof/>
                <w:webHidden/>
              </w:rPr>
              <w:instrText xml:space="preserve"> PAGEREF _Toc145409729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65739BFA" w14:textId="17DE9B07" w:rsidR="00B07B2A" w:rsidRDefault="00AC2079">
          <w:pPr>
            <w:pStyle w:val="Verzeichnis2"/>
            <w:rPr>
              <w:rFonts w:asciiTheme="minorHAnsi" w:eastAsiaTheme="minorEastAsia" w:hAnsiTheme="minorHAnsi" w:cstheme="minorBidi"/>
              <w:noProof/>
              <w:sz w:val="22"/>
              <w:szCs w:val="22"/>
              <w:lang w:eastAsia="de-CH"/>
            </w:rPr>
          </w:pPr>
          <w:hyperlink w:anchor="_Toc145409730" w:history="1">
            <w:r w:rsidR="00B07B2A" w:rsidRPr="00CE1054">
              <w:rPr>
                <w:rStyle w:val="Hyperlink"/>
                <w:noProof/>
                <w:lang w:val="en-US"/>
              </w:rPr>
              <w:t>3.5</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Confirmation regarding FMA requirements (Resolvability)</w:t>
            </w:r>
            <w:r w:rsidR="00B07B2A">
              <w:rPr>
                <w:noProof/>
                <w:webHidden/>
              </w:rPr>
              <w:tab/>
            </w:r>
            <w:r w:rsidR="00B07B2A">
              <w:rPr>
                <w:noProof/>
                <w:webHidden/>
              </w:rPr>
              <w:fldChar w:fldCharType="begin"/>
            </w:r>
            <w:r w:rsidR="00B07B2A">
              <w:rPr>
                <w:noProof/>
                <w:webHidden/>
              </w:rPr>
              <w:instrText xml:space="preserve"> PAGEREF _Toc145409730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1F33B671" w14:textId="0FB89D80" w:rsidR="00B07B2A" w:rsidRDefault="00AC2079">
          <w:pPr>
            <w:pStyle w:val="Verzeichnis2"/>
            <w:rPr>
              <w:rFonts w:asciiTheme="minorHAnsi" w:eastAsiaTheme="minorEastAsia" w:hAnsiTheme="minorHAnsi" w:cstheme="minorBidi"/>
              <w:noProof/>
              <w:sz w:val="22"/>
              <w:szCs w:val="22"/>
              <w:lang w:eastAsia="de-CH"/>
            </w:rPr>
          </w:pPr>
          <w:hyperlink w:anchor="_Toc145409731" w:history="1">
            <w:r w:rsidR="00B07B2A" w:rsidRPr="00CE1054">
              <w:rPr>
                <w:rStyle w:val="Hyperlink"/>
                <w:noProof/>
                <w:lang w:val="en-US"/>
              </w:rPr>
              <w:t>3.6</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Key findings of internal audit (Resolvability)</w:t>
            </w:r>
            <w:r w:rsidR="00B07B2A">
              <w:rPr>
                <w:noProof/>
                <w:webHidden/>
              </w:rPr>
              <w:tab/>
            </w:r>
            <w:r w:rsidR="00B07B2A">
              <w:rPr>
                <w:noProof/>
                <w:webHidden/>
              </w:rPr>
              <w:fldChar w:fldCharType="begin"/>
            </w:r>
            <w:r w:rsidR="00B07B2A">
              <w:rPr>
                <w:noProof/>
                <w:webHidden/>
              </w:rPr>
              <w:instrText xml:space="preserve"> PAGEREF _Toc145409731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1DEAC0C1" w14:textId="4227CC97" w:rsidR="00B07B2A" w:rsidRDefault="00AC2079">
          <w:pPr>
            <w:pStyle w:val="Verzeichnis2"/>
            <w:rPr>
              <w:rFonts w:asciiTheme="minorHAnsi" w:eastAsiaTheme="minorEastAsia" w:hAnsiTheme="minorHAnsi" w:cstheme="minorBidi"/>
              <w:noProof/>
              <w:sz w:val="22"/>
              <w:szCs w:val="22"/>
              <w:lang w:eastAsia="de-CH"/>
            </w:rPr>
          </w:pPr>
          <w:hyperlink w:anchor="_Toc145409732" w:history="1">
            <w:r w:rsidR="00B07B2A" w:rsidRPr="00CE1054">
              <w:rPr>
                <w:rStyle w:val="Hyperlink"/>
                <w:noProof/>
                <w:lang w:val="en-US"/>
              </w:rPr>
              <w:t>3.7</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Key findings by third parties (Resolvability)</w:t>
            </w:r>
            <w:r w:rsidR="00B07B2A">
              <w:rPr>
                <w:noProof/>
                <w:webHidden/>
              </w:rPr>
              <w:tab/>
            </w:r>
            <w:r w:rsidR="00B07B2A">
              <w:rPr>
                <w:noProof/>
                <w:webHidden/>
              </w:rPr>
              <w:fldChar w:fldCharType="begin"/>
            </w:r>
            <w:r w:rsidR="00B07B2A">
              <w:rPr>
                <w:noProof/>
                <w:webHidden/>
              </w:rPr>
              <w:instrText xml:space="preserve"> PAGEREF _Toc145409732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51F16C53" w14:textId="0A4CF706" w:rsidR="00B07B2A" w:rsidRDefault="00AC2079">
          <w:pPr>
            <w:pStyle w:val="Verzeichnis2"/>
            <w:rPr>
              <w:rFonts w:asciiTheme="minorHAnsi" w:eastAsiaTheme="minorEastAsia" w:hAnsiTheme="minorHAnsi" w:cstheme="minorBidi"/>
              <w:noProof/>
              <w:sz w:val="22"/>
              <w:szCs w:val="22"/>
              <w:lang w:eastAsia="de-CH"/>
            </w:rPr>
          </w:pPr>
          <w:hyperlink w:anchor="_Toc145409733" w:history="1">
            <w:r w:rsidR="00B07B2A" w:rsidRPr="00CE1054">
              <w:rPr>
                <w:rStyle w:val="Hyperlink"/>
                <w:noProof/>
                <w:lang w:val="en-US"/>
              </w:rPr>
              <w:t>3.8</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Summary of auditor’s findings and overall assessment</w:t>
            </w:r>
            <w:r w:rsidR="00B07B2A">
              <w:rPr>
                <w:noProof/>
                <w:webHidden/>
              </w:rPr>
              <w:tab/>
            </w:r>
            <w:r w:rsidR="00B07B2A">
              <w:rPr>
                <w:noProof/>
                <w:webHidden/>
              </w:rPr>
              <w:fldChar w:fldCharType="begin"/>
            </w:r>
            <w:r w:rsidR="00B07B2A">
              <w:rPr>
                <w:noProof/>
                <w:webHidden/>
              </w:rPr>
              <w:instrText xml:space="preserve"> PAGEREF _Toc145409733 \h </w:instrText>
            </w:r>
            <w:r w:rsidR="00B07B2A">
              <w:rPr>
                <w:noProof/>
                <w:webHidden/>
              </w:rPr>
            </w:r>
            <w:r w:rsidR="00B07B2A">
              <w:rPr>
                <w:noProof/>
                <w:webHidden/>
              </w:rPr>
              <w:fldChar w:fldCharType="separate"/>
            </w:r>
            <w:r w:rsidR="00B07B2A">
              <w:rPr>
                <w:noProof/>
                <w:webHidden/>
              </w:rPr>
              <w:t>4</w:t>
            </w:r>
            <w:r w:rsidR="00B07B2A">
              <w:rPr>
                <w:noProof/>
                <w:webHidden/>
              </w:rPr>
              <w:fldChar w:fldCharType="end"/>
            </w:r>
          </w:hyperlink>
        </w:p>
        <w:p w14:paraId="35D59F8B" w14:textId="7FBA24C0" w:rsidR="00B07B2A" w:rsidRDefault="00AC2079">
          <w:pPr>
            <w:pStyle w:val="Verzeichnis1"/>
            <w:rPr>
              <w:rFonts w:asciiTheme="minorHAnsi" w:eastAsiaTheme="minorEastAsia" w:hAnsiTheme="minorHAnsi" w:cstheme="minorBidi"/>
              <w:b w:val="0"/>
              <w:bCs w:val="0"/>
              <w:sz w:val="22"/>
              <w:szCs w:val="22"/>
              <w:lang w:eastAsia="de-CH"/>
            </w:rPr>
          </w:pPr>
          <w:hyperlink w:anchor="_Toc145409734" w:history="1">
            <w:r w:rsidR="00B07B2A" w:rsidRPr="00CE1054">
              <w:rPr>
                <w:rStyle w:val="Hyperlink"/>
                <w:lang w:val="en-US"/>
              </w:rPr>
              <w:t>4.</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Findings</w:t>
            </w:r>
            <w:r w:rsidR="00B07B2A">
              <w:rPr>
                <w:webHidden/>
              </w:rPr>
              <w:tab/>
            </w:r>
            <w:r w:rsidR="00B07B2A">
              <w:rPr>
                <w:webHidden/>
              </w:rPr>
              <w:fldChar w:fldCharType="begin"/>
            </w:r>
            <w:r w:rsidR="00B07B2A">
              <w:rPr>
                <w:webHidden/>
              </w:rPr>
              <w:instrText xml:space="preserve"> PAGEREF _Toc145409734 \h </w:instrText>
            </w:r>
            <w:r w:rsidR="00B07B2A">
              <w:rPr>
                <w:webHidden/>
              </w:rPr>
            </w:r>
            <w:r w:rsidR="00B07B2A">
              <w:rPr>
                <w:webHidden/>
              </w:rPr>
              <w:fldChar w:fldCharType="separate"/>
            </w:r>
            <w:r w:rsidR="00B07B2A">
              <w:rPr>
                <w:webHidden/>
              </w:rPr>
              <w:t>4</w:t>
            </w:r>
            <w:r w:rsidR="00B07B2A">
              <w:rPr>
                <w:webHidden/>
              </w:rPr>
              <w:fldChar w:fldCharType="end"/>
            </w:r>
          </w:hyperlink>
        </w:p>
        <w:p w14:paraId="5F5666D8" w14:textId="2FB0EAA8" w:rsidR="00B07B2A" w:rsidRDefault="00AC2079">
          <w:pPr>
            <w:pStyle w:val="Verzeichnis1"/>
            <w:rPr>
              <w:rFonts w:asciiTheme="minorHAnsi" w:eastAsiaTheme="minorEastAsia" w:hAnsiTheme="minorHAnsi" w:cstheme="minorBidi"/>
              <w:b w:val="0"/>
              <w:bCs w:val="0"/>
              <w:sz w:val="22"/>
              <w:szCs w:val="22"/>
              <w:lang w:eastAsia="de-CH"/>
            </w:rPr>
          </w:pPr>
          <w:hyperlink w:anchor="_Toc145409735" w:history="1">
            <w:r w:rsidR="00B07B2A" w:rsidRPr="00CE1054">
              <w:rPr>
                <w:rStyle w:val="Hyperlink"/>
                <w:lang w:val="en-US"/>
              </w:rPr>
              <w:t>5.</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General part</w:t>
            </w:r>
            <w:r w:rsidR="00B07B2A">
              <w:rPr>
                <w:webHidden/>
              </w:rPr>
              <w:tab/>
            </w:r>
            <w:r w:rsidR="00B07B2A">
              <w:rPr>
                <w:webHidden/>
              </w:rPr>
              <w:fldChar w:fldCharType="begin"/>
            </w:r>
            <w:r w:rsidR="00B07B2A">
              <w:rPr>
                <w:webHidden/>
              </w:rPr>
              <w:instrText xml:space="preserve"> PAGEREF _Toc145409735 \h </w:instrText>
            </w:r>
            <w:r w:rsidR="00B07B2A">
              <w:rPr>
                <w:webHidden/>
              </w:rPr>
            </w:r>
            <w:r w:rsidR="00B07B2A">
              <w:rPr>
                <w:webHidden/>
              </w:rPr>
              <w:fldChar w:fldCharType="separate"/>
            </w:r>
            <w:r w:rsidR="00B07B2A">
              <w:rPr>
                <w:webHidden/>
              </w:rPr>
              <w:t>6</w:t>
            </w:r>
            <w:r w:rsidR="00B07B2A">
              <w:rPr>
                <w:webHidden/>
              </w:rPr>
              <w:fldChar w:fldCharType="end"/>
            </w:r>
          </w:hyperlink>
        </w:p>
        <w:p w14:paraId="10B45406" w14:textId="0102DED3" w:rsidR="00B07B2A" w:rsidRDefault="00AC2079">
          <w:pPr>
            <w:pStyle w:val="Verzeichnis2"/>
            <w:rPr>
              <w:rFonts w:asciiTheme="minorHAnsi" w:eastAsiaTheme="minorEastAsia" w:hAnsiTheme="minorHAnsi" w:cstheme="minorBidi"/>
              <w:noProof/>
              <w:sz w:val="22"/>
              <w:szCs w:val="22"/>
              <w:lang w:eastAsia="de-CH"/>
            </w:rPr>
          </w:pPr>
          <w:hyperlink w:anchor="_Toc145409736" w:history="1">
            <w:r w:rsidR="00B07B2A" w:rsidRPr="00CE1054">
              <w:rPr>
                <w:rStyle w:val="Hyperlink"/>
                <w:noProof/>
                <w:lang w:val="en-US"/>
              </w:rPr>
              <w:t>5.1</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Default and liquidation perspective</w:t>
            </w:r>
            <w:r w:rsidR="00B07B2A">
              <w:rPr>
                <w:noProof/>
                <w:webHidden/>
              </w:rPr>
              <w:tab/>
            </w:r>
            <w:r w:rsidR="00B07B2A">
              <w:rPr>
                <w:noProof/>
                <w:webHidden/>
              </w:rPr>
              <w:fldChar w:fldCharType="begin"/>
            </w:r>
            <w:r w:rsidR="00B07B2A">
              <w:rPr>
                <w:noProof/>
                <w:webHidden/>
              </w:rPr>
              <w:instrText xml:space="preserve"> PAGEREF _Toc145409736 \h </w:instrText>
            </w:r>
            <w:r w:rsidR="00B07B2A">
              <w:rPr>
                <w:noProof/>
                <w:webHidden/>
              </w:rPr>
            </w:r>
            <w:r w:rsidR="00B07B2A">
              <w:rPr>
                <w:noProof/>
                <w:webHidden/>
              </w:rPr>
              <w:fldChar w:fldCharType="separate"/>
            </w:r>
            <w:r w:rsidR="00B07B2A">
              <w:rPr>
                <w:noProof/>
                <w:webHidden/>
              </w:rPr>
              <w:t>6</w:t>
            </w:r>
            <w:r w:rsidR="00B07B2A">
              <w:rPr>
                <w:noProof/>
                <w:webHidden/>
              </w:rPr>
              <w:fldChar w:fldCharType="end"/>
            </w:r>
          </w:hyperlink>
        </w:p>
        <w:p w14:paraId="71081EB4" w14:textId="4401974B" w:rsidR="00B07B2A" w:rsidRDefault="00AC2079">
          <w:pPr>
            <w:pStyle w:val="Verzeichnis2"/>
            <w:rPr>
              <w:rFonts w:asciiTheme="minorHAnsi" w:eastAsiaTheme="minorEastAsia" w:hAnsiTheme="minorHAnsi" w:cstheme="minorBidi"/>
              <w:noProof/>
              <w:sz w:val="22"/>
              <w:szCs w:val="22"/>
              <w:lang w:eastAsia="de-CH"/>
            </w:rPr>
          </w:pPr>
          <w:hyperlink w:anchor="_Toc145409737" w:history="1">
            <w:r w:rsidR="00B07B2A" w:rsidRPr="00CE1054">
              <w:rPr>
                <w:rStyle w:val="Hyperlink"/>
                <w:noProof/>
                <w:lang w:val="en-US"/>
              </w:rPr>
              <w:t>5.2</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Payment moratorium</w:t>
            </w:r>
            <w:r w:rsidR="00B07B2A">
              <w:rPr>
                <w:noProof/>
                <w:webHidden/>
              </w:rPr>
              <w:tab/>
            </w:r>
            <w:r w:rsidR="00B07B2A">
              <w:rPr>
                <w:noProof/>
                <w:webHidden/>
              </w:rPr>
              <w:fldChar w:fldCharType="begin"/>
            </w:r>
            <w:r w:rsidR="00B07B2A">
              <w:rPr>
                <w:noProof/>
                <w:webHidden/>
              </w:rPr>
              <w:instrText xml:space="preserve"> PAGEREF _Toc145409737 \h </w:instrText>
            </w:r>
            <w:r w:rsidR="00B07B2A">
              <w:rPr>
                <w:noProof/>
                <w:webHidden/>
              </w:rPr>
            </w:r>
            <w:r w:rsidR="00B07B2A">
              <w:rPr>
                <w:noProof/>
                <w:webHidden/>
              </w:rPr>
              <w:fldChar w:fldCharType="separate"/>
            </w:r>
            <w:r w:rsidR="00B07B2A">
              <w:rPr>
                <w:noProof/>
                <w:webHidden/>
              </w:rPr>
              <w:t>7</w:t>
            </w:r>
            <w:r w:rsidR="00B07B2A">
              <w:rPr>
                <w:noProof/>
                <w:webHidden/>
              </w:rPr>
              <w:fldChar w:fldCharType="end"/>
            </w:r>
          </w:hyperlink>
        </w:p>
        <w:p w14:paraId="5F8EC5E4" w14:textId="0AB0C470" w:rsidR="00B07B2A" w:rsidRDefault="00AC2079">
          <w:pPr>
            <w:pStyle w:val="Verzeichnis2"/>
            <w:rPr>
              <w:rFonts w:asciiTheme="minorHAnsi" w:eastAsiaTheme="minorEastAsia" w:hAnsiTheme="minorHAnsi" w:cstheme="minorBidi"/>
              <w:noProof/>
              <w:sz w:val="22"/>
              <w:szCs w:val="22"/>
              <w:lang w:eastAsia="de-CH"/>
            </w:rPr>
          </w:pPr>
          <w:hyperlink w:anchor="_Toc145409738" w:history="1">
            <w:r w:rsidR="00B07B2A" w:rsidRPr="00CE1054">
              <w:rPr>
                <w:rStyle w:val="Hyperlink"/>
                <w:noProof/>
                <w:lang w:val="en-GB"/>
              </w:rPr>
              <w:t>5.3</w:t>
            </w:r>
            <w:r w:rsidR="00B07B2A">
              <w:rPr>
                <w:rFonts w:asciiTheme="minorHAnsi" w:eastAsiaTheme="minorEastAsia" w:hAnsiTheme="minorHAnsi" w:cstheme="minorBidi"/>
                <w:noProof/>
                <w:sz w:val="22"/>
                <w:szCs w:val="22"/>
                <w:lang w:eastAsia="de-CH"/>
              </w:rPr>
              <w:tab/>
            </w:r>
            <w:r w:rsidR="00B07B2A" w:rsidRPr="00CE1054">
              <w:rPr>
                <w:rStyle w:val="Hyperlink"/>
                <w:noProof/>
                <w:lang w:val="en"/>
              </w:rPr>
              <w:t>Distribution of subordinated eligible liabilities</w:t>
            </w:r>
            <w:r w:rsidR="00B07B2A">
              <w:rPr>
                <w:noProof/>
                <w:webHidden/>
              </w:rPr>
              <w:tab/>
            </w:r>
            <w:r w:rsidR="00B07B2A">
              <w:rPr>
                <w:noProof/>
                <w:webHidden/>
              </w:rPr>
              <w:fldChar w:fldCharType="begin"/>
            </w:r>
            <w:r w:rsidR="00B07B2A">
              <w:rPr>
                <w:noProof/>
                <w:webHidden/>
              </w:rPr>
              <w:instrText xml:space="preserve"> PAGEREF _Toc145409738 \h </w:instrText>
            </w:r>
            <w:r w:rsidR="00B07B2A">
              <w:rPr>
                <w:noProof/>
                <w:webHidden/>
              </w:rPr>
            </w:r>
            <w:r w:rsidR="00B07B2A">
              <w:rPr>
                <w:noProof/>
                <w:webHidden/>
              </w:rPr>
              <w:fldChar w:fldCharType="separate"/>
            </w:r>
            <w:r w:rsidR="00B07B2A">
              <w:rPr>
                <w:noProof/>
                <w:webHidden/>
              </w:rPr>
              <w:t>7</w:t>
            </w:r>
            <w:r w:rsidR="00B07B2A">
              <w:rPr>
                <w:noProof/>
                <w:webHidden/>
              </w:rPr>
              <w:fldChar w:fldCharType="end"/>
            </w:r>
          </w:hyperlink>
        </w:p>
        <w:p w14:paraId="034AA841" w14:textId="06D23025" w:rsidR="00B07B2A" w:rsidRDefault="00AC2079">
          <w:pPr>
            <w:pStyle w:val="Verzeichnis2"/>
            <w:rPr>
              <w:rFonts w:asciiTheme="minorHAnsi" w:eastAsiaTheme="minorEastAsia" w:hAnsiTheme="minorHAnsi" w:cstheme="minorBidi"/>
              <w:noProof/>
              <w:sz w:val="22"/>
              <w:szCs w:val="22"/>
              <w:lang w:eastAsia="de-CH"/>
            </w:rPr>
          </w:pPr>
          <w:hyperlink w:anchor="_Toc145409739" w:history="1">
            <w:r w:rsidR="00B07B2A" w:rsidRPr="00CE1054">
              <w:rPr>
                <w:rStyle w:val="Hyperlink"/>
                <w:noProof/>
                <w:lang w:val="en-US"/>
              </w:rPr>
              <w:t>5.4</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Reporting</w:t>
            </w:r>
            <w:r w:rsidR="00B07B2A">
              <w:rPr>
                <w:noProof/>
                <w:webHidden/>
              </w:rPr>
              <w:tab/>
            </w:r>
            <w:r w:rsidR="00B07B2A">
              <w:rPr>
                <w:noProof/>
                <w:webHidden/>
              </w:rPr>
              <w:fldChar w:fldCharType="begin"/>
            </w:r>
            <w:r w:rsidR="00B07B2A">
              <w:rPr>
                <w:noProof/>
                <w:webHidden/>
              </w:rPr>
              <w:instrText xml:space="preserve"> PAGEREF _Toc145409739 \h </w:instrText>
            </w:r>
            <w:r w:rsidR="00B07B2A">
              <w:rPr>
                <w:noProof/>
                <w:webHidden/>
              </w:rPr>
            </w:r>
            <w:r w:rsidR="00B07B2A">
              <w:rPr>
                <w:noProof/>
                <w:webHidden/>
              </w:rPr>
              <w:fldChar w:fldCharType="separate"/>
            </w:r>
            <w:r w:rsidR="00B07B2A">
              <w:rPr>
                <w:noProof/>
                <w:webHidden/>
              </w:rPr>
              <w:t>8</w:t>
            </w:r>
            <w:r w:rsidR="00B07B2A">
              <w:rPr>
                <w:noProof/>
                <w:webHidden/>
              </w:rPr>
              <w:fldChar w:fldCharType="end"/>
            </w:r>
          </w:hyperlink>
        </w:p>
        <w:p w14:paraId="622572B8" w14:textId="4F17AA53" w:rsidR="00B07B2A" w:rsidRDefault="00AC2079">
          <w:pPr>
            <w:pStyle w:val="Verzeichnis2"/>
            <w:rPr>
              <w:rFonts w:asciiTheme="minorHAnsi" w:eastAsiaTheme="minorEastAsia" w:hAnsiTheme="minorHAnsi" w:cstheme="minorBidi"/>
              <w:noProof/>
              <w:sz w:val="22"/>
              <w:szCs w:val="22"/>
              <w:lang w:eastAsia="de-CH"/>
            </w:rPr>
          </w:pPr>
          <w:hyperlink w:anchor="_Toc145409740" w:history="1">
            <w:r w:rsidR="00B07B2A" w:rsidRPr="00CE1054">
              <w:rPr>
                <w:rStyle w:val="Hyperlink"/>
                <w:noProof/>
                <w:lang w:val="en-US"/>
              </w:rPr>
              <w:t>5.5</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Disclosure</w:t>
            </w:r>
            <w:r w:rsidR="00B07B2A">
              <w:rPr>
                <w:noProof/>
                <w:webHidden/>
              </w:rPr>
              <w:tab/>
            </w:r>
            <w:r w:rsidR="00B07B2A">
              <w:rPr>
                <w:noProof/>
                <w:webHidden/>
              </w:rPr>
              <w:fldChar w:fldCharType="begin"/>
            </w:r>
            <w:r w:rsidR="00B07B2A">
              <w:rPr>
                <w:noProof/>
                <w:webHidden/>
              </w:rPr>
              <w:instrText xml:space="preserve"> PAGEREF _Toc145409740 \h </w:instrText>
            </w:r>
            <w:r w:rsidR="00B07B2A">
              <w:rPr>
                <w:noProof/>
                <w:webHidden/>
              </w:rPr>
            </w:r>
            <w:r w:rsidR="00B07B2A">
              <w:rPr>
                <w:noProof/>
                <w:webHidden/>
              </w:rPr>
              <w:fldChar w:fldCharType="separate"/>
            </w:r>
            <w:r w:rsidR="00B07B2A">
              <w:rPr>
                <w:noProof/>
                <w:webHidden/>
              </w:rPr>
              <w:t>9</w:t>
            </w:r>
            <w:r w:rsidR="00B07B2A">
              <w:rPr>
                <w:noProof/>
                <w:webHidden/>
              </w:rPr>
              <w:fldChar w:fldCharType="end"/>
            </w:r>
          </w:hyperlink>
        </w:p>
        <w:p w14:paraId="51AEE406" w14:textId="3F71E51E" w:rsidR="00B07B2A" w:rsidRDefault="00AC2079">
          <w:pPr>
            <w:pStyle w:val="Verzeichnis1"/>
            <w:rPr>
              <w:rFonts w:asciiTheme="minorHAnsi" w:eastAsiaTheme="minorEastAsia" w:hAnsiTheme="minorHAnsi" w:cstheme="minorBidi"/>
              <w:b w:val="0"/>
              <w:bCs w:val="0"/>
              <w:sz w:val="22"/>
              <w:szCs w:val="22"/>
              <w:lang w:eastAsia="de-CH"/>
            </w:rPr>
          </w:pPr>
          <w:hyperlink w:anchor="_Toc145409741" w:history="1">
            <w:r w:rsidR="00B07B2A" w:rsidRPr="00CE1054">
              <w:rPr>
                <w:rStyle w:val="Hyperlink"/>
                <w:lang w:val="en-US"/>
              </w:rPr>
              <w:t>6.</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Special part</w:t>
            </w:r>
            <w:r w:rsidR="00B07B2A">
              <w:rPr>
                <w:webHidden/>
              </w:rPr>
              <w:tab/>
            </w:r>
            <w:r w:rsidR="00B07B2A">
              <w:rPr>
                <w:webHidden/>
              </w:rPr>
              <w:fldChar w:fldCharType="begin"/>
            </w:r>
            <w:r w:rsidR="00B07B2A">
              <w:rPr>
                <w:webHidden/>
              </w:rPr>
              <w:instrText xml:space="preserve"> PAGEREF _Toc145409741 \h </w:instrText>
            </w:r>
            <w:r w:rsidR="00B07B2A">
              <w:rPr>
                <w:webHidden/>
              </w:rPr>
            </w:r>
            <w:r w:rsidR="00B07B2A">
              <w:rPr>
                <w:webHidden/>
              </w:rPr>
              <w:fldChar w:fldCharType="separate"/>
            </w:r>
            <w:r w:rsidR="00B07B2A">
              <w:rPr>
                <w:webHidden/>
              </w:rPr>
              <w:t>10</w:t>
            </w:r>
            <w:r w:rsidR="00B07B2A">
              <w:rPr>
                <w:webHidden/>
              </w:rPr>
              <w:fldChar w:fldCharType="end"/>
            </w:r>
          </w:hyperlink>
        </w:p>
        <w:p w14:paraId="3D6E893B" w14:textId="1BE583F7" w:rsidR="00B07B2A" w:rsidRDefault="00AC2079">
          <w:pPr>
            <w:pStyle w:val="Verzeichnis2"/>
            <w:rPr>
              <w:rFonts w:asciiTheme="minorHAnsi" w:eastAsiaTheme="minorEastAsia" w:hAnsiTheme="minorHAnsi" w:cstheme="minorBidi"/>
              <w:noProof/>
              <w:sz w:val="22"/>
              <w:szCs w:val="22"/>
              <w:lang w:eastAsia="de-CH"/>
            </w:rPr>
          </w:pPr>
          <w:hyperlink w:anchor="_Toc145409742" w:history="1">
            <w:r w:rsidR="00B07B2A" w:rsidRPr="00CE1054">
              <w:rPr>
                <w:rStyle w:val="Hyperlink"/>
                <w:noProof/>
                <w:lang w:val="en-US"/>
              </w:rPr>
              <w:t>6.1</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Feasibility of the resolution plan</w:t>
            </w:r>
            <w:r w:rsidR="00B07B2A">
              <w:rPr>
                <w:noProof/>
                <w:webHidden/>
              </w:rPr>
              <w:tab/>
            </w:r>
            <w:r w:rsidR="00B07B2A">
              <w:rPr>
                <w:noProof/>
                <w:webHidden/>
              </w:rPr>
              <w:fldChar w:fldCharType="begin"/>
            </w:r>
            <w:r w:rsidR="00B07B2A">
              <w:rPr>
                <w:noProof/>
                <w:webHidden/>
              </w:rPr>
              <w:instrText xml:space="preserve"> PAGEREF _Toc145409742 \h </w:instrText>
            </w:r>
            <w:r w:rsidR="00B07B2A">
              <w:rPr>
                <w:noProof/>
                <w:webHidden/>
              </w:rPr>
            </w:r>
            <w:r w:rsidR="00B07B2A">
              <w:rPr>
                <w:noProof/>
                <w:webHidden/>
              </w:rPr>
              <w:fldChar w:fldCharType="separate"/>
            </w:r>
            <w:r w:rsidR="00B07B2A">
              <w:rPr>
                <w:noProof/>
                <w:webHidden/>
              </w:rPr>
              <w:t>10</w:t>
            </w:r>
            <w:r w:rsidR="00B07B2A">
              <w:rPr>
                <w:noProof/>
                <w:webHidden/>
              </w:rPr>
              <w:fldChar w:fldCharType="end"/>
            </w:r>
          </w:hyperlink>
        </w:p>
        <w:p w14:paraId="5493681C" w14:textId="7BF44CC9" w:rsidR="00B07B2A" w:rsidRDefault="00AC2079">
          <w:pPr>
            <w:pStyle w:val="Verzeichnis2"/>
            <w:rPr>
              <w:rFonts w:asciiTheme="minorHAnsi" w:eastAsiaTheme="minorEastAsia" w:hAnsiTheme="minorHAnsi" w:cstheme="minorBidi"/>
              <w:noProof/>
              <w:sz w:val="22"/>
              <w:szCs w:val="22"/>
              <w:lang w:eastAsia="de-CH"/>
            </w:rPr>
          </w:pPr>
          <w:hyperlink w:anchor="_Toc145409743" w:history="1">
            <w:r w:rsidR="00B07B2A" w:rsidRPr="00CE1054">
              <w:rPr>
                <w:rStyle w:val="Hyperlink"/>
                <w:noProof/>
                <w:lang w:val="en-US"/>
              </w:rPr>
              <w:t>6.2</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Management Information System (MIS)</w:t>
            </w:r>
            <w:r w:rsidR="00B07B2A">
              <w:rPr>
                <w:noProof/>
                <w:webHidden/>
              </w:rPr>
              <w:tab/>
            </w:r>
            <w:r w:rsidR="00B07B2A">
              <w:rPr>
                <w:noProof/>
                <w:webHidden/>
              </w:rPr>
              <w:fldChar w:fldCharType="begin"/>
            </w:r>
            <w:r w:rsidR="00B07B2A">
              <w:rPr>
                <w:noProof/>
                <w:webHidden/>
              </w:rPr>
              <w:instrText xml:space="preserve"> PAGEREF _Toc145409743 \h </w:instrText>
            </w:r>
            <w:r w:rsidR="00B07B2A">
              <w:rPr>
                <w:noProof/>
                <w:webHidden/>
              </w:rPr>
            </w:r>
            <w:r w:rsidR="00B07B2A">
              <w:rPr>
                <w:noProof/>
                <w:webHidden/>
              </w:rPr>
              <w:fldChar w:fldCharType="separate"/>
            </w:r>
            <w:r w:rsidR="00B07B2A">
              <w:rPr>
                <w:noProof/>
                <w:webHidden/>
              </w:rPr>
              <w:t>11</w:t>
            </w:r>
            <w:r w:rsidR="00B07B2A">
              <w:rPr>
                <w:noProof/>
                <w:webHidden/>
              </w:rPr>
              <w:fldChar w:fldCharType="end"/>
            </w:r>
          </w:hyperlink>
        </w:p>
        <w:p w14:paraId="360DE58C" w14:textId="21A64A5B" w:rsidR="00B07B2A" w:rsidRDefault="00AC2079">
          <w:pPr>
            <w:pStyle w:val="Verzeichnis2"/>
            <w:rPr>
              <w:rFonts w:asciiTheme="minorHAnsi" w:eastAsiaTheme="minorEastAsia" w:hAnsiTheme="minorHAnsi" w:cstheme="minorBidi"/>
              <w:noProof/>
              <w:sz w:val="22"/>
              <w:szCs w:val="22"/>
              <w:lang w:eastAsia="de-CH"/>
            </w:rPr>
          </w:pPr>
          <w:hyperlink w:anchor="_Toc145409744" w:history="1">
            <w:r w:rsidR="00B07B2A" w:rsidRPr="00CE1054">
              <w:rPr>
                <w:rStyle w:val="Hyperlink"/>
                <w:noProof/>
                <w:lang w:val="en-US"/>
              </w:rPr>
              <w:t>6.3</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Operational Continuity</w:t>
            </w:r>
            <w:r w:rsidR="00B07B2A">
              <w:rPr>
                <w:noProof/>
                <w:webHidden/>
              </w:rPr>
              <w:tab/>
            </w:r>
            <w:r w:rsidR="00B07B2A">
              <w:rPr>
                <w:noProof/>
                <w:webHidden/>
              </w:rPr>
              <w:fldChar w:fldCharType="begin"/>
            </w:r>
            <w:r w:rsidR="00B07B2A">
              <w:rPr>
                <w:noProof/>
                <w:webHidden/>
              </w:rPr>
              <w:instrText xml:space="preserve"> PAGEREF _Toc145409744 \h </w:instrText>
            </w:r>
            <w:r w:rsidR="00B07B2A">
              <w:rPr>
                <w:noProof/>
                <w:webHidden/>
              </w:rPr>
            </w:r>
            <w:r w:rsidR="00B07B2A">
              <w:rPr>
                <w:noProof/>
                <w:webHidden/>
              </w:rPr>
              <w:fldChar w:fldCharType="separate"/>
            </w:r>
            <w:r w:rsidR="00B07B2A">
              <w:rPr>
                <w:noProof/>
                <w:webHidden/>
              </w:rPr>
              <w:t>12</w:t>
            </w:r>
            <w:r w:rsidR="00B07B2A">
              <w:rPr>
                <w:noProof/>
                <w:webHidden/>
              </w:rPr>
              <w:fldChar w:fldCharType="end"/>
            </w:r>
          </w:hyperlink>
        </w:p>
        <w:p w14:paraId="4E2BEA80" w14:textId="3DC061B0" w:rsidR="00B07B2A" w:rsidRDefault="00AC2079">
          <w:pPr>
            <w:pStyle w:val="Verzeichnis2"/>
            <w:rPr>
              <w:rFonts w:asciiTheme="minorHAnsi" w:eastAsiaTheme="minorEastAsia" w:hAnsiTheme="minorHAnsi" w:cstheme="minorBidi"/>
              <w:noProof/>
              <w:sz w:val="22"/>
              <w:szCs w:val="22"/>
              <w:lang w:eastAsia="de-CH"/>
            </w:rPr>
          </w:pPr>
          <w:hyperlink w:anchor="_Toc145409745" w:history="1">
            <w:r w:rsidR="00B07B2A" w:rsidRPr="00CE1054">
              <w:rPr>
                <w:rStyle w:val="Hyperlink"/>
                <w:noProof/>
              </w:rPr>
              <w:t>6.4</w:t>
            </w:r>
            <w:r w:rsidR="00B07B2A">
              <w:rPr>
                <w:rFonts w:asciiTheme="minorHAnsi" w:eastAsiaTheme="minorEastAsia" w:hAnsiTheme="minorHAnsi" w:cstheme="minorBidi"/>
                <w:noProof/>
                <w:sz w:val="22"/>
                <w:szCs w:val="22"/>
                <w:lang w:eastAsia="de-CH"/>
              </w:rPr>
              <w:tab/>
            </w:r>
            <w:r w:rsidR="00B07B2A" w:rsidRPr="00CE1054">
              <w:rPr>
                <w:rStyle w:val="Hyperlink"/>
                <w:noProof/>
              </w:rPr>
              <w:t>Loss Absorption and Recapitalization</w:t>
            </w:r>
            <w:r w:rsidR="00B07B2A">
              <w:rPr>
                <w:noProof/>
                <w:webHidden/>
              </w:rPr>
              <w:tab/>
            </w:r>
            <w:r w:rsidR="00B07B2A">
              <w:rPr>
                <w:noProof/>
                <w:webHidden/>
              </w:rPr>
              <w:fldChar w:fldCharType="begin"/>
            </w:r>
            <w:r w:rsidR="00B07B2A">
              <w:rPr>
                <w:noProof/>
                <w:webHidden/>
              </w:rPr>
              <w:instrText xml:space="preserve"> PAGEREF _Toc145409745 \h </w:instrText>
            </w:r>
            <w:r w:rsidR="00B07B2A">
              <w:rPr>
                <w:noProof/>
                <w:webHidden/>
              </w:rPr>
            </w:r>
            <w:r w:rsidR="00B07B2A">
              <w:rPr>
                <w:noProof/>
                <w:webHidden/>
              </w:rPr>
              <w:fldChar w:fldCharType="separate"/>
            </w:r>
            <w:r w:rsidR="00B07B2A">
              <w:rPr>
                <w:noProof/>
                <w:webHidden/>
              </w:rPr>
              <w:t>13</w:t>
            </w:r>
            <w:r w:rsidR="00B07B2A">
              <w:rPr>
                <w:noProof/>
                <w:webHidden/>
              </w:rPr>
              <w:fldChar w:fldCharType="end"/>
            </w:r>
          </w:hyperlink>
        </w:p>
        <w:p w14:paraId="05D004A6" w14:textId="68C53FBC" w:rsidR="00B07B2A" w:rsidRDefault="00AC2079">
          <w:pPr>
            <w:pStyle w:val="Verzeichnis2"/>
            <w:rPr>
              <w:rFonts w:asciiTheme="minorHAnsi" w:eastAsiaTheme="minorEastAsia" w:hAnsiTheme="minorHAnsi" w:cstheme="minorBidi"/>
              <w:noProof/>
              <w:sz w:val="22"/>
              <w:szCs w:val="22"/>
              <w:lang w:eastAsia="de-CH"/>
            </w:rPr>
          </w:pPr>
          <w:hyperlink w:anchor="_Toc145409746" w:history="1">
            <w:r w:rsidR="00B07B2A" w:rsidRPr="00CE1054">
              <w:rPr>
                <w:rStyle w:val="Hyperlink"/>
                <w:noProof/>
                <w:lang w:val="en-US"/>
              </w:rPr>
              <w:t>6.5</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Liquidity and Funding</w:t>
            </w:r>
            <w:r w:rsidR="00B07B2A">
              <w:rPr>
                <w:noProof/>
                <w:webHidden/>
              </w:rPr>
              <w:tab/>
            </w:r>
            <w:r w:rsidR="00B07B2A">
              <w:rPr>
                <w:noProof/>
                <w:webHidden/>
              </w:rPr>
              <w:fldChar w:fldCharType="begin"/>
            </w:r>
            <w:r w:rsidR="00B07B2A">
              <w:rPr>
                <w:noProof/>
                <w:webHidden/>
              </w:rPr>
              <w:instrText xml:space="preserve"> PAGEREF _Toc145409746 \h </w:instrText>
            </w:r>
            <w:r w:rsidR="00B07B2A">
              <w:rPr>
                <w:noProof/>
                <w:webHidden/>
              </w:rPr>
            </w:r>
            <w:r w:rsidR="00B07B2A">
              <w:rPr>
                <w:noProof/>
                <w:webHidden/>
              </w:rPr>
              <w:fldChar w:fldCharType="separate"/>
            </w:r>
            <w:r w:rsidR="00B07B2A">
              <w:rPr>
                <w:noProof/>
                <w:webHidden/>
              </w:rPr>
              <w:t>14</w:t>
            </w:r>
            <w:r w:rsidR="00B07B2A">
              <w:rPr>
                <w:noProof/>
                <w:webHidden/>
              </w:rPr>
              <w:fldChar w:fldCharType="end"/>
            </w:r>
          </w:hyperlink>
        </w:p>
        <w:p w14:paraId="184F071C" w14:textId="22572FE7" w:rsidR="00B07B2A" w:rsidRDefault="00AC2079">
          <w:pPr>
            <w:pStyle w:val="Verzeichnis2"/>
            <w:rPr>
              <w:rFonts w:asciiTheme="minorHAnsi" w:eastAsiaTheme="minorEastAsia" w:hAnsiTheme="minorHAnsi" w:cstheme="minorBidi"/>
              <w:noProof/>
              <w:sz w:val="22"/>
              <w:szCs w:val="22"/>
              <w:lang w:eastAsia="de-CH"/>
            </w:rPr>
          </w:pPr>
          <w:hyperlink w:anchor="_Toc145409747" w:history="1">
            <w:r w:rsidR="00B07B2A" w:rsidRPr="00CE1054">
              <w:rPr>
                <w:rStyle w:val="Hyperlink"/>
                <w:noProof/>
                <w:lang w:val="en-US"/>
              </w:rPr>
              <w:t>6.6</w:t>
            </w:r>
            <w:r w:rsidR="00B07B2A">
              <w:rPr>
                <w:rFonts w:asciiTheme="minorHAnsi" w:eastAsiaTheme="minorEastAsia" w:hAnsiTheme="minorHAnsi" w:cstheme="minorBidi"/>
                <w:noProof/>
                <w:sz w:val="22"/>
                <w:szCs w:val="22"/>
                <w:lang w:eastAsia="de-CH"/>
              </w:rPr>
              <w:tab/>
            </w:r>
            <w:r w:rsidR="00B07B2A" w:rsidRPr="00CE1054">
              <w:rPr>
                <w:rStyle w:val="Hyperlink"/>
                <w:noProof/>
                <w:lang w:val="en-US"/>
              </w:rPr>
              <w:t>Transfer strategies</w:t>
            </w:r>
            <w:r w:rsidR="00B07B2A">
              <w:rPr>
                <w:noProof/>
                <w:webHidden/>
              </w:rPr>
              <w:tab/>
            </w:r>
            <w:r w:rsidR="00B07B2A">
              <w:rPr>
                <w:noProof/>
                <w:webHidden/>
              </w:rPr>
              <w:fldChar w:fldCharType="begin"/>
            </w:r>
            <w:r w:rsidR="00B07B2A">
              <w:rPr>
                <w:noProof/>
                <w:webHidden/>
              </w:rPr>
              <w:instrText xml:space="preserve"> PAGEREF _Toc145409747 \h </w:instrText>
            </w:r>
            <w:r w:rsidR="00B07B2A">
              <w:rPr>
                <w:noProof/>
                <w:webHidden/>
              </w:rPr>
            </w:r>
            <w:r w:rsidR="00B07B2A">
              <w:rPr>
                <w:noProof/>
                <w:webHidden/>
              </w:rPr>
              <w:fldChar w:fldCharType="separate"/>
            </w:r>
            <w:r w:rsidR="00B07B2A">
              <w:rPr>
                <w:noProof/>
                <w:webHidden/>
              </w:rPr>
              <w:t>14</w:t>
            </w:r>
            <w:r w:rsidR="00B07B2A">
              <w:rPr>
                <w:noProof/>
                <w:webHidden/>
              </w:rPr>
              <w:fldChar w:fldCharType="end"/>
            </w:r>
          </w:hyperlink>
        </w:p>
        <w:p w14:paraId="2AD0767E" w14:textId="5D4FB849" w:rsidR="00B07B2A" w:rsidRDefault="00AC2079">
          <w:pPr>
            <w:pStyle w:val="Verzeichnis1"/>
            <w:rPr>
              <w:rFonts w:asciiTheme="minorHAnsi" w:eastAsiaTheme="minorEastAsia" w:hAnsiTheme="minorHAnsi" w:cstheme="minorBidi"/>
              <w:b w:val="0"/>
              <w:bCs w:val="0"/>
              <w:sz w:val="22"/>
              <w:szCs w:val="22"/>
              <w:lang w:eastAsia="de-CH"/>
            </w:rPr>
          </w:pPr>
          <w:hyperlink w:anchor="_Toc145409748" w:history="1">
            <w:r w:rsidR="00B07B2A" w:rsidRPr="00CE1054">
              <w:rPr>
                <w:rStyle w:val="Hyperlink"/>
                <w:lang w:val="en-US"/>
              </w:rPr>
              <w:t>7.</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Further notes</w:t>
            </w:r>
            <w:r w:rsidR="00B07B2A">
              <w:rPr>
                <w:webHidden/>
              </w:rPr>
              <w:tab/>
            </w:r>
            <w:r w:rsidR="00B07B2A">
              <w:rPr>
                <w:webHidden/>
              </w:rPr>
              <w:fldChar w:fldCharType="begin"/>
            </w:r>
            <w:r w:rsidR="00B07B2A">
              <w:rPr>
                <w:webHidden/>
              </w:rPr>
              <w:instrText xml:space="preserve"> PAGEREF _Toc145409748 \h </w:instrText>
            </w:r>
            <w:r w:rsidR="00B07B2A">
              <w:rPr>
                <w:webHidden/>
              </w:rPr>
            </w:r>
            <w:r w:rsidR="00B07B2A">
              <w:rPr>
                <w:webHidden/>
              </w:rPr>
              <w:fldChar w:fldCharType="separate"/>
            </w:r>
            <w:r w:rsidR="00B07B2A">
              <w:rPr>
                <w:webHidden/>
              </w:rPr>
              <w:t>15</w:t>
            </w:r>
            <w:r w:rsidR="00B07B2A">
              <w:rPr>
                <w:webHidden/>
              </w:rPr>
              <w:fldChar w:fldCharType="end"/>
            </w:r>
          </w:hyperlink>
        </w:p>
        <w:p w14:paraId="1A5E97E4" w14:textId="43C56E63" w:rsidR="00B07B2A" w:rsidRDefault="00AC2079">
          <w:pPr>
            <w:pStyle w:val="Verzeichnis1"/>
            <w:rPr>
              <w:rFonts w:asciiTheme="minorHAnsi" w:eastAsiaTheme="minorEastAsia" w:hAnsiTheme="minorHAnsi" w:cstheme="minorBidi"/>
              <w:b w:val="0"/>
              <w:bCs w:val="0"/>
              <w:sz w:val="22"/>
              <w:szCs w:val="22"/>
              <w:lang w:eastAsia="de-CH"/>
            </w:rPr>
          </w:pPr>
          <w:hyperlink w:anchor="_Toc145409749" w:history="1">
            <w:r w:rsidR="00B07B2A" w:rsidRPr="00CE1054">
              <w:rPr>
                <w:rStyle w:val="Hyperlink"/>
                <w:lang w:val="en-US"/>
              </w:rPr>
              <w:t>8.</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Signature / confirmation of the auditor</w:t>
            </w:r>
            <w:r w:rsidR="00B07B2A">
              <w:rPr>
                <w:webHidden/>
              </w:rPr>
              <w:tab/>
            </w:r>
            <w:r w:rsidR="00B07B2A">
              <w:rPr>
                <w:webHidden/>
              </w:rPr>
              <w:fldChar w:fldCharType="begin"/>
            </w:r>
            <w:r w:rsidR="00B07B2A">
              <w:rPr>
                <w:webHidden/>
              </w:rPr>
              <w:instrText xml:space="preserve"> PAGEREF _Toc145409749 \h </w:instrText>
            </w:r>
            <w:r w:rsidR="00B07B2A">
              <w:rPr>
                <w:webHidden/>
              </w:rPr>
            </w:r>
            <w:r w:rsidR="00B07B2A">
              <w:rPr>
                <w:webHidden/>
              </w:rPr>
              <w:fldChar w:fldCharType="separate"/>
            </w:r>
            <w:r w:rsidR="00B07B2A">
              <w:rPr>
                <w:webHidden/>
              </w:rPr>
              <w:t>15</w:t>
            </w:r>
            <w:r w:rsidR="00B07B2A">
              <w:rPr>
                <w:webHidden/>
              </w:rPr>
              <w:fldChar w:fldCharType="end"/>
            </w:r>
          </w:hyperlink>
        </w:p>
        <w:p w14:paraId="39F5D0AF" w14:textId="79949998" w:rsidR="00B07B2A" w:rsidRDefault="00AC2079">
          <w:pPr>
            <w:pStyle w:val="Verzeichnis1"/>
            <w:rPr>
              <w:rFonts w:asciiTheme="minorHAnsi" w:eastAsiaTheme="minorEastAsia" w:hAnsiTheme="minorHAnsi" w:cstheme="minorBidi"/>
              <w:b w:val="0"/>
              <w:bCs w:val="0"/>
              <w:sz w:val="22"/>
              <w:szCs w:val="22"/>
              <w:lang w:eastAsia="de-CH"/>
            </w:rPr>
          </w:pPr>
          <w:hyperlink w:anchor="_Toc145409750" w:history="1">
            <w:r w:rsidR="00B07B2A" w:rsidRPr="00CE1054">
              <w:rPr>
                <w:rStyle w:val="Hyperlink"/>
                <w:lang w:val="en-US"/>
              </w:rPr>
              <w:t>9.</w:t>
            </w:r>
            <w:r w:rsidR="00B07B2A">
              <w:rPr>
                <w:rFonts w:asciiTheme="minorHAnsi" w:eastAsiaTheme="minorEastAsia" w:hAnsiTheme="minorHAnsi" w:cstheme="minorBidi"/>
                <w:b w:val="0"/>
                <w:bCs w:val="0"/>
                <w:sz w:val="22"/>
                <w:szCs w:val="22"/>
                <w:lang w:eastAsia="de-CH"/>
              </w:rPr>
              <w:tab/>
            </w:r>
            <w:r w:rsidR="00B07B2A" w:rsidRPr="00CE1054">
              <w:rPr>
                <w:rStyle w:val="Hyperlink"/>
                <w:lang w:val="en-US"/>
              </w:rPr>
              <w:t>Annex</w:t>
            </w:r>
            <w:r w:rsidR="00B07B2A">
              <w:rPr>
                <w:webHidden/>
              </w:rPr>
              <w:tab/>
            </w:r>
            <w:r w:rsidR="00B07B2A">
              <w:rPr>
                <w:webHidden/>
              </w:rPr>
              <w:fldChar w:fldCharType="begin"/>
            </w:r>
            <w:r w:rsidR="00B07B2A">
              <w:rPr>
                <w:webHidden/>
              </w:rPr>
              <w:instrText xml:space="preserve"> PAGEREF _Toc145409750 \h </w:instrText>
            </w:r>
            <w:r w:rsidR="00B07B2A">
              <w:rPr>
                <w:webHidden/>
              </w:rPr>
            </w:r>
            <w:r w:rsidR="00B07B2A">
              <w:rPr>
                <w:webHidden/>
              </w:rPr>
              <w:fldChar w:fldCharType="separate"/>
            </w:r>
            <w:r w:rsidR="00B07B2A">
              <w:rPr>
                <w:webHidden/>
              </w:rPr>
              <w:t>16</w:t>
            </w:r>
            <w:r w:rsidR="00B07B2A">
              <w:rPr>
                <w:webHidden/>
              </w:rPr>
              <w:fldChar w:fldCharType="end"/>
            </w:r>
          </w:hyperlink>
        </w:p>
        <w:p w14:paraId="40272320" w14:textId="493F6289" w:rsidR="003A65D2" w:rsidRPr="00B50531" w:rsidRDefault="00326E88" w:rsidP="00254B93">
          <w:pPr>
            <w:spacing w:before="120"/>
            <w:rPr>
              <w:sz w:val="20"/>
              <w:szCs w:val="20"/>
              <w:lang w:val="en-US"/>
            </w:rPr>
          </w:pPr>
          <w:r w:rsidRPr="00B50531">
            <w:rPr>
              <w:rFonts w:ascii="Arial" w:hAnsi="Arial" w:cs="Arial"/>
              <w:sz w:val="20"/>
              <w:szCs w:val="20"/>
              <w:lang w:val="en-US"/>
            </w:rPr>
            <w:fldChar w:fldCharType="end"/>
          </w:r>
        </w:p>
      </w:sdtContent>
    </w:sdt>
    <w:p w14:paraId="387B5738" w14:textId="77777777" w:rsidR="003A65D2" w:rsidRPr="00B50531" w:rsidRDefault="003A65D2">
      <w:pPr>
        <w:rPr>
          <w:b/>
          <w:lang w:val="en-US"/>
        </w:rPr>
      </w:pPr>
      <w:r w:rsidRPr="00B50531">
        <w:rPr>
          <w:b/>
          <w:lang w:val="en-US"/>
        </w:rPr>
        <w:br w:type="page"/>
      </w:r>
    </w:p>
    <w:p w14:paraId="6ECDDBF4" w14:textId="2EE30E19" w:rsidR="00DD5846" w:rsidRPr="00B50531" w:rsidRDefault="007F0025" w:rsidP="003A65D2">
      <w:pPr>
        <w:jc w:val="both"/>
        <w:rPr>
          <w:rFonts w:ascii="Arial" w:hAnsi="Arial" w:cs="Arial"/>
          <w:b/>
          <w:i/>
          <w:lang w:val="en-US"/>
        </w:rPr>
      </w:pPr>
      <w:r>
        <w:rPr>
          <w:rFonts w:ascii="Arial" w:hAnsi="Arial" w:cs="Arial"/>
          <w:b/>
          <w:i/>
          <w:highlight w:val="yellow"/>
          <w:lang w:val="en-US"/>
        </w:rPr>
        <w:lastRenderedPageBreak/>
        <w:t xml:space="preserve">[XXXX] Resolution entity </w:t>
      </w:r>
      <w:r w:rsidR="0006235A">
        <w:rPr>
          <w:rFonts w:ascii="Arial" w:hAnsi="Arial" w:cs="Arial"/>
          <w:b/>
          <w:i/>
          <w:highlight w:val="yellow"/>
          <w:lang w:val="en-US"/>
        </w:rPr>
        <w:t xml:space="preserve">(Resolution group) </w:t>
      </w:r>
      <w:r>
        <w:rPr>
          <w:rFonts w:ascii="Arial" w:hAnsi="Arial" w:cs="Arial"/>
          <w:b/>
          <w:i/>
          <w:highlight w:val="yellow"/>
          <w:lang w:val="en-US"/>
        </w:rPr>
        <w:t>/ Liquidation entity</w:t>
      </w:r>
    </w:p>
    <w:p w14:paraId="6A7C0CF5" w14:textId="77777777" w:rsidR="003A65D2" w:rsidRPr="00B50531" w:rsidRDefault="003A65D2" w:rsidP="003A65D2">
      <w:pPr>
        <w:jc w:val="both"/>
        <w:rPr>
          <w:rFonts w:ascii="Arial" w:hAnsi="Arial" w:cs="Arial"/>
          <w:b/>
          <w:lang w:val="en-US"/>
        </w:rPr>
      </w:pPr>
    </w:p>
    <w:p w14:paraId="340A13CF" w14:textId="67B902AA" w:rsidR="003A65D2" w:rsidRPr="00B50531" w:rsidRDefault="00B108E1" w:rsidP="003A65D2">
      <w:pPr>
        <w:jc w:val="both"/>
        <w:rPr>
          <w:rFonts w:ascii="Arial" w:hAnsi="Arial" w:cs="Arial"/>
          <w:lang w:val="en-US"/>
        </w:rPr>
      </w:pPr>
      <w:r w:rsidRPr="00B50531">
        <w:rPr>
          <w:rFonts w:ascii="Arial" w:hAnsi="Arial" w:cs="Arial"/>
          <w:lang w:val="en-US"/>
        </w:rPr>
        <w:t>Report according to</w:t>
      </w:r>
      <w:r w:rsidR="003A65D2" w:rsidRPr="00B50531">
        <w:rPr>
          <w:rFonts w:ascii="Arial" w:hAnsi="Arial" w:cs="Arial"/>
          <w:lang w:val="en-US"/>
        </w:rPr>
        <w:t xml:space="preserve"> </w:t>
      </w:r>
      <w:r w:rsidR="008C2B4B" w:rsidRPr="00B50531">
        <w:rPr>
          <w:rFonts w:ascii="Arial" w:hAnsi="Arial" w:cs="Arial"/>
          <w:lang w:val="en-US"/>
        </w:rPr>
        <w:t xml:space="preserve">Art. 19 </w:t>
      </w:r>
      <w:r w:rsidR="007F0025">
        <w:rPr>
          <w:rFonts w:ascii="Arial" w:hAnsi="Arial" w:cs="Arial"/>
          <w:lang w:val="en-US"/>
        </w:rPr>
        <w:t xml:space="preserve">(5) </w:t>
      </w:r>
      <w:r w:rsidR="00347590">
        <w:rPr>
          <w:rFonts w:ascii="Arial" w:hAnsi="Arial" w:cs="Arial"/>
          <w:lang w:val="en-US"/>
        </w:rPr>
        <w:t>SAG</w:t>
      </w:r>
      <w:r w:rsidRPr="00B50531">
        <w:rPr>
          <w:rFonts w:ascii="Arial" w:hAnsi="Arial" w:cs="Arial"/>
          <w:lang w:val="en-US"/>
        </w:rPr>
        <w:t xml:space="preserve"> </w:t>
      </w:r>
      <w:r w:rsidR="007F0025" w:rsidRPr="00E8775E">
        <w:rPr>
          <w:rFonts w:ascii="Arial" w:hAnsi="Arial" w:cs="Arial"/>
          <w:highlight w:val="yellow"/>
          <w:lang w:val="en-US"/>
        </w:rPr>
        <w:t>[</w:t>
      </w:r>
      <w:r w:rsidR="007F0025" w:rsidRPr="00DA51CE">
        <w:rPr>
          <w:rFonts w:ascii="Arial" w:hAnsi="Arial" w:cs="Arial"/>
          <w:highlight w:val="yellow"/>
          <w:lang w:val="en-US"/>
        </w:rPr>
        <w:t>r</w:t>
      </w:r>
      <w:r w:rsidRPr="00DA51CE">
        <w:rPr>
          <w:rFonts w:ascii="Arial" w:hAnsi="Arial" w:cs="Arial"/>
          <w:highlight w:val="yellow"/>
          <w:lang w:val="en-US"/>
        </w:rPr>
        <w:t xml:space="preserve">eporting </w:t>
      </w:r>
      <w:r w:rsidR="007F0025" w:rsidRPr="00DA51CE">
        <w:rPr>
          <w:rFonts w:ascii="Arial" w:hAnsi="Arial" w:cs="Arial"/>
          <w:highlight w:val="yellow"/>
          <w:lang w:val="en-US"/>
        </w:rPr>
        <w:t>y</w:t>
      </w:r>
      <w:r w:rsidRPr="002F07E3">
        <w:rPr>
          <w:rFonts w:ascii="Arial" w:hAnsi="Arial" w:cs="Arial"/>
          <w:highlight w:val="yellow"/>
          <w:lang w:val="en-US"/>
        </w:rPr>
        <w:t>ear</w:t>
      </w:r>
      <w:r w:rsidR="007F0025" w:rsidRPr="002F07E3">
        <w:rPr>
          <w:rFonts w:ascii="Arial" w:hAnsi="Arial" w:cs="Arial"/>
          <w:highlight w:val="yellow"/>
          <w:lang w:val="en-US"/>
        </w:rPr>
        <w:t>]</w:t>
      </w:r>
    </w:p>
    <w:p w14:paraId="01A6A8E5" w14:textId="77777777" w:rsidR="00625CFC" w:rsidRPr="00B50531" w:rsidRDefault="00625CFC" w:rsidP="003A65D2">
      <w:pPr>
        <w:jc w:val="both"/>
        <w:rPr>
          <w:rFonts w:ascii="Arial" w:hAnsi="Arial" w:cs="Arial"/>
          <w:lang w:val="en-US"/>
        </w:rPr>
      </w:pPr>
    </w:p>
    <w:p w14:paraId="71AA119C" w14:textId="310BBE2E" w:rsidR="00625CFC" w:rsidRPr="00B50531" w:rsidRDefault="00625CFC" w:rsidP="003A65D2">
      <w:pPr>
        <w:jc w:val="both"/>
        <w:rPr>
          <w:rFonts w:ascii="Arial" w:hAnsi="Arial" w:cs="Arial"/>
          <w:i/>
          <w:sz w:val="20"/>
          <w:szCs w:val="20"/>
          <w:lang w:val="en-US"/>
        </w:rPr>
      </w:pPr>
      <w:r w:rsidRPr="00B50531">
        <w:rPr>
          <w:rFonts w:ascii="Arial" w:hAnsi="Arial" w:cs="Arial"/>
          <w:i/>
          <w:sz w:val="20"/>
          <w:szCs w:val="20"/>
          <w:highlight w:val="lightGray"/>
          <w:lang w:val="en-US"/>
        </w:rPr>
        <w:t>[</w:t>
      </w:r>
      <w:r w:rsidR="00B108E1" w:rsidRPr="00B50531">
        <w:rPr>
          <w:rFonts w:ascii="Arial" w:hAnsi="Arial" w:cs="Arial"/>
          <w:i/>
          <w:sz w:val="20"/>
          <w:szCs w:val="20"/>
          <w:highlight w:val="lightGray"/>
          <w:lang w:val="en-US"/>
        </w:rPr>
        <w:t>The parts highlighted in italics and gr</w:t>
      </w:r>
      <w:r w:rsidR="007F0025">
        <w:rPr>
          <w:rFonts w:ascii="Arial" w:hAnsi="Arial" w:cs="Arial"/>
          <w:i/>
          <w:sz w:val="20"/>
          <w:szCs w:val="20"/>
          <w:highlight w:val="lightGray"/>
          <w:lang w:val="en-US"/>
        </w:rPr>
        <w:t>e</w:t>
      </w:r>
      <w:r w:rsidR="00B108E1" w:rsidRPr="00B50531">
        <w:rPr>
          <w:rFonts w:ascii="Arial" w:hAnsi="Arial" w:cs="Arial"/>
          <w:i/>
          <w:sz w:val="20"/>
          <w:szCs w:val="20"/>
          <w:highlight w:val="lightGray"/>
          <w:lang w:val="en-US"/>
        </w:rPr>
        <w:t>y are to be understood as instructions, those in italic</w:t>
      </w:r>
      <w:r w:rsidR="007F0025">
        <w:rPr>
          <w:rFonts w:ascii="Arial" w:hAnsi="Arial" w:cs="Arial"/>
          <w:i/>
          <w:sz w:val="20"/>
          <w:szCs w:val="20"/>
          <w:highlight w:val="lightGray"/>
          <w:lang w:val="en-US"/>
        </w:rPr>
        <w:t>s</w:t>
      </w:r>
      <w:r w:rsidR="00B108E1" w:rsidRPr="00B50531">
        <w:rPr>
          <w:rFonts w:ascii="Arial" w:hAnsi="Arial" w:cs="Arial"/>
          <w:i/>
          <w:sz w:val="20"/>
          <w:szCs w:val="20"/>
          <w:highlight w:val="lightGray"/>
          <w:lang w:val="en-US"/>
        </w:rPr>
        <w:t xml:space="preserve"> and yellow as exemplary specifications. Non-italicized text instructions are mandatory</w:t>
      </w:r>
      <w:r w:rsidRPr="00B50531">
        <w:rPr>
          <w:rFonts w:ascii="Arial" w:hAnsi="Arial" w:cs="Arial"/>
          <w:i/>
          <w:sz w:val="20"/>
          <w:szCs w:val="20"/>
          <w:highlight w:val="lightGray"/>
          <w:lang w:val="en-US"/>
        </w:rPr>
        <w:t>]</w:t>
      </w:r>
    </w:p>
    <w:p w14:paraId="24728543" w14:textId="77777777" w:rsidR="00C44852" w:rsidRPr="00B50531" w:rsidRDefault="00C44852">
      <w:pPr>
        <w:rPr>
          <w:rFonts w:ascii="Arial" w:hAnsi="Arial" w:cs="Arial"/>
          <w:i/>
          <w:sz w:val="20"/>
          <w:szCs w:val="20"/>
          <w:highlight w:val="lightGray"/>
          <w:lang w:val="en-US"/>
        </w:rPr>
      </w:pPr>
      <w:r w:rsidRPr="00B50531">
        <w:rPr>
          <w:rFonts w:ascii="Arial" w:hAnsi="Arial" w:cs="Arial"/>
          <w:i/>
          <w:sz w:val="20"/>
          <w:szCs w:val="20"/>
          <w:highlight w:val="lightGray"/>
          <w:lang w:val="en-US"/>
        </w:rPr>
        <w:br w:type="page"/>
      </w:r>
    </w:p>
    <w:p w14:paraId="586F1675" w14:textId="5619E129" w:rsidR="0049142B" w:rsidRPr="00B50531" w:rsidRDefault="00113797" w:rsidP="00C37D08">
      <w:pPr>
        <w:pStyle w:val="FINMAGliederungEbene1"/>
        <w:rPr>
          <w:lang w:val="en-US"/>
        </w:rPr>
      </w:pPr>
      <w:bookmarkStart w:id="0" w:name="_Toc145409723"/>
      <w:r>
        <w:rPr>
          <w:lang w:val="en-US"/>
        </w:rPr>
        <w:lastRenderedPageBreak/>
        <w:t>F</w:t>
      </w:r>
      <w:r w:rsidR="00A519C1">
        <w:rPr>
          <w:lang w:val="en-US"/>
        </w:rPr>
        <w:t>ramework</w:t>
      </w:r>
      <w:bookmarkEnd w:id="0"/>
    </w:p>
    <w:p w14:paraId="38BD6C68" w14:textId="7A491917" w:rsidR="00542456" w:rsidRPr="00B51E1B" w:rsidRDefault="00410B98" w:rsidP="0049142B">
      <w:pPr>
        <w:jc w:val="both"/>
        <w:rPr>
          <w:rFonts w:ascii="Arial" w:hAnsi="Arial" w:cs="Arial"/>
          <w:i/>
          <w:sz w:val="20"/>
          <w:szCs w:val="20"/>
          <w:highlight w:val="lightGray"/>
          <w:lang w:val="en-US"/>
        </w:rPr>
      </w:pPr>
      <w:bookmarkStart w:id="1" w:name="_Hlk144370526"/>
      <w:r>
        <w:rPr>
          <w:rFonts w:ascii="Arial" w:hAnsi="Arial" w:cs="Arial"/>
          <w:i/>
          <w:sz w:val="20"/>
          <w:szCs w:val="20"/>
          <w:highlight w:val="lightGray"/>
          <w:lang w:val="en-US"/>
        </w:rPr>
        <w:t>S</w:t>
      </w:r>
      <w:r w:rsidR="00B51E1B"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bookmarkEnd w:id="1"/>
    <w:p w14:paraId="1E71E840" w14:textId="77777777" w:rsidR="00193A84" w:rsidRPr="00B50531" w:rsidRDefault="00193A84" w:rsidP="00193A84">
      <w:pPr>
        <w:jc w:val="both"/>
        <w:rPr>
          <w:lang w:val="en-US"/>
        </w:rPr>
      </w:pPr>
    </w:p>
    <w:p w14:paraId="12E792BB" w14:textId="1781E9DF" w:rsidR="00193A84" w:rsidRDefault="000E7327" w:rsidP="00C37D08">
      <w:pPr>
        <w:pStyle w:val="FINMAGliederungEbene1"/>
        <w:rPr>
          <w:lang w:val="en-US"/>
        </w:rPr>
      </w:pPr>
      <w:bookmarkStart w:id="2" w:name="_Toc145409724"/>
      <w:r>
        <w:rPr>
          <w:lang w:val="en-US"/>
        </w:rPr>
        <w:t>Additional mandates of the auditor</w:t>
      </w:r>
      <w:bookmarkEnd w:id="2"/>
    </w:p>
    <w:p w14:paraId="65E42A8D" w14:textId="3192272C" w:rsidR="007C3894" w:rsidRPr="00B51E1B" w:rsidRDefault="007C3894" w:rsidP="00B51E1B">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46A2693C" w14:textId="77777777" w:rsidR="00885CE4" w:rsidRPr="00B50531" w:rsidRDefault="00885CE4" w:rsidP="00CB3EE6">
      <w:pPr>
        <w:pStyle w:val="Listenabsatz"/>
        <w:ind w:left="360"/>
        <w:jc w:val="both"/>
        <w:rPr>
          <w:lang w:val="en-US"/>
        </w:rPr>
      </w:pPr>
    </w:p>
    <w:p w14:paraId="5FABEE8C" w14:textId="4EF59481" w:rsidR="00193A84" w:rsidRPr="00E36524" w:rsidRDefault="00DE285C" w:rsidP="00C37D08">
      <w:pPr>
        <w:pStyle w:val="FINMAGliederungEbene1"/>
        <w:rPr>
          <w:lang w:val="en-US"/>
        </w:rPr>
      </w:pPr>
      <w:bookmarkStart w:id="3" w:name="_Toc145409725"/>
      <w:r w:rsidRPr="00E36524">
        <w:rPr>
          <w:lang w:val="en-US"/>
        </w:rPr>
        <w:t>Summary</w:t>
      </w:r>
      <w:bookmarkEnd w:id="3"/>
    </w:p>
    <w:p w14:paraId="3801D88E" w14:textId="3E4F0AAE" w:rsidR="007C3894" w:rsidRPr="00B51E1B" w:rsidRDefault="007C3894" w:rsidP="007C3894">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6F9EBE92" w14:textId="77777777" w:rsidR="007C3894" w:rsidRPr="00B51E1B" w:rsidRDefault="007C3894" w:rsidP="00B51E1B">
      <w:pPr>
        <w:jc w:val="both"/>
        <w:rPr>
          <w:rFonts w:ascii="Arial" w:hAnsi="Arial" w:cs="Arial"/>
          <w:i/>
          <w:sz w:val="20"/>
          <w:szCs w:val="20"/>
          <w:highlight w:val="lightGray"/>
          <w:lang w:val="en-US"/>
        </w:rPr>
      </w:pPr>
    </w:p>
    <w:p w14:paraId="2BCD697F" w14:textId="77777777" w:rsidR="007E12DD" w:rsidRPr="00B50531" w:rsidRDefault="007E12DD" w:rsidP="00A5682B">
      <w:pPr>
        <w:pStyle w:val="Listenabsatz"/>
        <w:jc w:val="both"/>
        <w:rPr>
          <w:lang w:val="en-US"/>
        </w:rPr>
      </w:pPr>
    </w:p>
    <w:p w14:paraId="02550721" w14:textId="0E67E8B2" w:rsidR="004A6299" w:rsidRPr="00B50531" w:rsidRDefault="00F0533B" w:rsidP="00C37D08">
      <w:pPr>
        <w:pStyle w:val="FINMAGliederungEbene2"/>
        <w:rPr>
          <w:lang w:val="en-US"/>
        </w:rPr>
      </w:pPr>
      <w:bookmarkStart w:id="4" w:name="_Toc145409726"/>
      <w:r>
        <w:rPr>
          <w:lang w:val="en-US"/>
        </w:rPr>
        <w:t>Objections</w:t>
      </w:r>
      <w:bookmarkEnd w:id="4"/>
    </w:p>
    <w:p w14:paraId="12FF363D" w14:textId="77777777" w:rsidR="00A5682B" w:rsidRPr="00B50531" w:rsidRDefault="00A5682B" w:rsidP="00624857">
      <w:pPr>
        <w:jc w:val="both"/>
        <w:rPr>
          <w:rFonts w:ascii="Arial" w:hAnsi="Arial" w:cs="Arial"/>
          <w:sz w:val="20"/>
          <w:szCs w:val="20"/>
          <w:lang w:val="en-US"/>
        </w:rPr>
      </w:pPr>
    </w:p>
    <w:p w14:paraId="63D06CF2" w14:textId="7BD8BBC4" w:rsidR="007E12DD" w:rsidRPr="00B50531" w:rsidRDefault="008616C8" w:rsidP="00624857">
      <w:pPr>
        <w:jc w:val="both"/>
        <w:rPr>
          <w:rFonts w:ascii="Arial" w:hAnsi="Arial" w:cs="Arial"/>
          <w:i/>
          <w:sz w:val="20"/>
          <w:szCs w:val="20"/>
          <w:lang w:val="en-US"/>
        </w:rPr>
      </w:pPr>
      <w:r>
        <w:rPr>
          <w:rFonts w:ascii="Arial" w:hAnsi="Arial" w:cs="Arial"/>
          <w:i/>
          <w:sz w:val="20"/>
          <w:szCs w:val="20"/>
          <w:highlight w:val="yellow"/>
          <w:lang w:val="en-US"/>
        </w:rPr>
        <w:t>Table/text</w:t>
      </w:r>
    </w:p>
    <w:p w14:paraId="4DF065E4" w14:textId="77777777" w:rsidR="00A5682B" w:rsidRPr="00B50531" w:rsidRDefault="00A5682B" w:rsidP="00A5682B">
      <w:pPr>
        <w:jc w:val="both"/>
        <w:rPr>
          <w:lang w:val="en-US"/>
        </w:rPr>
      </w:pPr>
    </w:p>
    <w:p w14:paraId="1A81BDD6" w14:textId="0208AEA2" w:rsidR="00A5682B" w:rsidRPr="00B50531" w:rsidRDefault="00F0533B" w:rsidP="00C37D08">
      <w:pPr>
        <w:pStyle w:val="FINMAGliederungEbene2"/>
        <w:rPr>
          <w:lang w:val="en-US"/>
        </w:rPr>
      </w:pPr>
      <w:bookmarkStart w:id="5" w:name="_Toc145409727"/>
      <w:r>
        <w:rPr>
          <w:lang w:val="en-US"/>
        </w:rPr>
        <w:t>Recommendations</w:t>
      </w:r>
      <w:bookmarkEnd w:id="5"/>
    </w:p>
    <w:p w14:paraId="7E5C84B1" w14:textId="77777777" w:rsidR="00A5682B" w:rsidRPr="00B50531" w:rsidRDefault="00A5682B" w:rsidP="00A5682B">
      <w:pPr>
        <w:jc w:val="both"/>
        <w:rPr>
          <w:lang w:val="en-US"/>
        </w:rPr>
      </w:pPr>
    </w:p>
    <w:p w14:paraId="3E5B8538" w14:textId="338482E3" w:rsidR="00A5682B" w:rsidRPr="00B50531" w:rsidRDefault="008616C8" w:rsidP="00A5682B">
      <w:pPr>
        <w:jc w:val="both"/>
        <w:rPr>
          <w:rFonts w:ascii="Arial" w:hAnsi="Arial" w:cs="Arial"/>
          <w:i/>
          <w:sz w:val="20"/>
          <w:szCs w:val="20"/>
          <w:lang w:val="en-US"/>
        </w:rPr>
      </w:pPr>
      <w:r>
        <w:rPr>
          <w:rFonts w:ascii="Arial" w:hAnsi="Arial" w:cs="Arial"/>
          <w:i/>
          <w:sz w:val="20"/>
          <w:szCs w:val="20"/>
          <w:highlight w:val="yellow"/>
          <w:lang w:val="en-US"/>
        </w:rPr>
        <w:t>Table/text</w:t>
      </w:r>
    </w:p>
    <w:p w14:paraId="58128631" w14:textId="77777777" w:rsidR="00A5682B" w:rsidRPr="00B50531" w:rsidRDefault="00A5682B" w:rsidP="00A5682B">
      <w:pPr>
        <w:jc w:val="both"/>
        <w:rPr>
          <w:lang w:val="en-US"/>
        </w:rPr>
      </w:pPr>
    </w:p>
    <w:p w14:paraId="59B2DF44" w14:textId="50241E01" w:rsidR="00A5682B" w:rsidRPr="00B50531" w:rsidRDefault="008616C8" w:rsidP="00C37D08">
      <w:pPr>
        <w:pStyle w:val="FINMAGliederungEbene2"/>
        <w:rPr>
          <w:lang w:val="en-US"/>
        </w:rPr>
      </w:pPr>
      <w:bookmarkStart w:id="6" w:name="_Toc145409728"/>
      <w:r>
        <w:rPr>
          <w:lang w:val="en-US"/>
        </w:rPr>
        <w:t>Objections from the previous year</w:t>
      </w:r>
      <w:bookmarkEnd w:id="6"/>
    </w:p>
    <w:p w14:paraId="3E2C08E6" w14:textId="77777777" w:rsidR="00A5682B" w:rsidRPr="00B50531" w:rsidRDefault="00A5682B" w:rsidP="00A5682B">
      <w:pPr>
        <w:jc w:val="both"/>
        <w:rPr>
          <w:lang w:val="en-US"/>
        </w:rPr>
      </w:pPr>
    </w:p>
    <w:p w14:paraId="3A5E2730" w14:textId="7EB14CDE" w:rsidR="00A5682B" w:rsidRPr="00B50531" w:rsidRDefault="008616C8" w:rsidP="00A5682B">
      <w:pPr>
        <w:jc w:val="both"/>
        <w:rPr>
          <w:lang w:val="en-US"/>
        </w:rPr>
      </w:pPr>
      <w:r>
        <w:rPr>
          <w:rFonts w:ascii="Arial" w:hAnsi="Arial" w:cs="Arial"/>
          <w:i/>
          <w:sz w:val="20"/>
          <w:szCs w:val="20"/>
          <w:highlight w:val="yellow"/>
          <w:lang w:val="en-US"/>
        </w:rPr>
        <w:t>Table/text</w:t>
      </w:r>
    </w:p>
    <w:p w14:paraId="491228CA" w14:textId="77777777" w:rsidR="00885CE4" w:rsidRPr="00B50531" w:rsidRDefault="00885CE4" w:rsidP="00A5682B">
      <w:pPr>
        <w:jc w:val="both"/>
        <w:rPr>
          <w:lang w:val="en-US"/>
        </w:rPr>
      </w:pPr>
    </w:p>
    <w:p w14:paraId="58B3AABE" w14:textId="1B9A9187" w:rsidR="00A5682B" w:rsidRPr="00B50531" w:rsidRDefault="008616C8" w:rsidP="00C37D08">
      <w:pPr>
        <w:pStyle w:val="FINMAGliederungEbene2"/>
        <w:rPr>
          <w:lang w:val="en-US"/>
        </w:rPr>
      </w:pPr>
      <w:bookmarkStart w:id="7" w:name="_Toc145409729"/>
      <w:r>
        <w:rPr>
          <w:lang w:val="en-US"/>
        </w:rPr>
        <w:t>Recommendations from the previous year</w:t>
      </w:r>
      <w:bookmarkEnd w:id="7"/>
    </w:p>
    <w:p w14:paraId="7FAA214C" w14:textId="77777777" w:rsidR="00A5682B" w:rsidRPr="00B50531" w:rsidRDefault="00A5682B" w:rsidP="00A5682B">
      <w:pPr>
        <w:jc w:val="both"/>
        <w:rPr>
          <w:lang w:val="en-US"/>
        </w:rPr>
      </w:pPr>
    </w:p>
    <w:p w14:paraId="3CCC5E7D" w14:textId="1024AC6A" w:rsidR="00A5682B" w:rsidRPr="00B50531" w:rsidRDefault="008616C8" w:rsidP="00A5682B">
      <w:pPr>
        <w:jc w:val="both"/>
        <w:rPr>
          <w:rFonts w:ascii="Arial" w:hAnsi="Arial" w:cs="Arial"/>
          <w:i/>
          <w:sz w:val="20"/>
          <w:szCs w:val="20"/>
          <w:lang w:val="en-US"/>
        </w:rPr>
      </w:pPr>
      <w:r>
        <w:rPr>
          <w:rFonts w:ascii="Arial" w:hAnsi="Arial" w:cs="Arial"/>
          <w:i/>
          <w:sz w:val="20"/>
          <w:szCs w:val="20"/>
          <w:highlight w:val="yellow"/>
          <w:lang w:val="en-US"/>
        </w:rPr>
        <w:t>Table/text</w:t>
      </w:r>
    </w:p>
    <w:p w14:paraId="0751C13F" w14:textId="77777777" w:rsidR="00A5682B" w:rsidRPr="00B50531" w:rsidRDefault="00A5682B" w:rsidP="00A5682B">
      <w:pPr>
        <w:jc w:val="both"/>
        <w:rPr>
          <w:lang w:val="en-US"/>
        </w:rPr>
      </w:pPr>
    </w:p>
    <w:p w14:paraId="666F4D93" w14:textId="569AAC04" w:rsidR="00885CE4" w:rsidRDefault="00332D51" w:rsidP="00C37D08">
      <w:pPr>
        <w:pStyle w:val="FINMAGliederungEbene2"/>
        <w:rPr>
          <w:lang w:val="en-US"/>
        </w:rPr>
      </w:pPr>
      <w:bookmarkStart w:id="8" w:name="_Toc145409730"/>
      <w:r>
        <w:rPr>
          <w:lang w:val="en-US"/>
        </w:rPr>
        <w:t>Confirmation regarding FMA requirements (</w:t>
      </w:r>
      <w:r w:rsidR="004417F9">
        <w:rPr>
          <w:lang w:val="en-US"/>
        </w:rPr>
        <w:t>Resolvability</w:t>
      </w:r>
      <w:r>
        <w:rPr>
          <w:lang w:val="en-US"/>
        </w:rPr>
        <w:t>)</w:t>
      </w:r>
      <w:bookmarkEnd w:id="8"/>
    </w:p>
    <w:p w14:paraId="7F0F4626" w14:textId="79598BAD" w:rsidR="000D28D8" w:rsidRPr="00B51E1B" w:rsidRDefault="000D28D8" w:rsidP="000D28D8">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72F012D4" w14:textId="77777777" w:rsidR="000D28D8" w:rsidRPr="00B51E1B" w:rsidRDefault="000D28D8" w:rsidP="00B51E1B">
      <w:pPr>
        <w:jc w:val="both"/>
        <w:rPr>
          <w:rFonts w:ascii="Arial" w:hAnsi="Arial" w:cs="Arial"/>
          <w:i/>
          <w:sz w:val="20"/>
          <w:szCs w:val="20"/>
          <w:highlight w:val="lightGray"/>
          <w:lang w:val="en-US"/>
        </w:rPr>
      </w:pPr>
    </w:p>
    <w:p w14:paraId="06C5E75B" w14:textId="77777777" w:rsidR="00B51E1B" w:rsidRPr="00B50531" w:rsidRDefault="00B51E1B" w:rsidP="00B51E1B">
      <w:pPr>
        <w:pStyle w:val="FINMAGliederungEbene1"/>
        <w:numPr>
          <w:ilvl w:val="0"/>
          <w:numId w:val="0"/>
        </w:numPr>
        <w:ind w:left="432" w:hanging="432"/>
        <w:rPr>
          <w:lang w:val="en-US"/>
        </w:rPr>
      </w:pPr>
    </w:p>
    <w:p w14:paraId="4EFE37C5" w14:textId="10DBEEF3" w:rsidR="00004C8E" w:rsidRDefault="000400E5" w:rsidP="00C37D08">
      <w:pPr>
        <w:pStyle w:val="FINMAGliederungEbene2"/>
        <w:rPr>
          <w:lang w:val="en-US"/>
        </w:rPr>
      </w:pPr>
      <w:bookmarkStart w:id="9" w:name="_Toc145409731"/>
      <w:r>
        <w:rPr>
          <w:lang w:val="en-US"/>
        </w:rPr>
        <w:t xml:space="preserve">Key findings of internal </w:t>
      </w:r>
      <w:r w:rsidR="00CC485B">
        <w:rPr>
          <w:lang w:val="en-US"/>
        </w:rPr>
        <w:t>audit</w:t>
      </w:r>
      <w:r w:rsidR="00ED4E22" w:rsidRPr="00B50531">
        <w:rPr>
          <w:lang w:val="en-US"/>
        </w:rPr>
        <w:t xml:space="preserve"> </w:t>
      </w:r>
      <w:r w:rsidR="00CC485B">
        <w:rPr>
          <w:lang w:val="en-US"/>
        </w:rPr>
        <w:t>(</w:t>
      </w:r>
      <w:r w:rsidR="004417F9">
        <w:rPr>
          <w:lang w:val="en-US"/>
        </w:rPr>
        <w:t>Resolvability</w:t>
      </w:r>
      <w:r w:rsidR="00CC485B">
        <w:rPr>
          <w:lang w:val="en-US"/>
        </w:rPr>
        <w:t>)</w:t>
      </w:r>
      <w:bookmarkEnd w:id="9"/>
    </w:p>
    <w:p w14:paraId="000352D1" w14:textId="19BC51C3" w:rsidR="000D28D8" w:rsidRPr="00B51E1B" w:rsidRDefault="000D28D8" w:rsidP="000D28D8">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79DBCAE3" w14:textId="77777777" w:rsidR="000D28D8" w:rsidRPr="00B51E1B" w:rsidRDefault="000D28D8" w:rsidP="00B51E1B">
      <w:pPr>
        <w:jc w:val="both"/>
        <w:rPr>
          <w:rFonts w:ascii="Arial" w:hAnsi="Arial" w:cs="Arial"/>
          <w:i/>
          <w:sz w:val="20"/>
          <w:szCs w:val="20"/>
          <w:highlight w:val="lightGray"/>
          <w:lang w:val="en-US"/>
        </w:rPr>
      </w:pPr>
    </w:p>
    <w:p w14:paraId="74B7577F" w14:textId="77777777" w:rsidR="00004C8E" w:rsidRPr="00B50531" w:rsidRDefault="00004C8E" w:rsidP="00CB3EE6">
      <w:pPr>
        <w:pStyle w:val="Listenabsatz"/>
        <w:ind w:left="0"/>
        <w:jc w:val="both"/>
        <w:rPr>
          <w:lang w:val="en-US"/>
        </w:rPr>
      </w:pPr>
    </w:p>
    <w:p w14:paraId="38A4A8F6" w14:textId="63190761" w:rsidR="004B7B6C" w:rsidRDefault="00401251" w:rsidP="00C37D08">
      <w:pPr>
        <w:pStyle w:val="FINMAGliederungEbene2"/>
        <w:rPr>
          <w:lang w:val="en-US"/>
        </w:rPr>
      </w:pPr>
      <w:bookmarkStart w:id="10" w:name="_Toc145409732"/>
      <w:r>
        <w:rPr>
          <w:lang w:val="en-US"/>
        </w:rPr>
        <w:t>Key findings by third parties</w:t>
      </w:r>
      <w:r w:rsidR="00ED4E22" w:rsidRPr="00B50531">
        <w:rPr>
          <w:lang w:val="en-US"/>
        </w:rPr>
        <w:t xml:space="preserve"> (</w:t>
      </w:r>
      <w:r w:rsidR="004417F9">
        <w:rPr>
          <w:lang w:val="en-US"/>
        </w:rPr>
        <w:t>Resolvability</w:t>
      </w:r>
      <w:r w:rsidR="00ED4E22" w:rsidRPr="00B50531">
        <w:rPr>
          <w:lang w:val="en-US"/>
        </w:rPr>
        <w:t>)</w:t>
      </w:r>
      <w:bookmarkEnd w:id="10"/>
    </w:p>
    <w:p w14:paraId="13F2B0D1" w14:textId="689961B5" w:rsidR="000D28D8" w:rsidRPr="00B51E1B" w:rsidRDefault="000D28D8" w:rsidP="000D28D8">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25038ADB" w14:textId="77777777" w:rsidR="000D28D8" w:rsidRPr="00B51E1B" w:rsidRDefault="000D28D8" w:rsidP="00B51E1B">
      <w:pPr>
        <w:jc w:val="both"/>
        <w:rPr>
          <w:rFonts w:ascii="Arial" w:hAnsi="Arial" w:cs="Arial"/>
          <w:i/>
          <w:sz w:val="20"/>
          <w:szCs w:val="20"/>
          <w:highlight w:val="lightGray"/>
          <w:lang w:val="en-US"/>
        </w:rPr>
      </w:pPr>
    </w:p>
    <w:p w14:paraId="3B52A0D5" w14:textId="77777777" w:rsidR="00401251" w:rsidRPr="00401251" w:rsidRDefault="00401251" w:rsidP="00CB3EE6">
      <w:pPr>
        <w:jc w:val="both"/>
        <w:rPr>
          <w:rFonts w:ascii="Arial" w:hAnsi="Arial"/>
          <w:i/>
          <w:sz w:val="20"/>
          <w:highlight w:val="lightGray"/>
          <w:lang w:val="en-US"/>
        </w:rPr>
      </w:pPr>
    </w:p>
    <w:p w14:paraId="41531B75" w14:textId="03F6284D" w:rsidR="00401251" w:rsidRDefault="00401251" w:rsidP="002B56BB">
      <w:pPr>
        <w:pStyle w:val="FINMAGliederungEbene2"/>
        <w:rPr>
          <w:lang w:val="en-US"/>
        </w:rPr>
      </w:pPr>
      <w:bookmarkStart w:id="11" w:name="_Toc145409733"/>
      <w:r>
        <w:rPr>
          <w:lang w:val="en-US"/>
        </w:rPr>
        <w:t>Summary of auditor’s findings and overall assessment</w:t>
      </w:r>
      <w:bookmarkEnd w:id="11"/>
    </w:p>
    <w:p w14:paraId="533B6933" w14:textId="5F463B9D" w:rsidR="000D28D8" w:rsidRPr="00B51E1B" w:rsidRDefault="000D28D8" w:rsidP="000D28D8">
      <w:pPr>
        <w:jc w:val="both"/>
        <w:rPr>
          <w:rFonts w:ascii="Arial" w:hAnsi="Arial" w:cs="Arial"/>
          <w:i/>
          <w:sz w:val="20"/>
          <w:szCs w:val="20"/>
          <w:highlight w:val="lightGray"/>
          <w:lang w:val="en-US"/>
        </w:rPr>
      </w:pPr>
      <w:r>
        <w:rPr>
          <w:rFonts w:ascii="Arial" w:hAnsi="Arial" w:cs="Arial"/>
          <w:i/>
          <w:sz w:val="20"/>
          <w:szCs w:val="20"/>
          <w:highlight w:val="lightGray"/>
          <w:lang w:val="en-US"/>
        </w:rPr>
        <w:t>S</w:t>
      </w:r>
      <w:r w:rsidRPr="00B51E1B">
        <w:rPr>
          <w:rFonts w:ascii="Arial" w:hAnsi="Arial" w:cs="Arial"/>
          <w:i/>
          <w:sz w:val="20"/>
          <w:szCs w:val="20"/>
          <w:highlight w:val="lightGray"/>
          <w:lang w:val="en-US"/>
        </w:rPr>
        <w:t xml:space="preserve">ee annex </w:t>
      </w:r>
      <w:r>
        <w:rPr>
          <w:rFonts w:ascii="Arial" w:hAnsi="Arial" w:cs="Arial"/>
          <w:i/>
          <w:sz w:val="20"/>
          <w:szCs w:val="20"/>
          <w:highlight w:val="lightGray"/>
          <w:lang w:val="en-US"/>
        </w:rPr>
        <w:t>A2 (</w:t>
      </w:r>
      <w:proofErr w:type="spellStart"/>
      <w:r>
        <w:rPr>
          <w:rFonts w:ascii="Arial" w:hAnsi="Arial" w:cs="Arial"/>
          <w:i/>
          <w:sz w:val="20"/>
          <w:szCs w:val="20"/>
          <w:highlight w:val="lightGray"/>
          <w:lang w:val="en-US"/>
        </w:rPr>
        <w:t>german</w:t>
      </w:r>
      <w:proofErr w:type="spellEnd"/>
      <w:r>
        <w:rPr>
          <w:rFonts w:ascii="Arial" w:hAnsi="Arial" w:cs="Arial"/>
          <w:i/>
          <w:sz w:val="20"/>
          <w:szCs w:val="20"/>
          <w:highlight w:val="lightGray"/>
          <w:lang w:val="en-US"/>
        </w:rPr>
        <w:t xml:space="preserve"> version)</w:t>
      </w:r>
    </w:p>
    <w:p w14:paraId="21FAF08B" w14:textId="32EAD7F8" w:rsidR="002B56BB" w:rsidRDefault="002B56BB" w:rsidP="00A5682B">
      <w:pPr>
        <w:jc w:val="both"/>
        <w:rPr>
          <w:rFonts w:ascii="Arial" w:hAnsi="Arial" w:cs="Arial"/>
          <w:sz w:val="20"/>
          <w:szCs w:val="20"/>
          <w:lang w:val="en-US"/>
        </w:rPr>
      </w:pPr>
    </w:p>
    <w:p w14:paraId="4FAB81E7" w14:textId="77777777" w:rsidR="002B56BB" w:rsidRPr="00B50531" w:rsidRDefault="002B56BB" w:rsidP="00A5682B">
      <w:pPr>
        <w:jc w:val="both"/>
        <w:rPr>
          <w:rFonts w:ascii="Arial" w:hAnsi="Arial" w:cs="Arial"/>
          <w:sz w:val="20"/>
          <w:szCs w:val="20"/>
          <w:lang w:val="en-US"/>
        </w:rPr>
      </w:pPr>
    </w:p>
    <w:p w14:paraId="3A5808C1" w14:textId="08C4F69F" w:rsidR="007A36D2" w:rsidRPr="00B50531" w:rsidRDefault="00113797" w:rsidP="00C37D08">
      <w:pPr>
        <w:pStyle w:val="FINMAGliederungEbene1"/>
        <w:rPr>
          <w:lang w:val="en-US"/>
        </w:rPr>
      </w:pPr>
      <w:bookmarkStart w:id="12" w:name="_Toc145409734"/>
      <w:r>
        <w:rPr>
          <w:lang w:val="en-US"/>
        </w:rPr>
        <w:t>F</w:t>
      </w:r>
      <w:r w:rsidR="009F7505">
        <w:rPr>
          <w:lang w:val="en-US"/>
        </w:rPr>
        <w:t>indings</w:t>
      </w:r>
      <w:bookmarkEnd w:id="12"/>
    </w:p>
    <w:p w14:paraId="5E549B85" w14:textId="77777777" w:rsidR="007A36D2" w:rsidRPr="00B50531" w:rsidRDefault="007A36D2" w:rsidP="007A36D2">
      <w:pPr>
        <w:jc w:val="both"/>
        <w:rPr>
          <w:lang w:val="en-US"/>
        </w:rPr>
      </w:pPr>
    </w:p>
    <w:p w14:paraId="7AFE4674" w14:textId="290205C8"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 xml:space="preserve">The auditor evaluates the audit elements within audit areas with the following interventions: "Yes (Detailed Examination)," "Yes (Critical Assessment)," or "No." These audit findings serve as confirmations for both </w:t>
      </w:r>
      <w:r w:rsidRPr="008E2BDA">
        <w:rPr>
          <w:rFonts w:ascii="Arial" w:hAnsi="Arial" w:cs="Arial"/>
          <w:i/>
          <w:sz w:val="20"/>
          <w:szCs w:val="20"/>
          <w:highlight w:val="lightGray"/>
          <w:lang w:val="en-US"/>
        </w:rPr>
        <w:lastRenderedPageBreak/>
        <w:t xml:space="preserve">types of audit depths (detailed </w:t>
      </w:r>
      <w:r w:rsidR="008C69E1">
        <w:rPr>
          <w:rFonts w:ascii="Arial" w:hAnsi="Arial" w:cs="Arial"/>
          <w:i/>
          <w:sz w:val="20"/>
          <w:szCs w:val="20"/>
          <w:highlight w:val="lightGray"/>
          <w:lang w:val="en-US"/>
        </w:rPr>
        <w:t>audit</w:t>
      </w:r>
      <w:r w:rsidRPr="008E2BDA">
        <w:rPr>
          <w:rFonts w:ascii="Arial" w:hAnsi="Arial" w:cs="Arial"/>
          <w:i/>
          <w:sz w:val="20"/>
          <w:szCs w:val="20"/>
          <w:highlight w:val="lightGray"/>
          <w:lang w:val="en-US"/>
        </w:rPr>
        <w:t xml:space="preserve"> or critical assessment). In the case of a "critical assessment," regardless of the wording of the audit element, the confirmations are to be interpreted as "negative assurance."</w:t>
      </w:r>
    </w:p>
    <w:p w14:paraId="07E1CB54" w14:textId="77777777" w:rsidR="008E2BDA" w:rsidRPr="008E2BDA" w:rsidRDefault="008E2BDA" w:rsidP="008E2BDA">
      <w:pPr>
        <w:jc w:val="both"/>
        <w:rPr>
          <w:rFonts w:ascii="Arial" w:hAnsi="Arial" w:cs="Arial"/>
          <w:i/>
          <w:sz w:val="20"/>
          <w:szCs w:val="20"/>
          <w:highlight w:val="lightGray"/>
          <w:lang w:val="en-US"/>
        </w:rPr>
      </w:pPr>
    </w:p>
    <w:p w14:paraId="7C41FA4D" w14:textId="2469CE3A" w:rsidR="008E2BDA" w:rsidRPr="008E2BDA" w:rsidRDefault="008E2BDA" w:rsidP="008E2BDA">
      <w:pPr>
        <w:jc w:val="both"/>
        <w:rPr>
          <w:rFonts w:ascii="Arial" w:hAnsi="Arial" w:cs="Arial"/>
          <w:i/>
          <w:sz w:val="20"/>
          <w:szCs w:val="20"/>
          <w:highlight w:val="lightGray"/>
          <w:lang w:val="en-US"/>
        </w:rPr>
      </w:pPr>
      <w:r w:rsidRPr="00432521">
        <w:rPr>
          <w:rFonts w:ascii="Arial" w:hAnsi="Arial" w:cs="Arial"/>
          <w:i/>
          <w:sz w:val="20"/>
          <w:szCs w:val="20"/>
          <w:highlight w:val="lightGray"/>
        </w:rPr>
        <w:t xml:space="preserve">The </w:t>
      </w:r>
      <w:proofErr w:type="spellStart"/>
      <w:r w:rsidRPr="00432521">
        <w:rPr>
          <w:rFonts w:ascii="Arial" w:hAnsi="Arial" w:cs="Arial"/>
          <w:i/>
          <w:sz w:val="20"/>
          <w:szCs w:val="20"/>
          <w:highlight w:val="lightGray"/>
        </w:rPr>
        <w:t>auditor</w:t>
      </w:r>
      <w:proofErr w:type="spellEnd"/>
      <w:r w:rsidRPr="00432521">
        <w:rPr>
          <w:rFonts w:ascii="Arial" w:hAnsi="Arial" w:cs="Arial"/>
          <w:i/>
          <w:sz w:val="20"/>
          <w:szCs w:val="20"/>
          <w:highlight w:val="lightGray"/>
        </w:rPr>
        <w:t xml:space="preserve"> </w:t>
      </w:r>
      <w:proofErr w:type="spellStart"/>
      <w:r w:rsidRPr="00432521">
        <w:rPr>
          <w:rFonts w:ascii="Arial" w:hAnsi="Arial" w:cs="Arial"/>
          <w:i/>
          <w:sz w:val="20"/>
          <w:szCs w:val="20"/>
          <w:highlight w:val="lightGray"/>
          <w:shd w:val="clear" w:color="auto" w:fill="D9D9D9" w:themeFill="background1" w:themeFillShade="D9"/>
        </w:rPr>
        <w:t>evaluates</w:t>
      </w:r>
      <w:proofErr w:type="spellEnd"/>
      <w:r w:rsidRPr="00432521">
        <w:rPr>
          <w:rFonts w:ascii="Arial" w:hAnsi="Arial" w:cs="Arial"/>
          <w:i/>
          <w:sz w:val="20"/>
          <w:szCs w:val="20"/>
          <w:highlight w:val="lightGray"/>
          <w:shd w:val="clear" w:color="auto" w:fill="D9D9D9" w:themeFill="background1" w:themeFillShade="D9"/>
        </w:rPr>
        <w:t xml:space="preserve"> </w:t>
      </w:r>
      <w:proofErr w:type="spellStart"/>
      <w:r w:rsidRPr="00432521">
        <w:rPr>
          <w:rFonts w:ascii="Arial" w:hAnsi="Arial" w:cs="Arial"/>
          <w:i/>
          <w:sz w:val="20"/>
          <w:szCs w:val="20"/>
          <w:highlight w:val="lightGray"/>
          <w:shd w:val="clear" w:color="auto" w:fill="D9D9D9" w:themeFill="background1" w:themeFillShade="D9"/>
        </w:rPr>
        <w:t>the</w:t>
      </w:r>
      <w:proofErr w:type="spellEnd"/>
      <w:r w:rsidRPr="00432521">
        <w:rPr>
          <w:rFonts w:ascii="Arial" w:hAnsi="Arial" w:cs="Arial"/>
          <w:i/>
          <w:sz w:val="20"/>
          <w:szCs w:val="20"/>
          <w:highlight w:val="lightGray"/>
          <w:shd w:val="clear" w:color="auto" w:fill="D9D9D9" w:themeFill="background1" w:themeFillShade="D9"/>
        </w:rPr>
        <w:t xml:space="preserve"> </w:t>
      </w:r>
      <w:proofErr w:type="spellStart"/>
      <w:r w:rsidRPr="00432521">
        <w:rPr>
          <w:rFonts w:ascii="Arial" w:hAnsi="Arial" w:cs="Arial"/>
          <w:i/>
          <w:sz w:val="20"/>
          <w:szCs w:val="20"/>
          <w:highlight w:val="lightGray"/>
          <w:shd w:val="clear" w:color="auto" w:fill="D9D9D9" w:themeFill="background1" w:themeFillShade="D9"/>
        </w:rPr>
        <w:t>audit</w:t>
      </w:r>
      <w:proofErr w:type="spellEnd"/>
      <w:r w:rsidRPr="00432521">
        <w:rPr>
          <w:rFonts w:ascii="Arial" w:hAnsi="Arial" w:cs="Arial"/>
          <w:i/>
          <w:sz w:val="20"/>
          <w:szCs w:val="20"/>
          <w:highlight w:val="lightGray"/>
          <w:shd w:val="clear" w:color="auto" w:fill="D9D9D9" w:themeFill="background1" w:themeFillShade="D9"/>
        </w:rPr>
        <w:t xml:space="preserve"> </w:t>
      </w:r>
      <w:proofErr w:type="spellStart"/>
      <w:r w:rsidRPr="00432521">
        <w:rPr>
          <w:rFonts w:ascii="Arial" w:hAnsi="Arial" w:cs="Arial"/>
          <w:i/>
          <w:sz w:val="20"/>
          <w:szCs w:val="20"/>
          <w:highlight w:val="lightGray"/>
          <w:shd w:val="clear" w:color="auto" w:fill="D9D9D9" w:themeFill="background1" w:themeFillShade="D9"/>
        </w:rPr>
        <w:t>elements</w:t>
      </w:r>
      <w:proofErr w:type="spellEnd"/>
      <w:r w:rsidRPr="00432521">
        <w:rPr>
          <w:rFonts w:ascii="Arial" w:hAnsi="Arial" w:cs="Arial"/>
          <w:i/>
          <w:sz w:val="20"/>
          <w:szCs w:val="20"/>
          <w:highlight w:val="lightGray"/>
          <w:shd w:val="clear" w:color="auto" w:fill="D9D9D9" w:themeFill="background1" w:themeFillShade="D9"/>
        </w:rPr>
        <w:t xml:space="preserve"> in </w:t>
      </w:r>
      <w:proofErr w:type="spellStart"/>
      <w:r w:rsidRPr="00432521">
        <w:rPr>
          <w:rFonts w:ascii="Arial" w:hAnsi="Arial" w:cs="Arial"/>
          <w:i/>
          <w:sz w:val="20"/>
          <w:szCs w:val="20"/>
          <w:highlight w:val="lightGray"/>
          <w:shd w:val="clear" w:color="auto" w:fill="D9D9D9" w:themeFill="background1" w:themeFillShade="D9"/>
        </w:rPr>
        <w:t>line</w:t>
      </w:r>
      <w:proofErr w:type="spellEnd"/>
      <w:r w:rsidRPr="00432521">
        <w:rPr>
          <w:rFonts w:ascii="Arial" w:hAnsi="Arial" w:cs="Arial"/>
          <w:i/>
          <w:sz w:val="20"/>
          <w:szCs w:val="20"/>
          <w:highlight w:val="lightGray"/>
          <w:shd w:val="clear" w:color="auto" w:fill="D9D9D9" w:themeFill="background1" w:themeFillShade="D9"/>
        </w:rPr>
        <w:t xml:space="preserve"> </w:t>
      </w:r>
      <w:proofErr w:type="spellStart"/>
      <w:r w:rsidRPr="00432521">
        <w:rPr>
          <w:rFonts w:ascii="Arial" w:hAnsi="Arial" w:cs="Arial"/>
          <w:i/>
          <w:sz w:val="20"/>
          <w:szCs w:val="20"/>
          <w:highlight w:val="lightGray"/>
          <w:shd w:val="clear" w:color="auto" w:fill="D9D9D9" w:themeFill="background1" w:themeFillShade="D9"/>
        </w:rPr>
        <w:t>with</w:t>
      </w:r>
      <w:proofErr w:type="spellEnd"/>
      <w:r w:rsidRPr="00432521">
        <w:rPr>
          <w:rFonts w:ascii="Arial" w:hAnsi="Arial" w:cs="Arial"/>
          <w:i/>
          <w:sz w:val="20"/>
          <w:szCs w:val="20"/>
          <w:highlight w:val="lightGray"/>
          <w:shd w:val="clear" w:color="auto" w:fill="D9D9D9" w:themeFill="background1" w:themeFillShade="D9"/>
        </w:rPr>
        <w:t xml:space="preserve"> </w:t>
      </w:r>
      <w:proofErr w:type="spellStart"/>
      <w:r w:rsidRPr="00432521">
        <w:rPr>
          <w:rFonts w:ascii="Arial" w:hAnsi="Arial" w:cs="Arial"/>
          <w:i/>
          <w:sz w:val="20"/>
          <w:szCs w:val="20"/>
          <w:highlight w:val="lightGray"/>
          <w:shd w:val="clear" w:color="auto" w:fill="D9D9D9" w:themeFill="background1" w:themeFillShade="D9"/>
        </w:rPr>
        <w:t>the</w:t>
      </w:r>
      <w:proofErr w:type="spellEnd"/>
      <w:r w:rsidRPr="00432521">
        <w:rPr>
          <w:rFonts w:ascii="Arial" w:hAnsi="Arial" w:cs="Arial"/>
          <w:i/>
          <w:sz w:val="20"/>
          <w:szCs w:val="20"/>
          <w:highlight w:val="lightGray"/>
          <w:shd w:val="clear" w:color="auto" w:fill="D9D9D9" w:themeFill="background1" w:themeFillShade="D9"/>
        </w:rPr>
        <w:t xml:space="preserve"> </w:t>
      </w:r>
      <w:r w:rsidR="00B846AB" w:rsidRPr="00432521">
        <w:rPr>
          <w:shd w:val="clear" w:color="auto" w:fill="D9D9D9" w:themeFill="background1" w:themeFillShade="D9"/>
        </w:rPr>
        <w:t>«</w:t>
      </w:r>
      <w:r w:rsidR="00B846AB" w:rsidRPr="00432521">
        <w:rPr>
          <w:rFonts w:ascii="Arial" w:hAnsi="Arial" w:cs="Arial"/>
          <w:i/>
          <w:sz w:val="20"/>
          <w:szCs w:val="20"/>
          <w:shd w:val="clear" w:color="auto" w:fill="D9D9D9" w:themeFill="background1" w:themeFillShade="D9"/>
        </w:rPr>
        <w:t>FMA-Richtlinie betreffend die spezialgesetzliche Prüfung der Abwicklungsfähigkeit (RPR-ABW)»</w:t>
      </w:r>
      <w:r w:rsidRPr="00432521">
        <w:rPr>
          <w:rFonts w:ascii="Arial" w:hAnsi="Arial" w:cs="Arial"/>
          <w:i/>
          <w:sz w:val="20"/>
          <w:szCs w:val="20"/>
          <w:highlight w:val="lightGray"/>
          <w:shd w:val="clear" w:color="auto" w:fill="D9D9D9" w:themeFill="background1" w:themeFillShade="D9"/>
        </w:rPr>
        <w:t xml:space="preserve">. </w:t>
      </w:r>
      <w:r w:rsidRPr="00432521">
        <w:rPr>
          <w:rFonts w:ascii="Arial" w:hAnsi="Arial" w:cs="Arial"/>
          <w:i/>
          <w:sz w:val="20"/>
          <w:szCs w:val="20"/>
          <w:highlight w:val="lightGray"/>
          <w:shd w:val="clear" w:color="auto" w:fill="D9D9D9" w:themeFill="background1" w:themeFillShade="D9"/>
          <w:lang w:val="en-US"/>
        </w:rPr>
        <w:t>If the intervention leads to an objection, the audit finding should be marked as "No," and an assessment of the potential</w:t>
      </w:r>
      <w:r w:rsidRPr="008E2BDA">
        <w:rPr>
          <w:rFonts w:ascii="Arial" w:hAnsi="Arial" w:cs="Arial"/>
          <w:i/>
          <w:sz w:val="20"/>
          <w:szCs w:val="20"/>
          <w:highlight w:val="lightGray"/>
          <w:lang w:val="en-US"/>
        </w:rPr>
        <w:t xml:space="preserve"> impact should be provided. If the intervention does not result in any objection, "Yes" should be indicated. If the conditions for a recommendation are met, the auditor should provide an appropriate explanation.</w:t>
      </w:r>
    </w:p>
    <w:p w14:paraId="0A2C634C" w14:textId="77777777" w:rsidR="008E2BDA" w:rsidRPr="008E2BDA" w:rsidRDefault="008E2BDA" w:rsidP="008E2BDA">
      <w:pPr>
        <w:jc w:val="both"/>
        <w:rPr>
          <w:rFonts w:ascii="Arial" w:hAnsi="Arial" w:cs="Arial"/>
          <w:i/>
          <w:sz w:val="20"/>
          <w:szCs w:val="20"/>
          <w:highlight w:val="lightGray"/>
          <w:lang w:val="en-US"/>
        </w:rPr>
      </w:pPr>
    </w:p>
    <w:p w14:paraId="63EA0FE2" w14:textId="0A1958E5"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 xml:space="preserve">Explanations for audit areas with objections </w:t>
      </w:r>
      <w:r w:rsidR="00E07C57">
        <w:rPr>
          <w:rFonts w:ascii="Arial" w:hAnsi="Arial" w:cs="Arial"/>
          <w:i/>
          <w:sz w:val="20"/>
          <w:szCs w:val="20"/>
          <w:highlight w:val="lightGray"/>
          <w:lang w:val="en-US"/>
        </w:rPr>
        <w:t xml:space="preserve">shall </w:t>
      </w:r>
      <w:r w:rsidRPr="008E2BDA">
        <w:rPr>
          <w:rFonts w:ascii="Arial" w:hAnsi="Arial" w:cs="Arial"/>
          <w:i/>
          <w:sz w:val="20"/>
          <w:szCs w:val="20"/>
          <w:highlight w:val="lightGray"/>
          <w:lang w:val="en-US"/>
        </w:rPr>
        <w:t>include at least the following: Clear information about actual and expected situations with references to legal bases and/or European/</w:t>
      </w:r>
      <w:r w:rsidR="00CC4DDF">
        <w:rPr>
          <w:rFonts w:ascii="Arial" w:hAnsi="Arial" w:cs="Arial"/>
          <w:i/>
          <w:sz w:val="20"/>
          <w:szCs w:val="20"/>
          <w:highlight w:val="lightGray"/>
          <w:lang w:val="en-US"/>
        </w:rPr>
        <w:t>I</w:t>
      </w:r>
      <w:r w:rsidRPr="008E2BDA">
        <w:rPr>
          <w:rFonts w:ascii="Arial" w:hAnsi="Arial" w:cs="Arial"/>
          <w:i/>
          <w:sz w:val="20"/>
          <w:szCs w:val="20"/>
          <w:highlight w:val="lightGray"/>
          <w:lang w:val="en-US"/>
        </w:rPr>
        <w:t>nternational standards (e.g., EBA guidelines), precise timing of the matter (timeframe), responsibility within the company, and underlying sources for the audit result (evidence).</w:t>
      </w:r>
    </w:p>
    <w:p w14:paraId="25703090" w14:textId="77777777" w:rsidR="008E2BDA" w:rsidRPr="008E2BDA" w:rsidRDefault="008E2BDA" w:rsidP="008E2BDA">
      <w:pPr>
        <w:jc w:val="both"/>
        <w:rPr>
          <w:rFonts w:ascii="Arial" w:hAnsi="Arial" w:cs="Arial"/>
          <w:i/>
          <w:sz w:val="20"/>
          <w:szCs w:val="20"/>
          <w:highlight w:val="lightGray"/>
          <w:lang w:val="en-US"/>
        </w:rPr>
      </w:pPr>
    </w:p>
    <w:p w14:paraId="5C03C786" w14:textId="0A66421F"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A</w:t>
      </w:r>
      <w:r w:rsidR="00CC4DDF">
        <w:rPr>
          <w:rFonts w:ascii="Arial" w:hAnsi="Arial" w:cs="Arial"/>
          <w:i/>
          <w:sz w:val="20"/>
          <w:szCs w:val="20"/>
          <w:highlight w:val="lightGray"/>
          <w:lang w:val="en-US"/>
        </w:rPr>
        <w:t>ny</w:t>
      </w:r>
      <w:r w:rsidRPr="008E2BDA">
        <w:rPr>
          <w:rFonts w:ascii="Arial" w:hAnsi="Arial" w:cs="Arial"/>
          <w:i/>
          <w:sz w:val="20"/>
          <w:szCs w:val="20"/>
          <w:highlight w:val="lightGray"/>
          <w:lang w:val="en-US"/>
        </w:rPr>
        <w:t xml:space="preserve"> reliance on internal audit results should be highlighted within the respective audit area and independently </w:t>
      </w:r>
      <w:proofErr w:type="spellStart"/>
      <w:r w:rsidR="00CC4DDF">
        <w:rPr>
          <w:rFonts w:ascii="Arial" w:hAnsi="Arial" w:cs="Arial"/>
          <w:i/>
          <w:sz w:val="20"/>
          <w:szCs w:val="20"/>
          <w:highlight w:val="lightGray"/>
          <w:lang w:val="en-US"/>
        </w:rPr>
        <w:t>recognised</w:t>
      </w:r>
      <w:proofErr w:type="spellEnd"/>
      <w:r w:rsidRPr="008E2BDA">
        <w:rPr>
          <w:rFonts w:ascii="Arial" w:hAnsi="Arial" w:cs="Arial"/>
          <w:i/>
          <w:sz w:val="20"/>
          <w:szCs w:val="20"/>
          <w:highlight w:val="lightGray"/>
          <w:lang w:val="en-US"/>
        </w:rPr>
        <w:t xml:space="preserve">. It should be indicated to what extent the internal audit has conducted audit procedures and the conclusions it has </w:t>
      </w:r>
      <w:proofErr w:type="spellStart"/>
      <w:r w:rsidR="00CC4DDF">
        <w:rPr>
          <w:rFonts w:ascii="Arial" w:hAnsi="Arial" w:cs="Arial"/>
          <w:i/>
          <w:sz w:val="20"/>
          <w:szCs w:val="20"/>
          <w:highlight w:val="lightGray"/>
          <w:lang w:val="en-US"/>
        </w:rPr>
        <w:t>drawn</w:t>
      </w:r>
      <w:r w:rsidRPr="008E2BDA">
        <w:rPr>
          <w:rFonts w:ascii="Arial" w:hAnsi="Arial" w:cs="Arial"/>
          <w:i/>
          <w:sz w:val="20"/>
          <w:szCs w:val="20"/>
          <w:highlight w:val="lightGray"/>
          <w:lang w:val="en-US"/>
        </w:rPr>
        <w:t>d</w:t>
      </w:r>
      <w:proofErr w:type="spellEnd"/>
      <w:r w:rsidRPr="008E2BDA">
        <w:rPr>
          <w:rFonts w:ascii="Arial" w:hAnsi="Arial" w:cs="Arial"/>
          <w:i/>
          <w:sz w:val="20"/>
          <w:szCs w:val="20"/>
          <w:highlight w:val="lightGray"/>
          <w:lang w:val="en-US"/>
        </w:rPr>
        <w:t>.</w:t>
      </w:r>
    </w:p>
    <w:p w14:paraId="180A36E6" w14:textId="77777777" w:rsidR="008E2BDA" w:rsidRPr="008E2BDA" w:rsidRDefault="008E2BDA" w:rsidP="008E2BDA">
      <w:pPr>
        <w:jc w:val="both"/>
        <w:rPr>
          <w:rFonts w:ascii="Arial" w:hAnsi="Arial" w:cs="Arial"/>
          <w:i/>
          <w:sz w:val="20"/>
          <w:szCs w:val="20"/>
          <w:highlight w:val="lightGray"/>
          <w:lang w:val="en-US"/>
        </w:rPr>
      </w:pPr>
    </w:p>
    <w:p w14:paraId="5AE8D983" w14:textId="2C6882CE"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 xml:space="preserve">In the subsequent sections, the auditor </w:t>
      </w:r>
      <w:r w:rsidR="002B19A2">
        <w:rPr>
          <w:rFonts w:ascii="Arial" w:hAnsi="Arial" w:cs="Arial"/>
          <w:i/>
          <w:sz w:val="20"/>
          <w:szCs w:val="20"/>
          <w:highlight w:val="lightGray"/>
          <w:lang w:val="en-US"/>
        </w:rPr>
        <w:t>comments on</w:t>
      </w:r>
      <w:r w:rsidRPr="008E2BDA">
        <w:rPr>
          <w:rFonts w:ascii="Arial" w:hAnsi="Arial" w:cs="Arial"/>
          <w:i/>
          <w:sz w:val="20"/>
          <w:szCs w:val="20"/>
          <w:highlight w:val="lightGray"/>
          <w:lang w:val="en-US"/>
        </w:rPr>
        <w:t xml:space="preserve"> each audit area according to the audit strategy.</w:t>
      </w:r>
    </w:p>
    <w:p w14:paraId="31ED6D21" w14:textId="77777777" w:rsidR="008E2BDA" w:rsidRPr="008E2BDA" w:rsidRDefault="008E2BDA" w:rsidP="008E2BDA">
      <w:pPr>
        <w:jc w:val="both"/>
        <w:rPr>
          <w:rFonts w:ascii="Arial" w:hAnsi="Arial" w:cs="Arial"/>
          <w:i/>
          <w:sz w:val="20"/>
          <w:szCs w:val="20"/>
          <w:highlight w:val="lightGray"/>
          <w:lang w:val="en-US"/>
        </w:rPr>
      </w:pPr>
    </w:p>
    <w:p w14:paraId="7C804C19" w14:textId="6979C2E3"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If no intervention occurred in an audit area or field in the reporting year, the</w:t>
      </w:r>
      <w:r w:rsidR="00CC4DDF">
        <w:rPr>
          <w:rFonts w:ascii="Arial" w:hAnsi="Arial" w:cs="Arial"/>
          <w:i/>
          <w:sz w:val="20"/>
          <w:szCs w:val="20"/>
          <w:highlight w:val="lightGray"/>
          <w:lang w:val="en-US"/>
        </w:rPr>
        <w:t>y</w:t>
      </w:r>
      <w:r w:rsidRPr="008E2BDA">
        <w:rPr>
          <w:rFonts w:ascii="Arial" w:hAnsi="Arial" w:cs="Arial"/>
          <w:i/>
          <w:sz w:val="20"/>
          <w:szCs w:val="20"/>
          <w:highlight w:val="lightGray"/>
          <w:lang w:val="en-US"/>
        </w:rPr>
        <w:t xml:space="preserve"> do not need to be listed in the report, and the corresponding report numbers including the formatting templates can be deleted.</w:t>
      </w:r>
    </w:p>
    <w:p w14:paraId="60F4555D" w14:textId="77777777" w:rsidR="008E2BDA" w:rsidRPr="008E2BDA" w:rsidRDefault="008E2BDA" w:rsidP="008E2BDA">
      <w:pPr>
        <w:jc w:val="both"/>
        <w:rPr>
          <w:rFonts w:ascii="Arial" w:hAnsi="Arial" w:cs="Arial"/>
          <w:i/>
          <w:sz w:val="20"/>
          <w:szCs w:val="20"/>
          <w:highlight w:val="lightGray"/>
          <w:lang w:val="en-US"/>
        </w:rPr>
      </w:pPr>
    </w:p>
    <w:p w14:paraId="187BBB69" w14:textId="7F366B7B"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 xml:space="preserve">For all audit areas or fields where interventions took place (detailed </w:t>
      </w:r>
      <w:r w:rsidR="008C69E1">
        <w:rPr>
          <w:rFonts w:ascii="Arial" w:hAnsi="Arial" w:cs="Arial"/>
          <w:i/>
          <w:sz w:val="20"/>
          <w:szCs w:val="20"/>
          <w:highlight w:val="lightGray"/>
          <w:lang w:val="en-US"/>
        </w:rPr>
        <w:t>audit</w:t>
      </w:r>
      <w:r w:rsidRPr="008E2BDA">
        <w:rPr>
          <w:rFonts w:ascii="Arial" w:hAnsi="Arial" w:cs="Arial"/>
          <w:i/>
          <w:sz w:val="20"/>
          <w:szCs w:val="20"/>
          <w:highlight w:val="lightGray"/>
          <w:lang w:val="en-US"/>
        </w:rPr>
        <w:t>or critical assessment), meaningful explanations are mandatory.</w:t>
      </w:r>
    </w:p>
    <w:p w14:paraId="5DD170D4" w14:textId="77777777" w:rsidR="008E2BDA" w:rsidRPr="008E2BDA" w:rsidRDefault="008E2BDA" w:rsidP="008E2BDA">
      <w:pPr>
        <w:jc w:val="both"/>
        <w:rPr>
          <w:rFonts w:ascii="Arial" w:hAnsi="Arial" w:cs="Arial"/>
          <w:i/>
          <w:sz w:val="20"/>
          <w:szCs w:val="20"/>
          <w:highlight w:val="lightGray"/>
          <w:lang w:val="en-US"/>
        </w:rPr>
      </w:pPr>
    </w:p>
    <w:p w14:paraId="46E24C02" w14:textId="77777777" w:rsidR="008E2BDA" w:rsidRPr="008E2BDA"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The auditor should design the scope and depth of the explanations in a way that provides the board of directors of the company or group and the FMA with an adequate understanding of the covered audit field. The explanations must be informative and provide insights into the individual minimum audit contents or audit elements. Additionally, explanations about the sampling method and sample size in relation to the total volume should be provided.</w:t>
      </w:r>
    </w:p>
    <w:p w14:paraId="728ABE24" w14:textId="77777777" w:rsidR="008E2BDA" w:rsidRPr="008E2BDA" w:rsidRDefault="008E2BDA" w:rsidP="008E2BDA">
      <w:pPr>
        <w:jc w:val="both"/>
        <w:rPr>
          <w:rFonts w:ascii="Arial" w:hAnsi="Arial" w:cs="Arial"/>
          <w:i/>
          <w:sz w:val="20"/>
          <w:szCs w:val="20"/>
          <w:highlight w:val="lightGray"/>
          <w:lang w:val="en-US"/>
        </w:rPr>
      </w:pPr>
    </w:p>
    <w:p w14:paraId="0C928FA8" w14:textId="4F8B1BE3" w:rsidR="008E2BDA" w:rsidRPr="00B50531" w:rsidRDefault="008E2BDA" w:rsidP="008E2BDA">
      <w:pPr>
        <w:jc w:val="both"/>
        <w:rPr>
          <w:rFonts w:ascii="Arial" w:hAnsi="Arial" w:cs="Arial"/>
          <w:i/>
          <w:sz w:val="20"/>
          <w:szCs w:val="20"/>
          <w:highlight w:val="lightGray"/>
          <w:lang w:val="en-US"/>
        </w:rPr>
      </w:pPr>
      <w:r w:rsidRPr="008E2BDA">
        <w:rPr>
          <w:rFonts w:ascii="Arial" w:hAnsi="Arial" w:cs="Arial"/>
          <w:i/>
          <w:sz w:val="20"/>
          <w:szCs w:val="20"/>
          <w:highlight w:val="lightGray"/>
          <w:lang w:val="en-US"/>
        </w:rPr>
        <w:t xml:space="preserve">For the sample report and modules, minimum audit contents apply (each adaptable to the underlying audit field) that need to be covered by the auditor's audit procedures for the assessment and provision of </w:t>
      </w:r>
      <w:r w:rsidR="00CF176D">
        <w:rPr>
          <w:rFonts w:ascii="Arial" w:hAnsi="Arial" w:cs="Arial"/>
          <w:i/>
          <w:sz w:val="20"/>
          <w:szCs w:val="20"/>
          <w:highlight w:val="lightGray"/>
          <w:lang w:val="en-US"/>
        </w:rPr>
        <w:t xml:space="preserve">the audit </w:t>
      </w:r>
      <w:r w:rsidRPr="008E2BDA">
        <w:rPr>
          <w:rFonts w:ascii="Arial" w:hAnsi="Arial" w:cs="Arial"/>
          <w:i/>
          <w:sz w:val="20"/>
          <w:szCs w:val="20"/>
          <w:highlight w:val="lightGray"/>
          <w:lang w:val="en-US"/>
        </w:rPr>
        <w:t>confirmations. It is the responsibility of the auditor to adjust and potentially expand the minimum audit contents to the specific situation of the entity being audited or to the audit depth. If the performed audit procedures do not fully cover the minimum audit contents, the report should indicate this and provide reasoning.</w:t>
      </w:r>
    </w:p>
    <w:p w14:paraId="6E27EB83" w14:textId="77777777" w:rsidR="002309A6" w:rsidRPr="00B50531" w:rsidRDefault="002309A6" w:rsidP="00515AB5">
      <w:pPr>
        <w:jc w:val="both"/>
        <w:rPr>
          <w:rFonts w:ascii="Arial" w:hAnsi="Arial" w:cs="Arial"/>
          <w:i/>
          <w:sz w:val="20"/>
          <w:szCs w:val="20"/>
          <w:highlight w:val="lightGray"/>
          <w:lang w:val="en-US"/>
        </w:rPr>
      </w:pPr>
    </w:p>
    <w:p w14:paraId="06A4058A" w14:textId="5197ED6F" w:rsidR="009F7505" w:rsidRPr="008E2BDA" w:rsidRDefault="006819F9" w:rsidP="008E2BDA">
      <w:pPr>
        <w:pStyle w:val="FINMAGliederungEbene1"/>
        <w:rPr>
          <w:lang w:val="en-US"/>
        </w:rPr>
      </w:pPr>
      <w:r w:rsidRPr="00B50531">
        <w:rPr>
          <w:lang w:val="en-US"/>
        </w:rPr>
        <w:br w:type="page"/>
      </w:r>
      <w:bookmarkStart w:id="13" w:name="_Toc145409735"/>
      <w:r w:rsidR="00C34774">
        <w:rPr>
          <w:lang w:val="en-US"/>
        </w:rPr>
        <w:lastRenderedPageBreak/>
        <w:t>General part</w:t>
      </w:r>
      <w:bookmarkEnd w:id="13"/>
    </w:p>
    <w:p w14:paraId="7FF1CB1A" w14:textId="7A09A9D0" w:rsidR="0012542F" w:rsidRPr="00B50531" w:rsidRDefault="0012542F" w:rsidP="0012542F">
      <w:pPr>
        <w:rPr>
          <w:rFonts w:ascii="Arial" w:hAnsi="Arial" w:cs="Arial"/>
          <w:sz w:val="20"/>
          <w:szCs w:val="22"/>
          <w:lang w:val="en-US"/>
        </w:rPr>
      </w:pPr>
    </w:p>
    <w:p w14:paraId="17AB6A1D" w14:textId="6DBF10CB" w:rsidR="008C30D1" w:rsidRPr="00B50531" w:rsidRDefault="00C34774" w:rsidP="00C37D08">
      <w:pPr>
        <w:pStyle w:val="FINMAGliederungEbene2"/>
        <w:rPr>
          <w:lang w:val="en-US"/>
        </w:rPr>
      </w:pPr>
      <w:bookmarkStart w:id="14" w:name="_Toc145409736"/>
      <w:r>
        <w:rPr>
          <w:lang w:val="en-US"/>
        </w:rPr>
        <w:t>Default and liquidation perspective</w:t>
      </w:r>
      <w:bookmarkEnd w:id="14"/>
    </w:p>
    <w:p w14:paraId="2612AB9C" w14:textId="77777777" w:rsidR="00D146EF" w:rsidRPr="00B50531" w:rsidRDefault="00D146EF" w:rsidP="00D146EF">
      <w:pPr>
        <w:jc w:val="both"/>
        <w:rPr>
          <w:lang w:val="en-US"/>
        </w:rPr>
      </w:pPr>
    </w:p>
    <w:tbl>
      <w:tblPr>
        <w:tblStyle w:val="Tabellenraster"/>
        <w:tblW w:w="0" w:type="auto"/>
        <w:tblLook w:val="04A0" w:firstRow="1" w:lastRow="0" w:firstColumn="1" w:lastColumn="0" w:noHBand="0" w:noVBand="1"/>
      </w:tblPr>
      <w:tblGrid>
        <w:gridCol w:w="617"/>
        <w:gridCol w:w="1626"/>
        <w:gridCol w:w="2124"/>
        <w:gridCol w:w="2653"/>
        <w:gridCol w:w="2494"/>
      </w:tblGrid>
      <w:tr w:rsidR="009872F3" w:rsidRPr="00AC2079" w14:paraId="0B98D3A1" w14:textId="77777777" w:rsidTr="0096765A">
        <w:trPr>
          <w:trHeight w:val="563"/>
        </w:trPr>
        <w:tc>
          <w:tcPr>
            <w:tcW w:w="2243" w:type="dxa"/>
            <w:gridSpan w:val="2"/>
            <w:shd w:val="clear" w:color="auto" w:fill="DBE5F1" w:themeFill="accent1" w:themeFillTint="33"/>
          </w:tcPr>
          <w:p w14:paraId="5AB519C0" w14:textId="6E51EAE6" w:rsidR="009872F3" w:rsidRPr="00B50531" w:rsidRDefault="00393503" w:rsidP="008C30D1">
            <w:pPr>
              <w:jc w:val="both"/>
              <w:rPr>
                <w:rFonts w:ascii="Arial" w:hAnsi="Arial" w:cs="Arial"/>
                <w:sz w:val="18"/>
                <w:szCs w:val="18"/>
                <w:lang w:val="en-US"/>
              </w:rPr>
            </w:pPr>
            <w:r>
              <w:rPr>
                <w:rFonts w:ascii="Arial" w:hAnsi="Arial" w:cs="Arial"/>
                <w:sz w:val="18"/>
                <w:szCs w:val="18"/>
                <w:lang w:val="en-US"/>
              </w:rPr>
              <w:t>Net risk</w:t>
            </w:r>
          </w:p>
        </w:tc>
        <w:tc>
          <w:tcPr>
            <w:tcW w:w="2124" w:type="dxa"/>
            <w:shd w:val="clear" w:color="auto" w:fill="DBE5F1" w:themeFill="accent1" w:themeFillTint="33"/>
          </w:tcPr>
          <w:p w14:paraId="70A9C2E6" w14:textId="1EB7819E" w:rsidR="009872F3" w:rsidRPr="00B50531" w:rsidRDefault="009872F3" w:rsidP="008C30D1">
            <w:pPr>
              <w:jc w:val="both"/>
              <w:rPr>
                <w:rFonts w:ascii="Arial" w:hAnsi="Arial" w:cs="Arial"/>
                <w:sz w:val="18"/>
                <w:szCs w:val="18"/>
                <w:lang w:val="en-US"/>
              </w:rPr>
            </w:pPr>
            <w:r w:rsidRPr="00B50531">
              <w:rPr>
                <w:rFonts w:ascii="Arial" w:hAnsi="Arial" w:cs="Arial"/>
                <w:sz w:val="18"/>
                <w:szCs w:val="18"/>
                <w:lang w:val="en-US"/>
              </w:rPr>
              <w:t>Intervention</w:t>
            </w:r>
            <w:r w:rsidR="00BF5A4C">
              <w:rPr>
                <w:rFonts w:ascii="Arial" w:hAnsi="Arial" w:cs="Arial"/>
                <w:sz w:val="18"/>
                <w:szCs w:val="18"/>
                <w:lang w:val="en-US"/>
              </w:rPr>
              <w:t xml:space="preserve"> </w:t>
            </w:r>
            <w:r w:rsidR="00393503">
              <w:rPr>
                <w:rFonts w:ascii="Arial" w:hAnsi="Arial" w:cs="Arial"/>
                <w:sz w:val="18"/>
                <w:szCs w:val="18"/>
                <w:lang w:val="en-US"/>
              </w:rPr>
              <w:t>reporting period</w:t>
            </w:r>
          </w:p>
        </w:tc>
        <w:tc>
          <w:tcPr>
            <w:tcW w:w="5147" w:type="dxa"/>
            <w:gridSpan w:val="2"/>
            <w:shd w:val="clear" w:color="auto" w:fill="DBE5F1" w:themeFill="accent1" w:themeFillTint="33"/>
          </w:tcPr>
          <w:p w14:paraId="3BA6DDD4" w14:textId="054D5C48" w:rsidR="009872F3" w:rsidRPr="00113797" w:rsidRDefault="008C69E1" w:rsidP="008C30D1">
            <w:pPr>
              <w:jc w:val="both"/>
              <w:rPr>
                <w:rFonts w:ascii="Arial" w:hAnsi="Arial" w:cs="Arial"/>
                <w:sz w:val="18"/>
                <w:szCs w:val="18"/>
                <w:lang w:val="en-US"/>
              </w:rPr>
            </w:pPr>
            <w:r>
              <w:rPr>
                <w:rFonts w:ascii="Arial" w:hAnsi="Arial" w:cs="Arial"/>
                <w:sz w:val="18"/>
                <w:szCs w:val="18"/>
                <w:lang w:val="en-US"/>
              </w:rPr>
              <w:t xml:space="preserve">Indication of the year with the last intervention </w:t>
            </w:r>
            <w:r w:rsidR="005731BB">
              <w:rPr>
                <w:rFonts w:ascii="Arial" w:hAnsi="Arial" w:cs="Arial"/>
                <w:sz w:val="18"/>
                <w:szCs w:val="18"/>
                <w:lang w:val="en-US"/>
              </w:rPr>
              <w:t xml:space="preserve">with the following audit depth (before the reporting year) </w:t>
            </w:r>
          </w:p>
        </w:tc>
      </w:tr>
      <w:tr w:rsidR="009872F3" w:rsidRPr="00B50531" w14:paraId="1B1D3C34" w14:textId="77777777" w:rsidTr="0096765A">
        <w:trPr>
          <w:trHeight w:val="698"/>
        </w:trPr>
        <w:tc>
          <w:tcPr>
            <w:tcW w:w="2243" w:type="dxa"/>
            <w:gridSpan w:val="2"/>
            <w:shd w:val="clear" w:color="auto" w:fill="DBE5F1" w:themeFill="accent1" w:themeFillTint="33"/>
          </w:tcPr>
          <w:p w14:paraId="00FB7127" w14:textId="34B08CE2" w:rsidR="009872F3" w:rsidRPr="00B50531" w:rsidRDefault="00393503" w:rsidP="00F60909">
            <w:pPr>
              <w:jc w:val="both"/>
              <w:rPr>
                <w:rFonts w:ascii="Arial" w:hAnsi="Arial" w:cs="Arial"/>
                <w:i/>
                <w:sz w:val="18"/>
                <w:szCs w:val="18"/>
                <w:highlight w:val="green"/>
                <w:lang w:val="en-US"/>
              </w:rPr>
            </w:pPr>
            <w:r>
              <w:rPr>
                <w:rFonts w:ascii="Arial" w:hAnsi="Arial" w:cs="Arial"/>
                <w:i/>
                <w:sz w:val="18"/>
                <w:szCs w:val="18"/>
                <w:highlight w:val="yellow"/>
                <w:lang w:val="en-US"/>
              </w:rPr>
              <w:t>low/medium/high</w:t>
            </w:r>
          </w:p>
        </w:tc>
        <w:tc>
          <w:tcPr>
            <w:tcW w:w="2124" w:type="dxa"/>
            <w:shd w:val="clear" w:color="auto" w:fill="DBE5F1" w:themeFill="accent1" w:themeFillTint="33"/>
          </w:tcPr>
          <w:p w14:paraId="49309858" w14:textId="327628E2" w:rsidR="009872F3" w:rsidRPr="00B50531" w:rsidRDefault="00393503" w:rsidP="008C30D1">
            <w:pPr>
              <w:jc w:val="both"/>
              <w:rPr>
                <w:rFonts w:ascii="Arial" w:hAnsi="Arial" w:cs="Arial"/>
                <w:i/>
                <w:sz w:val="18"/>
                <w:szCs w:val="18"/>
                <w:highlight w:val="green"/>
                <w:lang w:val="en-US"/>
              </w:rPr>
            </w:pPr>
            <w:r>
              <w:rPr>
                <w:rFonts w:ascii="Arial" w:hAnsi="Arial" w:cs="Arial"/>
                <w:i/>
                <w:sz w:val="18"/>
                <w:szCs w:val="18"/>
                <w:highlight w:val="yellow"/>
                <w:lang w:val="en-US"/>
              </w:rPr>
              <w:t>detailed audit</w:t>
            </w:r>
            <w:r w:rsidR="009872F3" w:rsidRPr="00B50531">
              <w:rPr>
                <w:rFonts w:ascii="Arial" w:hAnsi="Arial" w:cs="Arial"/>
                <w:i/>
                <w:sz w:val="18"/>
                <w:szCs w:val="18"/>
                <w:highlight w:val="yellow"/>
                <w:lang w:val="en-US"/>
              </w:rPr>
              <w:t xml:space="preserve"> / </w:t>
            </w:r>
            <w:r>
              <w:rPr>
                <w:rFonts w:ascii="Arial" w:hAnsi="Arial" w:cs="Arial"/>
                <w:i/>
                <w:sz w:val="18"/>
                <w:szCs w:val="18"/>
                <w:highlight w:val="yellow"/>
                <w:lang w:val="en-US"/>
              </w:rPr>
              <w:t>critical assessment</w:t>
            </w:r>
          </w:p>
        </w:tc>
        <w:tc>
          <w:tcPr>
            <w:tcW w:w="2653" w:type="dxa"/>
            <w:shd w:val="clear" w:color="auto" w:fill="DBE5F1" w:themeFill="accent1" w:themeFillTint="33"/>
          </w:tcPr>
          <w:p w14:paraId="68514421" w14:textId="3B0B1B81" w:rsidR="009872F3" w:rsidRPr="00B50531" w:rsidRDefault="00113797" w:rsidP="006749F0">
            <w:pPr>
              <w:jc w:val="both"/>
              <w:rPr>
                <w:rFonts w:ascii="Arial" w:hAnsi="Arial" w:cs="Arial"/>
                <w:sz w:val="18"/>
                <w:szCs w:val="18"/>
                <w:lang w:val="en-US"/>
              </w:rPr>
            </w:pPr>
            <w:r>
              <w:rPr>
                <w:rFonts w:ascii="Arial" w:hAnsi="Arial" w:cs="Arial"/>
                <w:sz w:val="18"/>
                <w:szCs w:val="18"/>
                <w:lang w:val="en-US"/>
              </w:rPr>
              <w:t>Detailed audit</w:t>
            </w:r>
            <w:r w:rsidR="009872F3" w:rsidRPr="00AC2079">
              <w:rPr>
                <w:rFonts w:ascii="Arial" w:hAnsi="Arial" w:cs="Arial"/>
                <w:sz w:val="18"/>
                <w:szCs w:val="18"/>
                <w:lang w:val="en-US"/>
              </w:rPr>
              <w:t xml:space="preserve">: </w:t>
            </w:r>
            <w:r w:rsidRPr="00AC2079">
              <w:rPr>
                <w:rFonts w:ascii="Arial" w:hAnsi="Arial" w:cs="Arial"/>
                <w:i/>
                <w:sz w:val="18"/>
                <w:szCs w:val="18"/>
                <w:highlight w:val="yellow"/>
                <w:lang w:val="en-US"/>
              </w:rPr>
              <w:t>year</w:t>
            </w:r>
            <w:bookmarkStart w:id="15" w:name="_GoBack"/>
            <w:bookmarkEnd w:id="15"/>
          </w:p>
        </w:tc>
        <w:tc>
          <w:tcPr>
            <w:tcW w:w="2494" w:type="dxa"/>
            <w:shd w:val="clear" w:color="auto" w:fill="DBE5F1" w:themeFill="accent1" w:themeFillTint="33"/>
          </w:tcPr>
          <w:p w14:paraId="10AF9B54" w14:textId="2BBEE066" w:rsidR="006749F0" w:rsidRPr="00B50531" w:rsidRDefault="00C34774" w:rsidP="006749F0">
            <w:pPr>
              <w:jc w:val="both"/>
              <w:rPr>
                <w:rFonts w:ascii="Arial" w:hAnsi="Arial" w:cs="Arial"/>
                <w:sz w:val="18"/>
                <w:szCs w:val="18"/>
                <w:highlight w:val="yellow"/>
                <w:lang w:val="en-US"/>
              </w:rPr>
            </w:pPr>
            <w:r>
              <w:rPr>
                <w:rFonts w:ascii="Arial" w:hAnsi="Arial" w:cs="Arial"/>
                <w:sz w:val="18"/>
                <w:szCs w:val="18"/>
                <w:lang w:val="en-US"/>
              </w:rPr>
              <w:t>critical assessment:</w:t>
            </w:r>
          </w:p>
          <w:p w14:paraId="3BE6AA3A" w14:textId="372D87CD" w:rsidR="009872F3" w:rsidRPr="00B50531" w:rsidRDefault="00C34774" w:rsidP="006749F0">
            <w:pPr>
              <w:jc w:val="both"/>
              <w:rPr>
                <w:rFonts w:ascii="Arial" w:hAnsi="Arial" w:cs="Arial"/>
                <w:i/>
                <w:sz w:val="18"/>
                <w:szCs w:val="18"/>
                <w:lang w:val="en-US"/>
              </w:rPr>
            </w:pPr>
            <w:r>
              <w:rPr>
                <w:rFonts w:ascii="Arial" w:hAnsi="Arial" w:cs="Arial"/>
                <w:i/>
                <w:sz w:val="18"/>
                <w:szCs w:val="18"/>
                <w:highlight w:val="yellow"/>
                <w:lang w:val="en-US"/>
              </w:rPr>
              <w:t>year</w:t>
            </w:r>
          </w:p>
        </w:tc>
      </w:tr>
      <w:tr w:rsidR="009872F3" w:rsidRPr="00AC2079" w14:paraId="5A40FC93" w14:textId="77777777" w:rsidTr="003C6896">
        <w:trPr>
          <w:trHeight w:val="636"/>
        </w:trPr>
        <w:tc>
          <w:tcPr>
            <w:tcW w:w="9514" w:type="dxa"/>
            <w:gridSpan w:val="5"/>
            <w:shd w:val="clear" w:color="auto" w:fill="DBE5F1" w:themeFill="accent1" w:themeFillTint="33"/>
          </w:tcPr>
          <w:p w14:paraId="141FB123" w14:textId="637B095D" w:rsidR="00D32831" w:rsidRPr="00B50531" w:rsidRDefault="00111B8A" w:rsidP="00D32831">
            <w:pPr>
              <w:jc w:val="both"/>
              <w:rPr>
                <w:rFonts w:ascii="Arial" w:hAnsi="Arial" w:cs="Arial"/>
                <w:i/>
                <w:sz w:val="18"/>
                <w:szCs w:val="18"/>
                <w:lang w:val="en-US"/>
              </w:rPr>
            </w:pPr>
            <w:r>
              <w:rPr>
                <w:rFonts w:ascii="Arial" w:hAnsi="Arial" w:cs="Arial"/>
                <w:i/>
                <w:sz w:val="18"/>
                <w:szCs w:val="18"/>
                <w:lang w:val="en-US"/>
              </w:rPr>
              <w:t>References</w:t>
            </w:r>
            <w:r w:rsidR="007D6D96">
              <w:rPr>
                <w:rFonts w:ascii="Arial" w:hAnsi="Arial" w:cs="Arial"/>
                <w:i/>
                <w:sz w:val="18"/>
                <w:szCs w:val="18"/>
                <w:lang w:val="en-US"/>
              </w:rPr>
              <w:t xml:space="preserve"> (example)</w:t>
            </w:r>
            <w:r w:rsidR="00D32831" w:rsidRPr="00B50531">
              <w:rPr>
                <w:rFonts w:ascii="Arial" w:hAnsi="Arial" w:cs="Arial"/>
                <w:i/>
                <w:sz w:val="18"/>
                <w:szCs w:val="18"/>
                <w:lang w:val="en-US"/>
              </w:rPr>
              <w:t xml:space="preserve">: </w:t>
            </w:r>
          </w:p>
          <w:p w14:paraId="0107BD1E" w14:textId="09740A28" w:rsidR="005462CE" w:rsidRPr="00B50531" w:rsidRDefault="005462CE" w:rsidP="00C37D08">
            <w:pPr>
              <w:pStyle w:val="Listenabsatz"/>
              <w:numPr>
                <w:ilvl w:val="0"/>
                <w:numId w:val="9"/>
              </w:numPr>
              <w:ind w:left="308"/>
              <w:jc w:val="both"/>
              <w:rPr>
                <w:rFonts w:cs="Arial"/>
                <w:sz w:val="18"/>
                <w:szCs w:val="18"/>
                <w:lang w:val="en-US"/>
              </w:rPr>
            </w:pPr>
            <w:r w:rsidRPr="00B50531">
              <w:rPr>
                <w:rFonts w:cs="Arial"/>
                <w:sz w:val="18"/>
                <w:szCs w:val="18"/>
                <w:lang w:val="en-US"/>
              </w:rPr>
              <w:t xml:space="preserve">Art. 39 </w:t>
            </w:r>
            <w:r w:rsidR="00111B8A">
              <w:rPr>
                <w:rFonts w:cs="Arial"/>
                <w:sz w:val="18"/>
                <w:szCs w:val="18"/>
                <w:lang w:val="en-US"/>
              </w:rPr>
              <w:t>and</w:t>
            </w:r>
            <w:r w:rsidRPr="00B50531">
              <w:rPr>
                <w:rFonts w:cs="Arial"/>
                <w:sz w:val="18"/>
                <w:szCs w:val="18"/>
                <w:lang w:val="en-US"/>
              </w:rPr>
              <w:t xml:space="preserve"> </w:t>
            </w:r>
            <w:r w:rsidR="005728E4" w:rsidRPr="00B50531">
              <w:rPr>
                <w:rFonts w:cs="Arial"/>
                <w:sz w:val="18"/>
                <w:szCs w:val="18"/>
                <w:lang w:val="en-US"/>
              </w:rPr>
              <w:t>100</w:t>
            </w:r>
            <w:r w:rsidR="00D32831" w:rsidRPr="00B50531">
              <w:rPr>
                <w:rFonts w:cs="Arial"/>
                <w:sz w:val="18"/>
                <w:szCs w:val="18"/>
                <w:lang w:val="en-US"/>
              </w:rPr>
              <w:t xml:space="preserve"> </w:t>
            </w:r>
            <w:r w:rsidR="00347590">
              <w:rPr>
                <w:rFonts w:cs="Arial"/>
                <w:sz w:val="18"/>
                <w:szCs w:val="18"/>
                <w:lang w:val="en-US"/>
              </w:rPr>
              <w:t>SAG</w:t>
            </w:r>
          </w:p>
          <w:p w14:paraId="3EB590D8" w14:textId="4787A274" w:rsidR="00111B8A" w:rsidRPr="00780FEC" w:rsidRDefault="00981A4A" w:rsidP="00355AD3">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E07C57">
              <w:rPr>
                <w:rFonts w:cs="Arial"/>
                <w:sz w:val="18"/>
                <w:szCs w:val="18"/>
                <w:lang w:val="en-US"/>
              </w:rPr>
              <w:t xml:space="preserve">Delegated Regulation </w:t>
            </w:r>
            <w:r w:rsidR="00111B8A" w:rsidRPr="00780FEC">
              <w:rPr>
                <w:rFonts w:cs="Arial"/>
                <w:sz w:val="18"/>
                <w:szCs w:val="18"/>
                <w:lang w:val="en-US"/>
              </w:rPr>
              <w:t>(EU) 2016/1401 with regard to regulatory technical standards for methodologies and principles on the valuation of liabilities arising from derivatives</w:t>
            </w:r>
          </w:p>
          <w:p w14:paraId="2776BC8D" w14:textId="39702770" w:rsidR="00E05E11" w:rsidRPr="00780FEC" w:rsidRDefault="00981A4A" w:rsidP="00355AD3">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E07C57">
              <w:rPr>
                <w:rFonts w:cs="Arial"/>
                <w:sz w:val="18"/>
                <w:szCs w:val="18"/>
                <w:lang w:val="en-US"/>
              </w:rPr>
              <w:t xml:space="preserve">Delegated Regulation </w:t>
            </w:r>
            <w:r w:rsidR="00D52A36" w:rsidRPr="00780FEC">
              <w:rPr>
                <w:rFonts w:cs="Arial"/>
                <w:sz w:val="18"/>
                <w:szCs w:val="18"/>
                <w:lang w:val="en-US"/>
              </w:rPr>
              <w:t xml:space="preserve">(EU) 2018/344 of 14 November 2017 supplementing Directive 2014/59/EU of the European Parliament and of the Council with regard to regulatory technical standards specifying the criteria relating to the methodologies for valuation of difference in treatment in resolution </w:t>
            </w:r>
          </w:p>
          <w:p w14:paraId="123A9E55" w14:textId="1EA5D1BA" w:rsidR="00E05E11" w:rsidRPr="00780FEC" w:rsidRDefault="00981A4A">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E07C57">
              <w:rPr>
                <w:rFonts w:cs="Arial"/>
                <w:sz w:val="18"/>
                <w:szCs w:val="18"/>
                <w:lang w:val="en-US"/>
              </w:rPr>
              <w:t xml:space="preserve">Delegated Regulation </w:t>
            </w:r>
            <w:r w:rsidR="00E05E11" w:rsidRPr="00780FEC">
              <w:rPr>
                <w:rFonts w:cs="Arial"/>
                <w:sz w:val="18"/>
                <w:szCs w:val="18"/>
                <w:lang w:val="en-US"/>
              </w:rPr>
              <w:t>(EU) 2018/345 of 14 November 2017 supplementing Directive 2014/59/EU of the European Parliament and of the Council with regard to regulatory technical standards specifying the criteria relating to the methodology for assessing the value of assets and liabilities of institutions or entities</w:t>
            </w:r>
          </w:p>
          <w:p w14:paraId="30B63CA3" w14:textId="575DFA9F" w:rsidR="002B5AD4" w:rsidRPr="00E05E11" w:rsidRDefault="00E05E11">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0087018F"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9872F3" w:rsidRPr="00AC2079" w14:paraId="00EBC1AC" w14:textId="77777777" w:rsidTr="003C6896">
        <w:trPr>
          <w:trHeight w:val="294"/>
        </w:trPr>
        <w:tc>
          <w:tcPr>
            <w:tcW w:w="9514" w:type="dxa"/>
            <w:gridSpan w:val="5"/>
          </w:tcPr>
          <w:p w14:paraId="0A26788F" w14:textId="77777777" w:rsidR="009872F3" w:rsidRPr="00E05E11" w:rsidRDefault="009872F3" w:rsidP="008C30D1">
            <w:pPr>
              <w:jc w:val="both"/>
              <w:rPr>
                <w:rFonts w:ascii="Arial" w:hAnsi="Arial" w:cs="Arial"/>
                <w:sz w:val="18"/>
                <w:szCs w:val="18"/>
                <w:lang w:val="en-US"/>
              </w:rPr>
            </w:pPr>
          </w:p>
        </w:tc>
      </w:tr>
      <w:tr w:rsidR="00464587" w:rsidRPr="00AC2079" w14:paraId="6001E7F1" w14:textId="77777777" w:rsidTr="0096765A">
        <w:trPr>
          <w:trHeight w:val="294"/>
        </w:trPr>
        <w:tc>
          <w:tcPr>
            <w:tcW w:w="617" w:type="dxa"/>
          </w:tcPr>
          <w:p w14:paraId="0FAE723A" w14:textId="354FBEEE" w:rsidR="00464587" w:rsidRPr="00B50531" w:rsidRDefault="00464587" w:rsidP="00464587">
            <w:pPr>
              <w:jc w:val="both"/>
              <w:rPr>
                <w:rFonts w:ascii="Arial" w:hAnsi="Arial" w:cs="Arial"/>
                <w:sz w:val="18"/>
                <w:szCs w:val="18"/>
                <w:lang w:val="en-US"/>
              </w:rPr>
            </w:pPr>
            <w:r w:rsidRPr="00B50531">
              <w:rPr>
                <w:rFonts w:ascii="Arial" w:hAnsi="Arial" w:cs="Arial"/>
                <w:sz w:val="18"/>
                <w:szCs w:val="18"/>
                <w:lang w:val="en-US"/>
              </w:rPr>
              <w:t>1</w:t>
            </w:r>
          </w:p>
        </w:tc>
        <w:tc>
          <w:tcPr>
            <w:tcW w:w="6403" w:type="dxa"/>
            <w:gridSpan w:val="3"/>
          </w:tcPr>
          <w:p w14:paraId="3260C901" w14:textId="3A102BF7" w:rsidR="00464587" w:rsidRPr="00DD5261" w:rsidRDefault="00DD5261" w:rsidP="00464587">
            <w:pPr>
              <w:jc w:val="both"/>
              <w:rPr>
                <w:rFonts w:ascii="Arial" w:hAnsi="Arial" w:cs="Arial"/>
                <w:sz w:val="18"/>
                <w:szCs w:val="18"/>
                <w:lang w:val="en-US"/>
              </w:rPr>
            </w:pPr>
            <w:r w:rsidRPr="00DD5261">
              <w:rPr>
                <w:rFonts w:ascii="Arial" w:hAnsi="Arial" w:cs="Arial"/>
                <w:sz w:val="18"/>
                <w:szCs w:val="18"/>
                <w:lang w:val="en-US"/>
              </w:rPr>
              <w:t xml:space="preserve">Confirmation that </w:t>
            </w:r>
            <w:r w:rsidR="00341E88">
              <w:rPr>
                <w:rFonts w:ascii="Arial" w:hAnsi="Arial" w:cs="Arial"/>
                <w:sz w:val="18"/>
                <w:szCs w:val="18"/>
                <w:lang w:val="en-US"/>
              </w:rPr>
              <w:t xml:space="preserve">the </w:t>
            </w:r>
            <w:r w:rsidR="003F7FCB">
              <w:rPr>
                <w:rFonts w:ascii="Arial" w:hAnsi="Arial" w:cs="Arial"/>
                <w:sz w:val="18"/>
                <w:szCs w:val="18"/>
                <w:lang w:val="en-US"/>
              </w:rPr>
              <w:t>internal procedures</w:t>
            </w:r>
            <w:r w:rsidRPr="00DD5261">
              <w:rPr>
                <w:rFonts w:ascii="Arial" w:hAnsi="Arial" w:cs="Arial"/>
                <w:sz w:val="18"/>
                <w:szCs w:val="18"/>
                <w:lang w:val="en-US"/>
              </w:rPr>
              <w:t xml:space="preserve"> include mechanisms to identify a </w:t>
            </w:r>
            <w:r>
              <w:rPr>
                <w:rFonts w:ascii="Arial" w:hAnsi="Arial" w:cs="Arial"/>
                <w:sz w:val="18"/>
                <w:szCs w:val="18"/>
                <w:lang w:val="en-US"/>
              </w:rPr>
              <w:t xml:space="preserve">failure or likely failure of the </w:t>
            </w:r>
            <w:r w:rsidR="000A2CA2">
              <w:rPr>
                <w:rFonts w:ascii="Arial" w:hAnsi="Arial" w:cs="Arial"/>
                <w:sz w:val="18"/>
                <w:szCs w:val="18"/>
                <w:lang w:val="en-US"/>
              </w:rPr>
              <w:t>insti</w:t>
            </w:r>
            <w:r w:rsidR="00FA0410">
              <w:rPr>
                <w:rFonts w:ascii="Arial" w:hAnsi="Arial" w:cs="Arial"/>
                <w:sz w:val="18"/>
                <w:szCs w:val="18"/>
                <w:lang w:val="en-US"/>
              </w:rPr>
              <w:t>t</w:t>
            </w:r>
            <w:r w:rsidR="000A2CA2">
              <w:rPr>
                <w:rFonts w:ascii="Arial" w:hAnsi="Arial" w:cs="Arial"/>
                <w:sz w:val="18"/>
                <w:szCs w:val="18"/>
                <w:lang w:val="en-US"/>
              </w:rPr>
              <w:t>ution</w:t>
            </w:r>
            <w:r>
              <w:rPr>
                <w:rFonts w:ascii="Arial" w:hAnsi="Arial" w:cs="Arial"/>
                <w:sz w:val="18"/>
                <w:szCs w:val="18"/>
                <w:lang w:val="en-US"/>
              </w:rPr>
              <w:t xml:space="preserve"> </w:t>
            </w:r>
            <w:r w:rsidR="000A2CA2">
              <w:rPr>
                <w:rFonts w:ascii="Arial" w:hAnsi="Arial" w:cs="Arial"/>
                <w:sz w:val="18"/>
                <w:szCs w:val="18"/>
                <w:lang w:val="en-US"/>
              </w:rPr>
              <w:t>according to</w:t>
            </w:r>
            <w:r>
              <w:rPr>
                <w:rFonts w:ascii="Arial" w:hAnsi="Arial" w:cs="Arial"/>
                <w:sz w:val="18"/>
                <w:szCs w:val="18"/>
                <w:lang w:val="en-US"/>
              </w:rPr>
              <w:t xml:space="preserve"> </w:t>
            </w:r>
            <w:r w:rsidR="00464587" w:rsidRPr="00DD5261">
              <w:rPr>
                <w:rFonts w:ascii="Arial" w:hAnsi="Arial" w:cs="Arial"/>
                <w:sz w:val="18"/>
                <w:szCs w:val="18"/>
                <w:lang w:val="en-US"/>
              </w:rPr>
              <w:t xml:space="preserve">Art. 39 </w:t>
            </w:r>
            <w:r w:rsidR="00347590">
              <w:rPr>
                <w:rFonts w:ascii="Arial" w:hAnsi="Arial" w:cs="Arial"/>
                <w:sz w:val="18"/>
                <w:szCs w:val="18"/>
                <w:lang w:val="en-US"/>
              </w:rPr>
              <w:t>SAG</w:t>
            </w:r>
            <w:r w:rsidR="00464587" w:rsidRPr="00DD5261">
              <w:rPr>
                <w:rFonts w:ascii="Arial" w:hAnsi="Arial" w:cs="Arial"/>
                <w:sz w:val="18"/>
                <w:szCs w:val="18"/>
                <w:lang w:val="en-US"/>
              </w:rPr>
              <w:t xml:space="preserve"> </w:t>
            </w:r>
            <w:r>
              <w:rPr>
                <w:rFonts w:ascii="Arial" w:hAnsi="Arial" w:cs="Arial"/>
                <w:sz w:val="18"/>
                <w:szCs w:val="18"/>
                <w:lang w:val="en-US"/>
              </w:rPr>
              <w:t xml:space="preserve">and </w:t>
            </w:r>
            <w:r w:rsidR="00FF7D57">
              <w:rPr>
                <w:rFonts w:ascii="Arial" w:hAnsi="Arial" w:cs="Arial"/>
                <w:sz w:val="18"/>
                <w:szCs w:val="18"/>
                <w:lang w:val="en-US"/>
              </w:rPr>
              <w:t xml:space="preserve">to </w:t>
            </w:r>
            <w:r>
              <w:rPr>
                <w:rFonts w:ascii="Arial" w:hAnsi="Arial" w:cs="Arial"/>
                <w:sz w:val="18"/>
                <w:szCs w:val="18"/>
                <w:lang w:val="en-US"/>
              </w:rPr>
              <w:t>enable immediate notification to the financial market authority (FMA)</w:t>
            </w:r>
            <w:r w:rsidR="00D75EF2" w:rsidRPr="00DD5261">
              <w:rPr>
                <w:rFonts w:ascii="Arial" w:hAnsi="Arial" w:cs="Arial"/>
                <w:sz w:val="18"/>
                <w:szCs w:val="18"/>
                <w:lang w:val="en-US"/>
              </w:rPr>
              <w:t xml:space="preserve"> </w:t>
            </w:r>
            <w:r w:rsidR="00FF7D57">
              <w:rPr>
                <w:rFonts w:ascii="Arial" w:hAnsi="Arial" w:cs="Arial"/>
                <w:sz w:val="18"/>
                <w:szCs w:val="18"/>
                <w:lang w:val="en-US"/>
              </w:rPr>
              <w:t xml:space="preserve">if necessary </w:t>
            </w:r>
            <w:r w:rsidR="00464587" w:rsidRPr="00DD5261">
              <w:rPr>
                <w:rFonts w:ascii="Arial" w:hAnsi="Arial" w:cs="Arial"/>
                <w:sz w:val="18"/>
                <w:szCs w:val="18"/>
                <w:lang w:val="en-US"/>
              </w:rPr>
              <w:t xml:space="preserve">(Art. 100 </w:t>
            </w:r>
            <w:r w:rsidR="0089157B">
              <w:rPr>
                <w:rFonts w:ascii="Arial" w:hAnsi="Arial" w:cs="Arial"/>
                <w:sz w:val="18"/>
                <w:szCs w:val="18"/>
                <w:lang w:val="en-US"/>
              </w:rPr>
              <w:t>p</w:t>
            </w:r>
            <w:r>
              <w:rPr>
                <w:rFonts w:ascii="Arial" w:hAnsi="Arial" w:cs="Arial"/>
                <w:sz w:val="18"/>
                <w:szCs w:val="18"/>
                <w:lang w:val="en-US"/>
              </w:rPr>
              <w:t>ara</w:t>
            </w:r>
            <w:r w:rsidR="00464587" w:rsidRPr="00DD5261">
              <w:rPr>
                <w:rFonts w:ascii="Arial" w:hAnsi="Arial" w:cs="Arial"/>
                <w:sz w:val="18"/>
                <w:szCs w:val="18"/>
                <w:lang w:val="en-US"/>
              </w:rPr>
              <w:t xml:space="preserve">. 1 </w:t>
            </w:r>
            <w:r w:rsidR="00347590">
              <w:rPr>
                <w:rFonts w:ascii="Arial" w:hAnsi="Arial" w:cs="Arial"/>
                <w:sz w:val="18"/>
                <w:szCs w:val="18"/>
                <w:lang w:val="en-US"/>
              </w:rPr>
              <w:t>SAG</w:t>
            </w:r>
            <w:r w:rsidR="00464587" w:rsidRPr="00DD5261">
              <w:rPr>
                <w:rFonts w:ascii="Arial" w:hAnsi="Arial" w:cs="Arial"/>
                <w:sz w:val="18"/>
                <w:szCs w:val="18"/>
                <w:lang w:val="en-US"/>
              </w:rPr>
              <w:t xml:space="preserve">).   </w:t>
            </w:r>
          </w:p>
        </w:tc>
        <w:tc>
          <w:tcPr>
            <w:tcW w:w="2494" w:type="dxa"/>
          </w:tcPr>
          <w:p w14:paraId="2B9075BF" w14:textId="5BD7A9E6" w:rsidR="00464587" w:rsidRPr="007F7EDC" w:rsidRDefault="00665CEC" w:rsidP="00464587">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3C6896" w:rsidRPr="00AC2079" w14:paraId="602D803F" w14:textId="77777777" w:rsidTr="0096765A">
        <w:trPr>
          <w:trHeight w:val="294"/>
        </w:trPr>
        <w:tc>
          <w:tcPr>
            <w:tcW w:w="617" w:type="dxa"/>
          </w:tcPr>
          <w:p w14:paraId="061EBDBB" w14:textId="5A282B4E" w:rsidR="003C6896" w:rsidRPr="00B50531" w:rsidRDefault="003C6896" w:rsidP="003C6896">
            <w:pPr>
              <w:jc w:val="both"/>
              <w:rPr>
                <w:rFonts w:ascii="Arial" w:hAnsi="Arial" w:cs="Arial"/>
                <w:sz w:val="18"/>
                <w:szCs w:val="18"/>
                <w:lang w:val="en-US"/>
              </w:rPr>
            </w:pPr>
            <w:r w:rsidRPr="00B50531">
              <w:rPr>
                <w:rFonts w:ascii="Arial" w:hAnsi="Arial" w:cs="Arial"/>
                <w:sz w:val="18"/>
                <w:szCs w:val="18"/>
                <w:lang w:val="en-US"/>
              </w:rPr>
              <w:t>2</w:t>
            </w:r>
          </w:p>
        </w:tc>
        <w:tc>
          <w:tcPr>
            <w:tcW w:w="6403" w:type="dxa"/>
            <w:gridSpan w:val="3"/>
          </w:tcPr>
          <w:p w14:paraId="6461561F" w14:textId="7AF54772" w:rsidR="003C6896" w:rsidRPr="00DD5261" w:rsidRDefault="00DD5261" w:rsidP="003C6896">
            <w:pPr>
              <w:jc w:val="both"/>
              <w:rPr>
                <w:rFonts w:ascii="Arial" w:hAnsi="Arial" w:cs="Arial"/>
                <w:sz w:val="18"/>
                <w:szCs w:val="18"/>
                <w:lang w:val="en-US"/>
              </w:rPr>
            </w:pPr>
            <w:r w:rsidRPr="00DD5261">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Pr>
                <w:rFonts w:ascii="Arial" w:hAnsi="Arial" w:cs="Arial"/>
                <w:sz w:val="18"/>
                <w:szCs w:val="18"/>
                <w:lang w:val="en-US"/>
              </w:rPr>
              <w:t xml:space="preserve">allow for an assessment of all balance sheet items based on liquidation values, including </w:t>
            </w:r>
            <w:r w:rsidR="00FF7D57">
              <w:rPr>
                <w:rFonts w:ascii="Arial" w:hAnsi="Arial" w:cs="Arial"/>
                <w:sz w:val="18"/>
                <w:szCs w:val="18"/>
                <w:lang w:val="en-US"/>
              </w:rPr>
              <w:t xml:space="preserve">their </w:t>
            </w:r>
            <w:r>
              <w:rPr>
                <w:rFonts w:ascii="Arial" w:hAnsi="Arial" w:cs="Arial"/>
                <w:sz w:val="18"/>
                <w:szCs w:val="18"/>
                <w:lang w:val="en-US"/>
              </w:rPr>
              <w:t xml:space="preserve">ranking in insolvency, netting options, and any segregation and preferential rights, specifically broken down by their </w:t>
            </w:r>
            <w:r w:rsidR="00FF7D57">
              <w:rPr>
                <w:rFonts w:ascii="Arial" w:hAnsi="Arial" w:cs="Arial"/>
                <w:sz w:val="18"/>
                <w:szCs w:val="18"/>
                <w:lang w:val="en-US"/>
              </w:rPr>
              <w:t xml:space="preserve">recoverability </w:t>
            </w:r>
            <w:r>
              <w:rPr>
                <w:rFonts w:ascii="Arial" w:hAnsi="Arial" w:cs="Arial"/>
                <w:sz w:val="18"/>
                <w:szCs w:val="18"/>
                <w:lang w:val="en-US"/>
              </w:rPr>
              <w:t xml:space="preserve">and </w:t>
            </w:r>
            <w:proofErr w:type="spellStart"/>
            <w:r w:rsidRPr="00DD5261">
              <w:rPr>
                <w:rFonts w:ascii="Arial" w:hAnsi="Arial" w:cs="Arial"/>
                <w:sz w:val="18"/>
                <w:szCs w:val="18"/>
                <w:lang w:val="en-US"/>
              </w:rPr>
              <w:t>liquidability</w:t>
            </w:r>
            <w:proofErr w:type="spellEnd"/>
            <w:r>
              <w:rPr>
                <w:rFonts w:ascii="Arial" w:hAnsi="Arial" w:cs="Arial"/>
                <w:sz w:val="18"/>
                <w:szCs w:val="18"/>
                <w:lang w:val="en-US"/>
              </w:rPr>
              <w:t>.</w:t>
            </w:r>
          </w:p>
        </w:tc>
        <w:tc>
          <w:tcPr>
            <w:tcW w:w="2494" w:type="dxa"/>
          </w:tcPr>
          <w:p w14:paraId="0531BD08" w14:textId="1BA41BF2" w:rsidR="003C6896" w:rsidRPr="007F7EDC" w:rsidRDefault="00665CEC" w:rsidP="003C6896">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3C6896" w:rsidRPr="00AC2079" w14:paraId="6A7F16DA" w14:textId="77777777" w:rsidTr="0096765A">
        <w:trPr>
          <w:trHeight w:val="294"/>
        </w:trPr>
        <w:tc>
          <w:tcPr>
            <w:tcW w:w="617" w:type="dxa"/>
          </w:tcPr>
          <w:p w14:paraId="27C4A845" w14:textId="2B9A5E7F" w:rsidR="003C6896" w:rsidRPr="00B50531" w:rsidRDefault="00DA2155" w:rsidP="003C6896">
            <w:pPr>
              <w:jc w:val="both"/>
              <w:rPr>
                <w:rFonts w:ascii="Arial" w:hAnsi="Arial" w:cs="Arial"/>
                <w:sz w:val="18"/>
                <w:szCs w:val="18"/>
                <w:lang w:val="en-US"/>
              </w:rPr>
            </w:pPr>
            <w:r w:rsidRPr="00B50531">
              <w:rPr>
                <w:rFonts w:ascii="Arial" w:hAnsi="Arial" w:cs="Arial"/>
                <w:sz w:val="18"/>
                <w:szCs w:val="18"/>
                <w:lang w:val="en-US"/>
              </w:rPr>
              <w:t>3</w:t>
            </w:r>
          </w:p>
        </w:tc>
        <w:tc>
          <w:tcPr>
            <w:tcW w:w="6403" w:type="dxa"/>
            <w:gridSpan w:val="3"/>
          </w:tcPr>
          <w:p w14:paraId="3E782CB1" w14:textId="04300ABC" w:rsidR="003C6896" w:rsidRPr="00DD5261" w:rsidRDefault="00DD5261" w:rsidP="003C6896">
            <w:pPr>
              <w:jc w:val="both"/>
              <w:rPr>
                <w:rFonts w:ascii="Arial" w:hAnsi="Arial" w:cs="Arial"/>
                <w:sz w:val="18"/>
                <w:szCs w:val="18"/>
                <w:lang w:val="en-US"/>
              </w:rPr>
            </w:pPr>
            <w:r w:rsidRPr="00DD5261">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Pr>
                <w:rFonts w:ascii="Arial" w:hAnsi="Arial" w:cs="Arial"/>
                <w:sz w:val="18"/>
                <w:szCs w:val="18"/>
                <w:lang w:val="en-US"/>
              </w:rPr>
              <w:t>allow for an estimation of insolvency costs according to different scenarios if necessary.</w:t>
            </w:r>
          </w:p>
        </w:tc>
        <w:tc>
          <w:tcPr>
            <w:tcW w:w="2494" w:type="dxa"/>
          </w:tcPr>
          <w:p w14:paraId="23576309" w14:textId="4455DB7F" w:rsidR="003C6896" w:rsidRPr="007F7EDC" w:rsidRDefault="00665CEC" w:rsidP="003C6896">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40D43A34" w14:textId="003F0763" w:rsidR="0068698D" w:rsidRPr="007F7EDC" w:rsidRDefault="0068698D" w:rsidP="00A243A0">
      <w:pPr>
        <w:jc w:val="both"/>
        <w:rPr>
          <w:rFonts w:ascii="Arial" w:hAnsi="Arial" w:cs="Arial"/>
          <w:i/>
          <w:sz w:val="20"/>
          <w:szCs w:val="20"/>
          <w:lang w:val="en-US"/>
        </w:rPr>
      </w:pPr>
    </w:p>
    <w:tbl>
      <w:tblPr>
        <w:tblStyle w:val="Tabellenraster"/>
        <w:tblW w:w="0" w:type="auto"/>
        <w:tblLayout w:type="fixed"/>
        <w:tblLook w:val="04A0" w:firstRow="1" w:lastRow="0" w:firstColumn="1" w:lastColumn="0" w:noHBand="0" w:noVBand="1"/>
      </w:tblPr>
      <w:tblGrid>
        <w:gridCol w:w="2655"/>
        <w:gridCol w:w="6833"/>
      </w:tblGrid>
      <w:tr w:rsidR="00985F22" w:rsidRPr="00B50531" w14:paraId="198330B4"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32F111CD" w14:textId="30620446" w:rsidR="00985F22" w:rsidRPr="00B50531" w:rsidRDefault="00833444" w:rsidP="00387D17">
            <w:pPr>
              <w:jc w:val="both"/>
              <w:rPr>
                <w:rFonts w:ascii="Arial" w:eastAsia="Arial" w:hAnsi="Arial" w:cs="Arial"/>
                <w:b/>
                <w:bCs/>
                <w:i/>
                <w:iCs/>
                <w:sz w:val="18"/>
                <w:szCs w:val="18"/>
                <w:lang w:val="en-US"/>
              </w:rPr>
            </w:pPr>
            <w:r>
              <w:rPr>
                <w:rFonts w:ascii="Arial" w:eastAsia="Arial" w:hAnsi="Arial" w:cs="Arial"/>
                <w:b/>
                <w:bCs/>
                <w:i/>
                <w:iCs/>
                <w:sz w:val="18"/>
                <w:szCs w:val="18"/>
                <w:lang w:val="en-US"/>
              </w:rPr>
              <w:t>Audit elements</w:t>
            </w:r>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6544BFE9" w14:textId="7E44B3DE" w:rsidR="00985F22" w:rsidRPr="00B50531" w:rsidRDefault="00833444" w:rsidP="00387D17">
            <w:pPr>
              <w:jc w:val="both"/>
              <w:rPr>
                <w:rFonts w:ascii="Arial" w:eastAsia="Arial" w:hAnsi="Arial" w:cs="Arial"/>
                <w:b/>
                <w:bCs/>
                <w:i/>
                <w:iCs/>
                <w:sz w:val="18"/>
                <w:szCs w:val="18"/>
                <w:lang w:val="en-US"/>
              </w:rPr>
            </w:pPr>
            <w:r>
              <w:rPr>
                <w:rFonts w:ascii="Arial" w:eastAsia="Arial" w:hAnsi="Arial" w:cs="Arial"/>
                <w:b/>
                <w:bCs/>
                <w:i/>
                <w:iCs/>
                <w:sz w:val="18"/>
                <w:szCs w:val="18"/>
                <w:lang w:val="en-US"/>
              </w:rPr>
              <w:t>Minimum audit contents</w:t>
            </w:r>
            <w:r w:rsidR="00FF7D57">
              <w:rPr>
                <w:rFonts w:ascii="Arial" w:eastAsia="Arial" w:hAnsi="Arial" w:cs="Arial"/>
                <w:b/>
                <w:bCs/>
                <w:i/>
                <w:iCs/>
                <w:sz w:val="18"/>
                <w:szCs w:val="18"/>
                <w:lang w:val="en-US"/>
              </w:rPr>
              <w:t xml:space="preserve"> (“Sample”)</w:t>
            </w:r>
          </w:p>
        </w:tc>
      </w:tr>
      <w:tr w:rsidR="00985F22" w:rsidRPr="00AC2079" w14:paraId="3611E952"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58F021CF" w14:textId="090DE941" w:rsidR="00985F22" w:rsidRPr="00B50531" w:rsidRDefault="00833444" w:rsidP="00387D17">
            <w:pPr>
              <w:jc w:val="both"/>
              <w:rPr>
                <w:rFonts w:ascii="Arial" w:eastAsia="Arial" w:hAnsi="Arial" w:cs="Arial"/>
                <w:i/>
                <w:iCs/>
                <w:sz w:val="18"/>
                <w:szCs w:val="18"/>
                <w:lang w:val="en-US"/>
              </w:rPr>
            </w:pPr>
            <w:r>
              <w:rPr>
                <w:rFonts w:ascii="Arial" w:eastAsia="Arial" w:hAnsi="Arial" w:cs="Arial"/>
                <w:i/>
                <w:iCs/>
                <w:sz w:val="18"/>
                <w:szCs w:val="18"/>
                <w:lang w:val="en-US"/>
              </w:rPr>
              <w:t xml:space="preserve">Internal </w:t>
            </w:r>
            <w:proofErr w:type="spellStart"/>
            <w:r>
              <w:rPr>
                <w:rFonts w:ascii="Arial" w:eastAsia="Arial" w:hAnsi="Arial" w:cs="Arial"/>
                <w:i/>
                <w:iCs/>
                <w:sz w:val="18"/>
                <w:szCs w:val="18"/>
                <w:lang w:val="en-US"/>
              </w:rPr>
              <w:t>organisation</w:t>
            </w:r>
            <w:proofErr w:type="spellEnd"/>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3D7469F6" w14:textId="2CD27506" w:rsidR="000E0C2B" w:rsidRPr="00833444" w:rsidRDefault="00833444" w:rsidP="00C37D08">
            <w:pPr>
              <w:pStyle w:val="Listenabsatz"/>
              <w:numPr>
                <w:ilvl w:val="1"/>
                <w:numId w:val="10"/>
              </w:numPr>
              <w:spacing w:line="259" w:lineRule="auto"/>
              <w:ind w:left="317" w:hanging="283"/>
              <w:jc w:val="both"/>
              <w:rPr>
                <w:rFonts w:cs="Arial"/>
                <w:i/>
                <w:iCs/>
                <w:sz w:val="18"/>
                <w:szCs w:val="18"/>
                <w:lang w:val="en-US"/>
              </w:rPr>
            </w:pPr>
            <w:r w:rsidRPr="00833444">
              <w:rPr>
                <w:rFonts w:cs="Arial"/>
                <w:i/>
                <w:iCs/>
                <w:sz w:val="18"/>
                <w:szCs w:val="18"/>
                <w:lang w:val="en-US"/>
              </w:rPr>
              <w:t xml:space="preserve">The internal organizational structure (e.g. directives, technical, human and professional resources) ensures that procedures exist </w:t>
            </w:r>
            <w:r w:rsidR="00122CA6">
              <w:rPr>
                <w:rFonts w:cs="Arial"/>
                <w:i/>
                <w:iCs/>
                <w:sz w:val="18"/>
                <w:szCs w:val="18"/>
                <w:lang w:val="en-US"/>
              </w:rPr>
              <w:t>to</w:t>
            </w:r>
            <w:r w:rsidRPr="00833444">
              <w:rPr>
                <w:rFonts w:cs="Arial"/>
                <w:i/>
                <w:iCs/>
                <w:sz w:val="18"/>
                <w:szCs w:val="18"/>
                <w:lang w:val="en-US"/>
              </w:rPr>
              <w:t xml:space="preserve"> identify a failure or </w:t>
            </w:r>
            <w:r>
              <w:rPr>
                <w:rFonts w:cs="Arial"/>
                <w:i/>
                <w:iCs/>
                <w:sz w:val="18"/>
                <w:szCs w:val="18"/>
                <w:lang w:val="en-US"/>
              </w:rPr>
              <w:t>likely</w:t>
            </w:r>
            <w:r w:rsidRPr="00833444">
              <w:rPr>
                <w:rFonts w:cs="Arial"/>
                <w:i/>
                <w:iCs/>
                <w:sz w:val="18"/>
                <w:szCs w:val="18"/>
                <w:lang w:val="en-US"/>
              </w:rPr>
              <w:t xml:space="preserve"> failure</w:t>
            </w:r>
          </w:p>
        </w:tc>
      </w:tr>
      <w:tr w:rsidR="00985F22" w:rsidRPr="00AC2079" w14:paraId="1569C41F"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830B84B" w14:textId="01FDCDDD" w:rsidR="00985F22" w:rsidRPr="006C43BA" w:rsidRDefault="006C43BA" w:rsidP="00387D17">
            <w:pPr>
              <w:jc w:val="both"/>
              <w:rPr>
                <w:rFonts w:ascii="Arial" w:eastAsia="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7CFF05A4" w14:textId="213B0242" w:rsidR="006C43BA" w:rsidRDefault="006C43BA" w:rsidP="00282794">
            <w:pPr>
              <w:pStyle w:val="Listenabsatz"/>
              <w:numPr>
                <w:ilvl w:val="1"/>
                <w:numId w:val="10"/>
              </w:numPr>
              <w:spacing w:line="259" w:lineRule="auto"/>
              <w:ind w:left="317" w:hanging="283"/>
              <w:jc w:val="both"/>
              <w:rPr>
                <w:i/>
                <w:iCs/>
                <w:sz w:val="18"/>
                <w:szCs w:val="18"/>
                <w:lang w:val="en-US"/>
              </w:rPr>
            </w:pPr>
            <w:r w:rsidRPr="003F7FCB">
              <w:rPr>
                <w:i/>
                <w:iCs/>
                <w:sz w:val="18"/>
                <w:szCs w:val="18"/>
                <w:lang w:val="en-US"/>
              </w:rPr>
              <w:t xml:space="preserve">The </w:t>
            </w:r>
            <w:r w:rsidR="003F7FCB" w:rsidRPr="002E6B46">
              <w:rPr>
                <w:rFonts w:cs="Arial"/>
                <w:i/>
                <w:iCs/>
                <w:sz w:val="18"/>
                <w:szCs w:val="18"/>
                <w:lang w:val="en-US"/>
              </w:rPr>
              <w:t>internal procedures</w:t>
            </w:r>
            <w:r w:rsidR="003F7FCB" w:rsidRPr="003F7FCB">
              <w:rPr>
                <w:rFonts w:cs="Arial"/>
                <w:sz w:val="18"/>
                <w:szCs w:val="18"/>
                <w:lang w:val="en-US"/>
              </w:rPr>
              <w:t xml:space="preserve"> </w:t>
            </w:r>
            <w:r w:rsidRPr="00D01858">
              <w:rPr>
                <w:sz w:val="18"/>
                <w:szCs w:val="18"/>
                <w:lang w:val="en-US"/>
              </w:rPr>
              <w:t>provide</w:t>
            </w:r>
            <w:r w:rsidRPr="006C43BA">
              <w:rPr>
                <w:i/>
                <w:iCs/>
                <w:sz w:val="18"/>
                <w:szCs w:val="18"/>
                <w:lang w:val="en-US"/>
              </w:rPr>
              <w:t xml:space="preserve"> for the use of the </w:t>
            </w:r>
            <w:r w:rsidR="003F7FCB">
              <w:rPr>
                <w:i/>
                <w:iCs/>
                <w:sz w:val="18"/>
                <w:szCs w:val="18"/>
                <w:lang w:val="en-US"/>
              </w:rPr>
              <w:t>four-eyes</w:t>
            </w:r>
            <w:r w:rsidRPr="006C43BA">
              <w:rPr>
                <w:i/>
                <w:iCs/>
                <w:sz w:val="18"/>
                <w:szCs w:val="18"/>
                <w:lang w:val="en-US"/>
              </w:rPr>
              <w:t xml:space="preserve"> principle and the separation of functions for key controls</w:t>
            </w:r>
          </w:p>
          <w:p w14:paraId="0BC3C179" w14:textId="77777777" w:rsidR="00776B42" w:rsidRPr="00776B42" w:rsidRDefault="006C43BA" w:rsidP="00C153E2">
            <w:pPr>
              <w:pStyle w:val="Listenabsatz"/>
              <w:numPr>
                <w:ilvl w:val="1"/>
                <w:numId w:val="10"/>
              </w:numPr>
              <w:spacing w:line="259" w:lineRule="auto"/>
              <w:ind w:left="317" w:hanging="283"/>
              <w:jc w:val="both"/>
              <w:rPr>
                <w:rFonts w:cs="Arial"/>
                <w:lang w:val="en-US"/>
              </w:rPr>
            </w:pPr>
            <w:r w:rsidRPr="006C43BA">
              <w:rPr>
                <w:i/>
                <w:iCs/>
                <w:sz w:val="18"/>
                <w:szCs w:val="18"/>
                <w:lang w:val="en-US"/>
              </w:rPr>
              <w:t>Data quality assurance controls are defined</w:t>
            </w:r>
          </w:p>
          <w:p w14:paraId="082D85B3" w14:textId="4DF3BEAB" w:rsidR="00347590" w:rsidRPr="009F7995" w:rsidRDefault="006C43BA" w:rsidP="009F7995">
            <w:pPr>
              <w:pStyle w:val="Listenabsatz"/>
              <w:numPr>
                <w:ilvl w:val="1"/>
                <w:numId w:val="10"/>
              </w:numPr>
              <w:spacing w:line="259" w:lineRule="auto"/>
              <w:ind w:left="317" w:hanging="283"/>
              <w:jc w:val="both"/>
              <w:rPr>
                <w:i/>
                <w:iCs/>
                <w:sz w:val="18"/>
                <w:szCs w:val="18"/>
                <w:lang w:val="en-US"/>
              </w:rPr>
            </w:pPr>
            <w:r w:rsidRPr="003D3B4D">
              <w:rPr>
                <w:i/>
                <w:iCs/>
                <w:sz w:val="18"/>
                <w:szCs w:val="18"/>
                <w:lang w:val="en-US"/>
              </w:rPr>
              <w:t xml:space="preserve">The internal structures provide for a timely notification to the FMA in the event of a </w:t>
            </w:r>
            <w:r w:rsidR="009360F8">
              <w:rPr>
                <w:i/>
                <w:iCs/>
                <w:sz w:val="18"/>
                <w:szCs w:val="18"/>
                <w:lang w:val="en-US"/>
              </w:rPr>
              <w:t>default</w:t>
            </w:r>
            <w:r w:rsidR="009360F8" w:rsidRPr="003D3B4D">
              <w:rPr>
                <w:i/>
                <w:iCs/>
                <w:sz w:val="18"/>
                <w:szCs w:val="18"/>
                <w:lang w:val="en-US"/>
              </w:rPr>
              <w:t xml:space="preserve"> </w:t>
            </w:r>
            <w:r w:rsidR="00122CA6" w:rsidRPr="003D3B4D">
              <w:rPr>
                <w:i/>
                <w:iCs/>
                <w:sz w:val="18"/>
                <w:szCs w:val="18"/>
                <w:lang w:val="en-US"/>
              </w:rPr>
              <w:t xml:space="preserve">or likely </w:t>
            </w:r>
            <w:r w:rsidR="009360F8">
              <w:rPr>
                <w:i/>
                <w:iCs/>
                <w:sz w:val="18"/>
                <w:szCs w:val="18"/>
                <w:lang w:val="en-US"/>
              </w:rPr>
              <w:t>default</w:t>
            </w:r>
          </w:p>
          <w:p w14:paraId="301AF65B" w14:textId="71541757" w:rsidR="0030462C" w:rsidRPr="00776B42" w:rsidRDefault="003F7FCB" w:rsidP="00432521">
            <w:pPr>
              <w:pStyle w:val="Listenabsatz"/>
              <w:numPr>
                <w:ilvl w:val="1"/>
                <w:numId w:val="10"/>
              </w:numPr>
              <w:spacing w:line="259" w:lineRule="auto"/>
              <w:ind w:left="317" w:hanging="283"/>
              <w:jc w:val="both"/>
              <w:rPr>
                <w:rFonts w:cs="Arial"/>
                <w:lang w:val="en-US"/>
              </w:rPr>
            </w:pPr>
            <w:r w:rsidRPr="002E6B46">
              <w:rPr>
                <w:rFonts w:cs="Arial"/>
                <w:i/>
                <w:iCs/>
                <w:sz w:val="18"/>
                <w:szCs w:val="18"/>
                <w:lang w:val="en-US"/>
              </w:rPr>
              <w:t>Internal procedures</w:t>
            </w:r>
            <w:r w:rsidRPr="00DD5261">
              <w:rPr>
                <w:rFonts w:cs="Arial"/>
                <w:sz w:val="18"/>
                <w:szCs w:val="18"/>
                <w:lang w:val="en-US"/>
              </w:rPr>
              <w:t xml:space="preserve"> </w:t>
            </w:r>
            <w:r w:rsidR="00776B42" w:rsidRPr="00776B42">
              <w:rPr>
                <w:i/>
                <w:iCs/>
                <w:sz w:val="18"/>
                <w:szCs w:val="18"/>
                <w:lang w:val="en-US"/>
              </w:rPr>
              <w:t xml:space="preserve">provide for the estimation of insolvency costs </w:t>
            </w:r>
            <w:r w:rsidR="00127A06" w:rsidRPr="00776B42">
              <w:rPr>
                <w:i/>
                <w:iCs/>
                <w:sz w:val="18"/>
                <w:szCs w:val="18"/>
                <w:lang w:val="en-US"/>
              </w:rPr>
              <w:t>as well as the comp</w:t>
            </w:r>
            <w:r w:rsidR="00127A06">
              <w:rPr>
                <w:i/>
                <w:iCs/>
                <w:sz w:val="18"/>
                <w:szCs w:val="18"/>
                <w:lang w:val="en-US"/>
              </w:rPr>
              <w:t xml:space="preserve">any value </w:t>
            </w:r>
            <w:r w:rsidR="00776B42" w:rsidRPr="00776B42">
              <w:rPr>
                <w:i/>
                <w:iCs/>
                <w:sz w:val="18"/>
                <w:szCs w:val="18"/>
                <w:lang w:val="en-US"/>
              </w:rPr>
              <w:t xml:space="preserve">according to different scenarios </w:t>
            </w:r>
          </w:p>
        </w:tc>
      </w:tr>
    </w:tbl>
    <w:p w14:paraId="17E97DEA" w14:textId="712575CB" w:rsidR="105E438B" w:rsidRPr="00776B42" w:rsidRDefault="105E438B" w:rsidP="105E438B">
      <w:pPr>
        <w:jc w:val="both"/>
        <w:rPr>
          <w:rFonts w:ascii="Arial" w:hAnsi="Arial" w:cs="Arial"/>
          <w:i/>
          <w:iCs/>
          <w:sz w:val="20"/>
          <w:szCs w:val="20"/>
          <w:lang w:val="en-US"/>
        </w:rPr>
      </w:pPr>
    </w:p>
    <w:p w14:paraId="4524DD4A" w14:textId="324A3321" w:rsidR="00EE6921" w:rsidRPr="00776B42" w:rsidRDefault="00EE6921" w:rsidP="105E438B">
      <w:pPr>
        <w:jc w:val="both"/>
        <w:rPr>
          <w:rFonts w:ascii="Arial" w:hAnsi="Arial" w:cs="Arial"/>
          <w:i/>
          <w:iCs/>
          <w:sz w:val="20"/>
          <w:szCs w:val="20"/>
          <w:lang w:val="en-US"/>
        </w:rPr>
      </w:pPr>
    </w:p>
    <w:p w14:paraId="63984B42" w14:textId="307CD543" w:rsidR="00EE6921" w:rsidRPr="00776B42" w:rsidRDefault="00EE6921" w:rsidP="105E438B">
      <w:pPr>
        <w:jc w:val="both"/>
        <w:rPr>
          <w:rFonts w:ascii="Arial" w:hAnsi="Arial" w:cs="Arial"/>
          <w:i/>
          <w:iCs/>
          <w:sz w:val="20"/>
          <w:szCs w:val="20"/>
          <w:lang w:val="en-US"/>
        </w:rPr>
      </w:pPr>
    </w:p>
    <w:p w14:paraId="400E4195" w14:textId="0380C291" w:rsidR="00EE6921" w:rsidRDefault="00EE6921" w:rsidP="105E438B">
      <w:pPr>
        <w:jc w:val="both"/>
        <w:rPr>
          <w:rFonts w:ascii="Arial" w:hAnsi="Arial" w:cs="Arial"/>
          <w:i/>
          <w:iCs/>
          <w:sz w:val="20"/>
          <w:szCs w:val="20"/>
          <w:lang w:val="en-US"/>
        </w:rPr>
      </w:pPr>
    </w:p>
    <w:p w14:paraId="7DB4E65A" w14:textId="1FF5F4F2" w:rsidR="00776B42" w:rsidRDefault="00776B42" w:rsidP="105E438B">
      <w:pPr>
        <w:jc w:val="both"/>
        <w:rPr>
          <w:rFonts w:ascii="Arial" w:hAnsi="Arial" w:cs="Arial"/>
          <w:i/>
          <w:iCs/>
          <w:sz w:val="20"/>
          <w:szCs w:val="20"/>
          <w:lang w:val="en-US"/>
        </w:rPr>
      </w:pPr>
    </w:p>
    <w:p w14:paraId="39C2B145" w14:textId="7D17773C" w:rsidR="00776B42" w:rsidRDefault="00776B42" w:rsidP="105E438B">
      <w:pPr>
        <w:jc w:val="both"/>
        <w:rPr>
          <w:rFonts w:ascii="Arial" w:hAnsi="Arial" w:cs="Arial"/>
          <w:i/>
          <w:iCs/>
          <w:sz w:val="20"/>
          <w:szCs w:val="20"/>
          <w:lang w:val="en-US"/>
        </w:rPr>
      </w:pPr>
    </w:p>
    <w:p w14:paraId="22B2EEF5" w14:textId="77777777" w:rsidR="00776B42" w:rsidRPr="00776B42" w:rsidRDefault="00776B42" w:rsidP="105E438B">
      <w:pPr>
        <w:jc w:val="both"/>
        <w:rPr>
          <w:rFonts w:ascii="Arial" w:hAnsi="Arial" w:cs="Arial"/>
          <w:i/>
          <w:iCs/>
          <w:sz w:val="20"/>
          <w:szCs w:val="20"/>
          <w:lang w:val="en-US"/>
        </w:rPr>
      </w:pPr>
    </w:p>
    <w:p w14:paraId="786AC969" w14:textId="1FF7C21F" w:rsidR="00EE6921" w:rsidRPr="00776B42" w:rsidRDefault="00EE6921" w:rsidP="105E438B">
      <w:pPr>
        <w:jc w:val="both"/>
        <w:rPr>
          <w:rFonts w:ascii="Arial" w:hAnsi="Arial" w:cs="Arial"/>
          <w:i/>
          <w:iCs/>
          <w:sz w:val="20"/>
          <w:szCs w:val="20"/>
          <w:lang w:val="en-US"/>
        </w:rPr>
      </w:pPr>
    </w:p>
    <w:p w14:paraId="7EDED3C8" w14:textId="77777777" w:rsidR="00EE6921" w:rsidRPr="00776B42" w:rsidRDefault="00EE6921" w:rsidP="105E438B">
      <w:pPr>
        <w:jc w:val="both"/>
        <w:rPr>
          <w:rFonts w:ascii="Arial" w:hAnsi="Arial" w:cs="Arial"/>
          <w:i/>
          <w:iCs/>
          <w:sz w:val="20"/>
          <w:szCs w:val="20"/>
          <w:lang w:val="en-US"/>
        </w:rPr>
      </w:pPr>
    </w:p>
    <w:p w14:paraId="5BA4CC53" w14:textId="3C2DA92C" w:rsidR="00E3235F" w:rsidRPr="00B50531" w:rsidRDefault="00C2401B" w:rsidP="00C37D08">
      <w:pPr>
        <w:pStyle w:val="FINMAGliederungEbene2"/>
        <w:rPr>
          <w:lang w:val="en-US"/>
        </w:rPr>
      </w:pPr>
      <w:bookmarkStart w:id="16" w:name="_Toc145409737"/>
      <w:r>
        <w:rPr>
          <w:lang w:val="en-US"/>
        </w:rPr>
        <w:t>Payment moratorium</w:t>
      </w:r>
      <w:bookmarkEnd w:id="16"/>
    </w:p>
    <w:p w14:paraId="27D65679" w14:textId="77777777" w:rsidR="00E3235F" w:rsidRPr="00B50531" w:rsidRDefault="00E3235F" w:rsidP="00E3235F">
      <w:pPr>
        <w:pStyle w:val="FINMAGliederungEbene2"/>
        <w:numPr>
          <w:ilvl w:val="0"/>
          <w:numId w:val="0"/>
        </w:numPr>
        <w:ind w:left="576"/>
        <w:rPr>
          <w:lang w:val="en-US"/>
        </w:rPr>
      </w:pPr>
    </w:p>
    <w:tbl>
      <w:tblPr>
        <w:tblStyle w:val="Tabellenraster"/>
        <w:tblW w:w="0" w:type="auto"/>
        <w:tblLook w:val="04A0" w:firstRow="1" w:lastRow="0" w:firstColumn="1" w:lastColumn="0" w:noHBand="0" w:noVBand="1"/>
      </w:tblPr>
      <w:tblGrid>
        <w:gridCol w:w="417"/>
        <w:gridCol w:w="1653"/>
        <w:gridCol w:w="2145"/>
        <w:gridCol w:w="1721"/>
        <w:gridCol w:w="860"/>
        <w:gridCol w:w="2522"/>
      </w:tblGrid>
      <w:tr w:rsidR="007D6D96" w:rsidRPr="00AC2079" w14:paraId="6BD95830" w14:textId="77777777" w:rsidTr="0096765A">
        <w:trPr>
          <w:trHeight w:val="563"/>
        </w:trPr>
        <w:tc>
          <w:tcPr>
            <w:tcW w:w="2070" w:type="dxa"/>
            <w:gridSpan w:val="2"/>
            <w:shd w:val="clear" w:color="auto" w:fill="DBE5F1" w:themeFill="accent1" w:themeFillTint="33"/>
          </w:tcPr>
          <w:p w14:paraId="348E7F39" w14:textId="6E689C49" w:rsidR="007D6D96" w:rsidRPr="00B50531" w:rsidRDefault="007D6D96" w:rsidP="007D6D96">
            <w:pPr>
              <w:jc w:val="both"/>
              <w:rPr>
                <w:rFonts w:ascii="Arial" w:hAnsi="Arial" w:cs="Arial"/>
                <w:sz w:val="18"/>
                <w:szCs w:val="18"/>
                <w:lang w:val="en-US"/>
              </w:rPr>
            </w:pPr>
            <w:r w:rsidRPr="007D6D96">
              <w:rPr>
                <w:rFonts w:ascii="Arial" w:hAnsi="Arial" w:cs="Arial"/>
                <w:sz w:val="18"/>
                <w:szCs w:val="18"/>
              </w:rPr>
              <w:t xml:space="preserve">Net </w:t>
            </w:r>
            <w:proofErr w:type="spellStart"/>
            <w:r w:rsidRPr="007D6D96">
              <w:rPr>
                <w:rFonts w:ascii="Arial" w:hAnsi="Arial" w:cs="Arial"/>
                <w:sz w:val="18"/>
                <w:szCs w:val="18"/>
              </w:rPr>
              <w:t>risk</w:t>
            </w:r>
            <w:proofErr w:type="spellEnd"/>
          </w:p>
        </w:tc>
        <w:tc>
          <w:tcPr>
            <w:tcW w:w="2145" w:type="dxa"/>
            <w:shd w:val="clear" w:color="auto" w:fill="DBE5F1" w:themeFill="accent1" w:themeFillTint="33"/>
          </w:tcPr>
          <w:p w14:paraId="59B372B7" w14:textId="4FE035EB" w:rsidR="007D6D96" w:rsidRPr="007D6D96" w:rsidRDefault="007D6D96" w:rsidP="007D6D96">
            <w:pPr>
              <w:jc w:val="both"/>
              <w:rPr>
                <w:rFonts w:ascii="Arial" w:hAnsi="Arial" w:cs="Arial"/>
                <w:sz w:val="18"/>
                <w:szCs w:val="18"/>
              </w:rPr>
            </w:pPr>
            <w:r w:rsidRPr="007D6D96">
              <w:rPr>
                <w:rFonts w:ascii="Arial" w:hAnsi="Arial" w:cs="Arial"/>
                <w:sz w:val="18"/>
                <w:szCs w:val="18"/>
              </w:rPr>
              <w:t xml:space="preserve">Intervention </w:t>
            </w:r>
            <w:proofErr w:type="spellStart"/>
            <w:r w:rsidRPr="007D6D96">
              <w:rPr>
                <w:rFonts w:ascii="Arial" w:hAnsi="Arial" w:cs="Arial"/>
                <w:sz w:val="18"/>
                <w:szCs w:val="18"/>
              </w:rPr>
              <w:t>reporting</w:t>
            </w:r>
            <w:proofErr w:type="spellEnd"/>
            <w:r w:rsidRPr="007D6D96">
              <w:rPr>
                <w:rFonts w:ascii="Arial" w:hAnsi="Arial" w:cs="Arial"/>
                <w:sz w:val="18"/>
                <w:szCs w:val="18"/>
              </w:rPr>
              <w:t xml:space="preserve"> </w:t>
            </w:r>
            <w:proofErr w:type="spellStart"/>
            <w:r w:rsidRPr="007D6D96">
              <w:rPr>
                <w:rFonts w:ascii="Arial" w:hAnsi="Arial" w:cs="Arial"/>
                <w:sz w:val="18"/>
                <w:szCs w:val="18"/>
              </w:rPr>
              <w:t>period</w:t>
            </w:r>
            <w:proofErr w:type="spellEnd"/>
          </w:p>
        </w:tc>
        <w:tc>
          <w:tcPr>
            <w:tcW w:w="5103" w:type="dxa"/>
            <w:gridSpan w:val="3"/>
            <w:shd w:val="clear" w:color="auto" w:fill="DBE5F1" w:themeFill="accent1" w:themeFillTint="33"/>
          </w:tcPr>
          <w:p w14:paraId="5444BB7C" w14:textId="55C48EB9" w:rsidR="007D6D96" w:rsidRPr="00780FEC" w:rsidRDefault="008F6046" w:rsidP="007D6D96">
            <w:pPr>
              <w:jc w:val="both"/>
              <w:rPr>
                <w:rFonts w:ascii="Arial" w:hAnsi="Arial" w:cs="Arial"/>
                <w:sz w:val="18"/>
                <w:szCs w:val="18"/>
                <w:lang w:val="en-US"/>
              </w:rPr>
            </w:pPr>
            <w:r>
              <w:rPr>
                <w:rFonts w:ascii="Arial" w:hAnsi="Arial" w:cs="Arial"/>
                <w:sz w:val="18"/>
                <w:szCs w:val="18"/>
                <w:lang w:val="en-US"/>
              </w:rPr>
              <w:t>Indication of the year with the last intervention with the following audit depth (before the reporting year)</w:t>
            </w:r>
          </w:p>
        </w:tc>
      </w:tr>
      <w:tr w:rsidR="007D6D96" w:rsidRPr="00B50531" w14:paraId="7E5D4669" w14:textId="77777777" w:rsidTr="0096765A">
        <w:trPr>
          <w:trHeight w:val="698"/>
        </w:trPr>
        <w:tc>
          <w:tcPr>
            <w:tcW w:w="2070" w:type="dxa"/>
            <w:gridSpan w:val="2"/>
            <w:shd w:val="clear" w:color="auto" w:fill="DBE5F1" w:themeFill="accent1" w:themeFillTint="33"/>
          </w:tcPr>
          <w:p w14:paraId="0C1928F8" w14:textId="3AD5D6E5" w:rsidR="007D6D96" w:rsidRPr="00432521" w:rsidRDefault="007D6D96" w:rsidP="007D6D96">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3C456B90" w14:textId="36AF26FE" w:rsidR="007D6D96" w:rsidRPr="00432521" w:rsidRDefault="007D6D96" w:rsidP="007D6D96">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4E3C595D" w14:textId="22F34CD0" w:rsidR="007D6D96" w:rsidRPr="007D6D96" w:rsidRDefault="007D6D96" w:rsidP="007D6D96">
            <w:pPr>
              <w:jc w:val="both"/>
              <w:rPr>
                <w:rFonts w:ascii="Arial" w:hAnsi="Arial" w:cs="Arial"/>
                <w:sz w:val="18"/>
                <w:szCs w:val="18"/>
              </w:rPr>
            </w:pPr>
            <w:proofErr w:type="spellStart"/>
            <w:r w:rsidRPr="007D6D96">
              <w:rPr>
                <w:rFonts w:ascii="Arial" w:hAnsi="Arial" w:cs="Arial"/>
                <w:sz w:val="18"/>
                <w:szCs w:val="18"/>
              </w:rPr>
              <w:t>Detailed</w:t>
            </w:r>
            <w:proofErr w:type="spellEnd"/>
            <w:r w:rsidRPr="007D6D96">
              <w:rPr>
                <w:rFonts w:ascii="Arial" w:hAnsi="Arial" w:cs="Arial"/>
                <w:sz w:val="18"/>
                <w:szCs w:val="18"/>
              </w:rPr>
              <w:t xml:space="preserve"> </w:t>
            </w:r>
            <w:proofErr w:type="spellStart"/>
            <w:r w:rsidRPr="007D6D96">
              <w:rPr>
                <w:rFonts w:ascii="Arial" w:hAnsi="Arial" w:cs="Arial"/>
                <w:sz w:val="18"/>
                <w:szCs w:val="18"/>
              </w:rPr>
              <w:t>audit</w:t>
            </w:r>
            <w:proofErr w:type="spellEnd"/>
            <w:r w:rsidRPr="007D6D96">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521157AC" w14:textId="53FA5242" w:rsidR="007D6D96" w:rsidRPr="007D6D96" w:rsidRDefault="007D6D96" w:rsidP="007D6D96">
            <w:pPr>
              <w:jc w:val="both"/>
              <w:rPr>
                <w:rFonts w:ascii="Arial" w:hAnsi="Arial" w:cs="Arial"/>
                <w:sz w:val="18"/>
                <w:szCs w:val="18"/>
              </w:rPr>
            </w:pPr>
            <w:proofErr w:type="spellStart"/>
            <w:r w:rsidRPr="007D6D96">
              <w:rPr>
                <w:rFonts w:ascii="Arial" w:hAnsi="Arial" w:cs="Arial"/>
                <w:sz w:val="18"/>
                <w:szCs w:val="18"/>
              </w:rPr>
              <w:t>critical</w:t>
            </w:r>
            <w:proofErr w:type="spellEnd"/>
            <w:r w:rsidRPr="007D6D96">
              <w:rPr>
                <w:rFonts w:ascii="Arial" w:hAnsi="Arial" w:cs="Arial"/>
                <w:sz w:val="18"/>
                <w:szCs w:val="18"/>
              </w:rPr>
              <w:t xml:space="preserve"> </w:t>
            </w:r>
            <w:proofErr w:type="spellStart"/>
            <w:r w:rsidRPr="007D6D96">
              <w:rPr>
                <w:rFonts w:ascii="Arial" w:hAnsi="Arial" w:cs="Arial"/>
                <w:sz w:val="18"/>
                <w:szCs w:val="18"/>
              </w:rPr>
              <w:t>assessment</w:t>
            </w:r>
            <w:proofErr w:type="spellEnd"/>
            <w:r w:rsidRPr="007D6D96">
              <w:rPr>
                <w:rFonts w:ascii="Arial" w:hAnsi="Arial" w:cs="Arial"/>
                <w:sz w:val="18"/>
                <w:szCs w:val="18"/>
              </w:rPr>
              <w:t>:</w:t>
            </w:r>
            <w:r>
              <w:rPr>
                <w:rFonts w:ascii="Arial" w:hAnsi="Arial" w:cs="Arial"/>
                <w:sz w:val="18"/>
                <w:szCs w:val="18"/>
              </w:rPr>
              <w:t xml:space="preserve"> </w:t>
            </w:r>
            <w:r w:rsidRPr="00432521">
              <w:rPr>
                <w:rFonts w:ascii="Arial" w:hAnsi="Arial" w:cs="Arial"/>
                <w:i/>
                <w:sz w:val="18"/>
                <w:szCs w:val="18"/>
                <w:highlight w:val="yellow"/>
                <w:lang w:val="en-US"/>
              </w:rPr>
              <w:t>year</w:t>
            </w:r>
          </w:p>
        </w:tc>
      </w:tr>
      <w:tr w:rsidR="00E3235F" w:rsidRPr="00AC2079" w14:paraId="674126A5" w14:textId="77777777" w:rsidTr="0096765A">
        <w:trPr>
          <w:trHeight w:val="636"/>
        </w:trPr>
        <w:tc>
          <w:tcPr>
            <w:tcW w:w="9318" w:type="dxa"/>
            <w:gridSpan w:val="6"/>
            <w:shd w:val="clear" w:color="auto" w:fill="DBE5F1" w:themeFill="accent1" w:themeFillTint="33"/>
          </w:tcPr>
          <w:p w14:paraId="611B65B5" w14:textId="09515681" w:rsidR="00D32831" w:rsidRPr="00B50531" w:rsidRDefault="007D6D96" w:rsidP="00D32831">
            <w:pPr>
              <w:jc w:val="both"/>
              <w:rPr>
                <w:rFonts w:ascii="Arial" w:hAnsi="Arial" w:cs="Arial"/>
                <w:i/>
                <w:sz w:val="18"/>
                <w:szCs w:val="18"/>
                <w:lang w:val="en-US"/>
              </w:rPr>
            </w:pPr>
            <w:r>
              <w:rPr>
                <w:rFonts w:ascii="Arial" w:hAnsi="Arial" w:cs="Arial"/>
                <w:i/>
                <w:sz w:val="18"/>
                <w:szCs w:val="18"/>
                <w:lang w:val="en-US"/>
              </w:rPr>
              <w:t>reference</w:t>
            </w:r>
            <w:r w:rsidR="00D32831" w:rsidRPr="00B50531">
              <w:rPr>
                <w:rFonts w:ascii="Arial" w:hAnsi="Arial" w:cs="Arial"/>
                <w:i/>
                <w:sz w:val="18"/>
                <w:szCs w:val="18"/>
                <w:lang w:val="en-US"/>
              </w:rPr>
              <w:t xml:space="preserve"> (</w:t>
            </w:r>
            <w:r>
              <w:rPr>
                <w:rFonts w:ascii="Arial" w:hAnsi="Arial" w:cs="Arial"/>
                <w:i/>
                <w:sz w:val="18"/>
                <w:szCs w:val="18"/>
                <w:lang w:val="en-US"/>
              </w:rPr>
              <w:t>example</w:t>
            </w:r>
            <w:r w:rsidR="00D32831" w:rsidRPr="00B50531">
              <w:rPr>
                <w:rFonts w:ascii="Arial" w:hAnsi="Arial" w:cs="Arial"/>
                <w:i/>
                <w:sz w:val="18"/>
                <w:szCs w:val="18"/>
                <w:lang w:val="en-US"/>
              </w:rPr>
              <w:t xml:space="preserve">): </w:t>
            </w:r>
          </w:p>
          <w:p w14:paraId="6E8108F2" w14:textId="5FA09B0F" w:rsidR="00E3235F" w:rsidRPr="007D6D96" w:rsidRDefault="00FA0410" w:rsidP="00C37D08">
            <w:pPr>
              <w:pStyle w:val="Listenabsatz"/>
              <w:numPr>
                <w:ilvl w:val="0"/>
                <w:numId w:val="9"/>
              </w:numPr>
              <w:ind w:left="308"/>
              <w:jc w:val="both"/>
              <w:rPr>
                <w:rFonts w:cs="Arial"/>
                <w:sz w:val="18"/>
                <w:szCs w:val="18"/>
                <w:lang w:val="en-US"/>
              </w:rPr>
            </w:pPr>
            <w:r>
              <w:rPr>
                <w:rFonts w:cs="Arial"/>
                <w:sz w:val="18"/>
                <w:szCs w:val="18"/>
                <w:lang w:val="en-US"/>
              </w:rPr>
              <w:t xml:space="preserve">FMA </w:t>
            </w:r>
            <w:r w:rsidR="007D6D96"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E3235F" w:rsidRPr="00AC2079" w14:paraId="13E5E428" w14:textId="77777777" w:rsidTr="0096765A">
        <w:trPr>
          <w:trHeight w:val="294"/>
        </w:trPr>
        <w:tc>
          <w:tcPr>
            <w:tcW w:w="9318" w:type="dxa"/>
            <w:gridSpan w:val="6"/>
          </w:tcPr>
          <w:p w14:paraId="49747629" w14:textId="77777777" w:rsidR="00E3235F" w:rsidRPr="007D6D96" w:rsidRDefault="00E3235F" w:rsidP="00C747F0">
            <w:pPr>
              <w:jc w:val="both"/>
              <w:rPr>
                <w:rFonts w:ascii="Arial" w:hAnsi="Arial" w:cs="Arial"/>
                <w:sz w:val="18"/>
                <w:szCs w:val="18"/>
                <w:lang w:val="en-US"/>
              </w:rPr>
            </w:pPr>
          </w:p>
        </w:tc>
      </w:tr>
      <w:tr w:rsidR="00BE5E39" w:rsidRPr="00AC2079" w14:paraId="2D942F85" w14:textId="77777777" w:rsidTr="0096765A">
        <w:trPr>
          <w:trHeight w:val="294"/>
        </w:trPr>
        <w:tc>
          <w:tcPr>
            <w:tcW w:w="417" w:type="dxa"/>
          </w:tcPr>
          <w:p w14:paraId="5C793AE2" w14:textId="282E4639" w:rsidR="00BE5E39" w:rsidRPr="00B50531" w:rsidRDefault="00BE5E39" w:rsidP="00C747F0">
            <w:pPr>
              <w:jc w:val="both"/>
              <w:rPr>
                <w:rFonts w:ascii="Arial" w:hAnsi="Arial" w:cs="Arial"/>
                <w:sz w:val="18"/>
                <w:szCs w:val="18"/>
                <w:lang w:val="en-US"/>
              </w:rPr>
            </w:pPr>
            <w:r w:rsidRPr="00B50531">
              <w:rPr>
                <w:rFonts w:ascii="Arial" w:hAnsi="Arial" w:cs="Arial"/>
                <w:sz w:val="18"/>
                <w:szCs w:val="18"/>
                <w:lang w:val="en-US"/>
              </w:rPr>
              <w:t>1</w:t>
            </w:r>
          </w:p>
        </w:tc>
        <w:tc>
          <w:tcPr>
            <w:tcW w:w="6379" w:type="dxa"/>
            <w:gridSpan w:val="4"/>
          </w:tcPr>
          <w:p w14:paraId="31D4E8E3" w14:textId="06D62EF5" w:rsidR="00BE5E39" w:rsidRPr="004F7E52" w:rsidRDefault="004F7E52" w:rsidP="00C747F0">
            <w:pPr>
              <w:jc w:val="both"/>
              <w:rPr>
                <w:rFonts w:ascii="Arial" w:hAnsi="Arial" w:cs="Arial"/>
                <w:sz w:val="18"/>
                <w:szCs w:val="18"/>
                <w:lang w:val="en-US"/>
              </w:rPr>
            </w:pPr>
            <w:r w:rsidRPr="004F7E52">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4F7E52">
              <w:rPr>
                <w:rFonts w:ascii="Arial" w:hAnsi="Arial" w:cs="Arial"/>
                <w:sz w:val="18"/>
                <w:szCs w:val="18"/>
                <w:lang w:val="en-US"/>
              </w:rPr>
              <w:t xml:space="preserve">provide for mechanisms which, if necessary, implement and internally and externally communicate a moratorium in accordance with Art. 36a </w:t>
            </w:r>
            <w:r w:rsidR="00347590">
              <w:rPr>
                <w:rFonts w:ascii="Arial" w:hAnsi="Arial" w:cs="Arial"/>
                <w:sz w:val="18"/>
                <w:szCs w:val="18"/>
                <w:lang w:val="en-US"/>
              </w:rPr>
              <w:t>SAG</w:t>
            </w:r>
            <w:r w:rsidRPr="004F7E52">
              <w:rPr>
                <w:rFonts w:ascii="Arial" w:hAnsi="Arial" w:cs="Arial"/>
                <w:sz w:val="18"/>
                <w:szCs w:val="18"/>
                <w:lang w:val="en-US"/>
              </w:rPr>
              <w:t xml:space="preserve"> and other comparable supervisory measures that lead to the (partial) cessation of operations, such as the suspension of termination rights a</w:t>
            </w:r>
            <w:r w:rsidR="00E45F30">
              <w:rPr>
                <w:rFonts w:ascii="Arial" w:hAnsi="Arial" w:cs="Arial"/>
                <w:sz w:val="18"/>
                <w:szCs w:val="18"/>
                <w:lang w:val="en-US"/>
              </w:rPr>
              <w:t>s well as</w:t>
            </w:r>
            <w:r w:rsidRPr="004F7E52">
              <w:rPr>
                <w:rFonts w:ascii="Arial" w:hAnsi="Arial" w:cs="Arial"/>
                <w:sz w:val="18"/>
                <w:szCs w:val="18"/>
                <w:lang w:val="en-US"/>
              </w:rPr>
              <w:t xml:space="preserve"> payment and delivery obligations, including the prevention of internal transfers (e.g. to a securities account) ("payment moratorium").</w:t>
            </w:r>
          </w:p>
        </w:tc>
        <w:tc>
          <w:tcPr>
            <w:tcW w:w="2522" w:type="dxa"/>
          </w:tcPr>
          <w:p w14:paraId="189880DC" w14:textId="42D57A4F" w:rsidR="00BE5E39" w:rsidRPr="004F7E52" w:rsidRDefault="00665CEC" w:rsidP="00C747F0">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BE5E39" w:rsidRPr="00AC2079" w14:paraId="78333E36" w14:textId="77777777" w:rsidTr="0096765A">
        <w:trPr>
          <w:trHeight w:val="294"/>
        </w:trPr>
        <w:tc>
          <w:tcPr>
            <w:tcW w:w="417" w:type="dxa"/>
          </w:tcPr>
          <w:p w14:paraId="6611C617" w14:textId="034505EC" w:rsidR="00BE5E39" w:rsidRPr="00B50531" w:rsidRDefault="00515A81" w:rsidP="00C747F0">
            <w:pPr>
              <w:jc w:val="both"/>
              <w:rPr>
                <w:rFonts w:ascii="Arial" w:hAnsi="Arial" w:cs="Arial"/>
                <w:sz w:val="18"/>
                <w:szCs w:val="18"/>
                <w:lang w:val="en-US"/>
              </w:rPr>
            </w:pPr>
            <w:r w:rsidRPr="00B50531">
              <w:rPr>
                <w:rFonts w:ascii="Arial" w:hAnsi="Arial" w:cs="Arial"/>
                <w:sz w:val="18"/>
                <w:szCs w:val="18"/>
                <w:lang w:val="en-US"/>
              </w:rPr>
              <w:t>2</w:t>
            </w:r>
          </w:p>
        </w:tc>
        <w:tc>
          <w:tcPr>
            <w:tcW w:w="6379" w:type="dxa"/>
            <w:gridSpan w:val="4"/>
          </w:tcPr>
          <w:p w14:paraId="52E9425C" w14:textId="21B28313" w:rsidR="00BE5E39" w:rsidRPr="00FF135E" w:rsidRDefault="004F7E52" w:rsidP="00C747F0">
            <w:pPr>
              <w:jc w:val="both"/>
              <w:rPr>
                <w:rFonts w:ascii="Arial" w:hAnsi="Arial" w:cs="Arial"/>
                <w:sz w:val="18"/>
                <w:szCs w:val="18"/>
                <w:lang w:val="en-US"/>
              </w:rPr>
            </w:pPr>
            <w:r w:rsidRPr="00FF135E">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FF135E">
              <w:rPr>
                <w:rFonts w:ascii="Arial" w:hAnsi="Arial" w:cs="Arial"/>
                <w:sz w:val="18"/>
                <w:szCs w:val="18"/>
                <w:lang w:val="en-US"/>
              </w:rPr>
              <w:t>are capable of assessing the operational and financial impact of a regulatory suspension of payment or delivery obligations</w:t>
            </w:r>
            <w:r w:rsidR="00E45F30">
              <w:rPr>
                <w:rFonts w:ascii="Arial" w:hAnsi="Arial" w:cs="Arial"/>
                <w:sz w:val="18"/>
                <w:szCs w:val="18"/>
                <w:lang w:val="en-US"/>
              </w:rPr>
              <w:t xml:space="preserve"> on the institution</w:t>
            </w:r>
            <w:r w:rsidR="007A114C">
              <w:rPr>
                <w:rFonts w:ascii="Arial" w:hAnsi="Arial" w:cs="Arial"/>
                <w:sz w:val="18"/>
                <w:szCs w:val="18"/>
                <w:lang w:val="en-US"/>
              </w:rPr>
              <w:t xml:space="preserve"> within a reasonable </w:t>
            </w:r>
            <w:r w:rsidR="00506F58">
              <w:rPr>
                <w:rFonts w:ascii="Arial" w:hAnsi="Arial" w:cs="Arial"/>
                <w:sz w:val="18"/>
                <w:szCs w:val="18"/>
                <w:lang w:val="en-US"/>
              </w:rPr>
              <w:t>time.</w:t>
            </w:r>
          </w:p>
        </w:tc>
        <w:tc>
          <w:tcPr>
            <w:tcW w:w="2522" w:type="dxa"/>
          </w:tcPr>
          <w:p w14:paraId="59A3B3BD" w14:textId="6A1B316B" w:rsidR="00BE5E39" w:rsidRPr="004F7E52" w:rsidRDefault="00665CEC" w:rsidP="00C747F0">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1C87BEC4" w14:textId="5D6C14E1" w:rsidR="00B02CD7" w:rsidRPr="004F7E52" w:rsidRDefault="00B02CD7" w:rsidP="7CFC4235">
      <w:pPr>
        <w:rPr>
          <w:lang w:val="en-US"/>
        </w:rPr>
      </w:pPr>
    </w:p>
    <w:tbl>
      <w:tblPr>
        <w:tblStyle w:val="Tabellenraster"/>
        <w:tblW w:w="0" w:type="auto"/>
        <w:tblLayout w:type="fixed"/>
        <w:tblLook w:val="04A0" w:firstRow="1" w:lastRow="0" w:firstColumn="1" w:lastColumn="0" w:noHBand="0" w:noVBand="1"/>
      </w:tblPr>
      <w:tblGrid>
        <w:gridCol w:w="2655"/>
        <w:gridCol w:w="6691"/>
      </w:tblGrid>
      <w:tr w:rsidR="00B02CD7" w:rsidRPr="00B50531" w14:paraId="4DB5807D"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1EAE34C8" w14:textId="3609F904" w:rsidR="00B02CD7" w:rsidRPr="00B50531" w:rsidRDefault="00FF135E">
            <w:pPr>
              <w:jc w:val="both"/>
              <w:rPr>
                <w:rFonts w:ascii="Arial" w:eastAsia="Arial" w:hAnsi="Arial" w:cs="Arial"/>
                <w:b/>
                <w:bCs/>
                <w:i/>
                <w:iCs/>
                <w:sz w:val="18"/>
                <w:szCs w:val="18"/>
                <w:lang w:val="en-US"/>
              </w:rPr>
            </w:pPr>
            <w:r>
              <w:rPr>
                <w:rFonts w:ascii="Arial" w:eastAsia="Arial" w:hAnsi="Arial" w:cs="Arial"/>
                <w:b/>
                <w:bCs/>
                <w:i/>
                <w:iCs/>
                <w:sz w:val="18"/>
                <w:szCs w:val="18"/>
                <w:lang w:val="en-US"/>
              </w:rPr>
              <w:t>Audit elements</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1C2B8C63" w14:textId="050461DA" w:rsidR="00B02CD7" w:rsidRPr="00B50531" w:rsidRDefault="00FF135E">
            <w:pPr>
              <w:jc w:val="both"/>
              <w:rPr>
                <w:rFonts w:ascii="Arial" w:eastAsia="Arial" w:hAnsi="Arial" w:cs="Arial"/>
                <w:b/>
                <w:bCs/>
                <w:i/>
                <w:iCs/>
                <w:sz w:val="18"/>
                <w:szCs w:val="18"/>
                <w:lang w:val="en-US"/>
              </w:rPr>
            </w:pPr>
            <w:r>
              <w:rPr>
                <w:rFonts w:ascii="Arial" w:eastAsia="Arial" w:hAnsi="Arial" w:cs="Arial"/>
                <w:b/>
                <w:bCs/>
                <w:i/>
                <w:iCs/>
                <w:sz w:val="18"/>
                <w:szCs w:val="18"/>
                <w:lang w:val="en-US"/>
              </w:rPr>
              <w:t>minimum audit contents</w:t>
            </w:r>
            <w:r w:rsidR="0087018F">
              <w:rPr>
                <w:rFonts w:ascii="Arial" w:eastAsia="Arial" w:hAnsi="Arial" w:cs="Arial"/>
                <w:b/>
                <w:bCs/>
                <w:i/>
                <w:iCs/>
                <w:sz w:val="18"/>
                <w:szCs w:val="18"/>
                <w:lang w:val="en-US"/>
              </w:rPr>
              <w:t xml:space="preserve"> (“Sample”)</w:t>
            </w:r>
          </w:p>
        </w:tc>
      </w:tr>
      <w:tr w:rsidR="00B02CD7" w:rsidRPr="00AC2079" w14:paraId="20B89802"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470F2309" w14:textId="3043C2F8" w:rsidR="00B02CD7" w:rsidRPr="00E8775E" w:rsidRDefault="00FF135E">
            <w:pPr>
              <w:jc w:val="both"/>
              <w:rPr>
                <w:rFonts w:ascii="Arial" w:eastAsia="Arial" w:hAnsi="Arial" w:cs="Arial"/>
                <w:i/>
                <w:iCs/>
                <w:sz w:val="18"/>
                <w:szCs w:val="18"/>
                <w:lang w:val="en-GB"/>
              </w:rPr>
            </w:pPr>
            <w:r w:rsidRPr="00E8775E">
              <w:rPr>
                <w:rFonts w:ascii="Arial" w:eastAsia="Arial" w:hAnsi="Arial" w:cs="Arial"/>
                <w:i/>
                <w:iCs/>
                <w:sz w:val="18"/>
                <w:szCs w:val="18"/>
                <w:lang w:val="en-GB"/>
              </w:rPr>
              <w:t>Internal organi</w:t>
            </w:r>
            <w:r w:rsidR="0016294C" w:rsidRPr="00E8775E">
              <w:rPr>
                <w:rFonts w:ascii="Arial" w:eastAsia="Arial" w:hAnsi="Arial" w:cs="Arial"/>
                <w:i/>
                <w:iCs/>
                <w:sz w:val="18"/>
                <w:szCs w:val="18"/>
                <w:lang w:val="en-GB"/>
              </w:rPr>
              <w:t>s</w:t>
            </w:r>
            <w:r w:rsidRPr="00E8775E">
              <w:rPr>
                <w:rFonts w:ascii="Arial" w:eastAsia="Arial" w:hAnsi="Arial" w:cs="Arial"/>
                <w:i/>
                <w:iCs/>
                <w:sz w:val="18"/>
                <w:szCs w:val="18"/>
                <w:lang w:val="en-GB"/>
              </w:rPr>
              <w:t>ation</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2ABFF221" w14:textId="491B2236" w:rsidR="00B02CD7" w:rsidRPr="00E8775E" w:rsidRDefault="00FF135E">
            <w:pPr>
              <w:pStyle w:val="Listenabsatz"/>
              <w:numPr>
                <w:ilvl w:val="1"/>
                <w:numId w:val="11"/>
              </w:numPr>
              <w:spacing w:line="259" w:lineRule="auto"/>
              <w:ind w:left="317" w:hanging="283"/>
              <w:jc w:val="both"/>
              <w:rPr>
                <w:rFonts w:cs="Arial"/>
                <w:i/>
                <w:sz w:val="18"/>
                <w:szCs w:val="18"/>
                <w:lang w:val="en-GB"/>
              </w:rPr>
            </w:pPr>
            <w:r w:rsidRPr="00E8775E">
              <w:rPr>
                <w:rFonts w:cs="Arial"/>
                <w:i/>
                <w:sz w:val="18"/>
                <w:szCs w:val="18"/>
                <w:lang w:val="en-GB"/>
              </w:rPr>
              <w:t>The internal organi</w:t>
            </w:r>
            <w:r w:rsidR="0016294C">
              <w:rPr>
                <w:rFonts w:cs="Arial"/>
                <w:i/>
                <w:sz w:val="18"/>
                <w:szCs w:val="18"/>
                <w:lang w:val="en-GB"/>
              </w:rPr>
              <w:t>s</w:t>
            </w:r>
            <w:r w:rsidRPr="00E8775E">
              <w:rPr>
                <w:rFonts w:cs="Arial"/>
                <w:i/>
                <w:sz w:val="18"/>
                <w:szCs w:val="18"/>
                <w:lang w:val="en-GB"/>
              </w:rPr>
              <w:t>ational structure (e.g. directives, technical, human and professional resources) ensures that procedures exist which</w:t>
            </w:r>
            <w:r w:rsidR="003D3B4D">
              <w:rPr>
                <w:rFonts w:cs="Arial"/>
                <w:i/>
                <w:sz w:val="18"/>
                <w:szCs w:val="18"/>
                <w:lang w:val="en-GB"/>
              </w:rPr>
              <w:t xml:space="preserve"> </w:t>
            </w:r>
            <w:r w:rsidRPr="00E8775E">
              <w:rPr>
                <w:rFonts w:cs="Arial"/>
                <w:i/>
                <w:sz w:val="18"/>
                <w:szCs w:val="18"/>
                <w:lang w:val="en-GB"/>
              </w:rPr>
              <w:t>enable a payment moratorium to be implemented</w:t>
            </w:r>
            <w:r w:rsidR="0016294C">
              <w:rPr>
                <w:rFonts w:cs="Arial"/>
                <w:i/>
                <w:sz w:val="18"/>
                <w:szCs w:val="18"/>
                <w:lang w:val="en-GB"/>
              </w:rPr>
              <w:t xml:space="preserve"> if necessary</w:t>
            </w:r>
          </w:p>
        </w:tc>
      </w:tr>
      <w:tr w:rsidR="00B02CD7" w:rsidRPr="00AC2079" w14:paraId="7E7D2C5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4AC4B28" w14:textId="7F903EDC" w:rsidR="00B02CD7" w:rsidRPr="00FF135E" w:rsidRDefault="00FF135E">
            <w:pPr>
              <w:jc w:val="both"/>
              <w:rPr>
                <w:rFonts w:ascii="Arial" w:eastAsia="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14734BE9" w14:textId="3CD061BF" w:rsidR="00FF135E" w:rsidRPr="00FF135E" w:rsidRDefault="00FF135E" w:rsidP="00FF135E">
            <w:pPr>
              <w:pStyle w:val="Listenabsatz"/>
              <w:numPr>
                <w:ilvl w:val="1"/>
                <w:numId w:val="11"/>
              </w:numPr>
              <w:spacing w:line="259" w:lineRule="auto"/>
              <w:ind w:left="317" w:hanging="283"/>
              <w:jc w:val="both"/>
              <w:rPr>
                <w:rFonts w:cs="Arial"/>
                <w:i/>
                <w:sz w:val="18"/>
                <w:szCs w:val="18"/>
                <w:lang w:val="en"/>
              </w:rPr>
            </w:pPr>
            <w:r w:rsidRPr="00FF135E">
              <w:rPr>
                <w:rFonts w:cs="Arial"/>
                <w:i/>
                <w:sz w:val="18"/>
                <w:szCs w:val="18"/>
                <w:lang w:val="en"/>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FF135E">
              <w:rPr>
                <w:rFonts w:cs="Arial"/>
                <w:i/>
                <w:sz w:val="18"/>
                <w:szCs w:val="18"/>
                <w:lang w:val="en"/>
              </w:rPr>
              <w:t>provide for mechanisms to implement a moratorium if necessary</w:t>
            </w:r>
          </w:p>
          <w:p w14:paraId="2633E058" w14:textId="136C7375" w:rsidR="00FF135E" w:rsidRPr="00FF135E" w:rsidRDefault="00FF135E" w:rsidP="00FF135E">
            <w:pPr>
              <w:pStyle w:val="Listenabsatz"/>
              <w:numPr>
                <w:ilvl w:val="1"/>
                <w:numId w:val="11"/>
              </w:numPr>
              <w:spacing w:line="259" w:lineRule="auto"/>
              <w:ind w:left="317" w:hanging="283"/>
              <w:jc w:val="both"/>
              <w:rPr>
                <w:rFonts w:cs="Arial"/>
                <w:i/>
                <w:sz w:val="18"/>
                <w:szCs w:val="18"/>
                <w:lang w:val="en"/>
              </w:rPr>
            </w:pPr>
            <w:r w:rsidRPr="00FF135E">
              <w:rPr>
                <w:rFonts w:cs="Arial"/>
                <w:i/>
                <w:sz w:val="18"/>
                <w:szCs w:val="18"/>
                <w:lang w:val="en"/>
              </w:rPr>
              <w:t>A communication strategy is defined, includ</w:t>
            </w:r>
            <w:r w:rsidR="002C2196">
              <w:rPr>
                <w:rFonts w:cs="Arial"/>
                <w:i/>
                <w:sz w:val="18"/>
                <w:szCs w:val="18"/>
                <w:lang w:val="en"/>
              </w:rPr>
              <w:t>ing</w:t>
            </w:r>
            <w:r w:rsidRPr="00FF135E">
              <w:rPr>
                <w:rFonts w:cs="Arial"/>
                <w:i/>
                <w:sz w:val="18"/>
                <w:szCs w:val="18"/>
                <w:lang w:val="en"/>
              </w:rPr>
              <w:t xml:space="preserve"> internal and external communication</w:t>
            </w:r>
            <w:r w:rsidR="002C2196">
              <w:rPr>
                <w:rFonts w:cs="Arial"/>
                <w:i/>
                <w:sz w:val="18"/>
                <w:szCs w:val="18"/>
                <w:lang w:val="en"/>
              </w:rPr>
              <w:t xml:space="preserve"> measures</w:t>
            </w:r>
          </w:p>
          <w:p w14:paraId="2F325A60" w14:textId="4BD55CE4" w:rsidR="00FF135E" w:rsidRPr="00FF135E" w:rsidRDefault="00FF135E" w:rsidP="00FF135E">
            <w:pPr>
              <w:pStyle w:val="Listenabsatz"/>
              <w:numPr>
                <w:ilvl w:val="1"/>
                <w:numId w:val="11"/>
              </w:numPr>
              <w:spacing w:line="259" w:lineRule="auto"/>
              <w:ind w:left="317" w:hanging="283"/>
              <w:jc w:val="both"/>
              <w:rPr>
                <w:rFonts w:cs="Arial"/>
                <w:i/>
                <w:sz w:val="18"/>
                <w:szCs w:val="18"/>
                <w:lang w:val="en"/>
              </w:rPr>
            </w:pPr>
            <w:r w:rsidRPr="00FF135E">
              <w:rPr>
                <w:rFonts w:cs="Arial"/>
                <w:i/>
                <w:sz w:val="18"/>
                <w:szCs w:val="18"/>
                <w:lang w:val="en"/>
              </w:rPr>
              <w:t>The processes allow the (partial) cessation of operations such as the suspension of termination rights as well as payment and delivery obligations, including the prevention of internal transfers</w:t>
            </w:r>
          </w:p>
          <w:p w14:paraId="28FFF595" w14:textId="14CEDDD8" w:rsidR="00B02CD7" w:rsidRPr="00FF135E" w:rsidRDefault="00FF135E" w:rsidP="00FF135E">
            <w:pPr>
              <w:pStyle w:val="Listenabsatz"/>
              <w:numPr>
                <w:ilvl w:val="1"/>
                <w:numId w:val="11"/>
              </w:numPr>
              <w:spacing w:line="259" w:lineRule="auto"/>
              <w:ind w:left="317" w:hanging="283"/>
              <w:jc w:val="both"/>
              <w:rPr>
                <w:rFonts w:cs="Arial"/>
                <w:i/>
                <w:sz w:val="18"/>
                <w:szCs w:val="18"/>
                <w:lang w:val="en-US"/>
              </w:rPr>
            </w:pPr>
            <w:r w:rsidRPr="003F7FCB">
              <w:rPr>
                <w:rFonts w:cs="Arial"/>
                <w:i/>
                <w:sz w:val="18"/>
                <w:szCs w:val="18"/>
                <w:lang w:val="en"/>
              </w:rPr>
              <w:t xml:space="preserve">The </w:t>
            </w:r>
            <w:r w:rsidR="003F7FCB" w:rsidRPr="002E6B46">
              <w:rPr>
                <w:rFonts w:cs="Arial"/>
                <w:i/>
                <w:sz w:val="18"/>
                <w:szCs w:val="18"/>
                <w:lang w:val="en-US"/>
              </w:rPr>
              <w:t>internal procedures</w:t>
            </w:r>
            <w:r w:rsidR="003F7FCB" w:rsidRPr="00DD5261">
              <w:rPr>
                <w:rFonts w:cs="Arial"/>
                <w:sz w:val="18"/>
                <w:szCs w:val="18"/>
                <w:lang w:val="en-US"/>
              </w:rPr>
              <w:t xml:space="preserve"> </w:t>
            </w:r>
            <w:r w:rsidRPr="00FF135E">
              <w:rPr>
                <w:rFonts w:cs="Arial"/>
                <w:i/>
                <w:sz w:val="18"/>
                <w:szCs w:val="18"/>
                <w:lang w:val="en"/>
              </w:rPr>
              <w:t>enable an analysis of the operational and financial impact of an official suspension of payment or delivery obligations</w:t>
            </w:r>
            <w:r w:rsidR="002C2196">
              <w:rPr>
                <w:rFonts w:cs="Arial"/>
                <w:i/>
                <w:sz w:val="18"/>
                <w:szCs w:val="18"/>
                <w:lang w:val="en"/>
              </w:rPr>
              <w:t xml:space="preserve"> (“payment moratorium”)</w:t>
            </w:r>
            <w:r w:rsidRPr="00FF135E">
              <w:rPr>
                <w:rFonts w:cs="Arial"/>
                <w:i/>
                <w:sz w:val="18"/>
                <w:szCs w:val="18"/>
                <w:lang w:val="en"/>
              </w:rPr>
              <w:t xml:space="preserve"> on the</w:t>
            </w:r>
            <w:r w:rsidR="002C2196">
              <w:rPr>
                <w:rFonts w:cs="Arial"/>
                <w:i/>
                <w:sz w:val="18"/>
                <w:szCs w:val="18"/>
                <w:lang w:val="en"/>
              </w:rPr>
              <w:t xml:space="preserve"> institution</w:t>
            </w:r>
          </w:p>
        </w:tc>
      </w:tr>
    </w:tbl>
    <w:p w14:paraId="7C9351AA" w14:textId="34F455AE" w:rsidR="7CFC4235" w:rsidRPr="00FF135E" w:rsidRDefault="7CFC4235" w:rsidP="7CFC4235">
      <w:pPr>
        <w:rPr>
          <w:lang w:val="en-US"/>
        </w:rPr>
      </w:pPr>
    </w:p>
    <w:p w14:paraId="63A3F96B" w14:textId="4A7976B9" w:rsidR="003F36C1" w:rsidRPr="00E8775E" w:rsidRDefault="00C2401B" w:rsidP="00C2401B">
      <w:pPr>
        <w:pStyle w:val="FINMAGliederungEbene2"/>
        <w:rPr>
          <w:lang w:val="en-GB"/>
        </w:rPr>
      </w:pPr>
      <w:bookmarkStart w:id="17" w:name="_Toc140849816"/>
      <w:bookmarkStart w:id="18" w:name="_Toc141095435"/>
      <w:bookmarkStart w:id="19" w:name="_Toc141284973"/>
      <w:bookmarkStart w:id="20" w:name="_Toc145409738"/>
      <w:bookmarkEnd w:id="17"/>
      <w:bookmarkEnd w:id="18"/>
      <w:bookmarkEnd w:id="19"/>
      <w:r w:rsidRPr="00C2401B">
        <w:rPr>
          <w:lang w:val="en"/>
        </w:rPr>
        <w:t xml:space="preserve">Distribution of </w:t>
      </w:r>
      <w:r w:rsidR="001C0610">
        <w:rPr>
          <w:lang w:val="en"/>
        </w:rPr>
        <w:t>s</w:t>
      </w:r>
      <w:r w:rsidRPr="00C2401B">
        <w:rPr>
          <w:lang w:val="en"/>
        </w:rPr>
        <w:t xml:space="preserve">ubordinated </w:t>
      </w:r>
      <w:r w:rsidR="001C0610">
        <w:rPr>
          <w:lang w:val="en"/>
        </w:rPr>
        <w:t>e</w:t>
      </w:r>
      <w:r w:rsidRPr="00C2401B">
        <w:rPr>
          <w:lang w:val="en"/>
        </w:rPr>
        <w:t xml:space="preserve">ligible </w:t>
      </w:r>
      <w:r w:rsidR="001C0610">
        <w:rPr>
          <w:lang w:val="en"/>
        </w:rPr>
        <w:t>l</w:t>
      </w:r>
      <w:r w:rsidRPr="00C2401B">
        <w:rPr>
          <w:lang w:val="en"/>
        </w:rPr>
        <w:t>iabilitie</w:t>
      </w:r>
      <w:r>
        <w:rPr>
          <w:lang w:val="en"/>
        </w:rPr>
        <w:t>s</w:t>
      </w:r>
      <w:bookmarkEnd w:id="20"/>
    </w:p>
    <w:tbl>
      <w:tblPr>
        <w:tblStyle w:val="Tabellenraster"/>
        <w:tblW w:w="0" w:type="auto"/>
        <w:tblLook w:val="04A0" w:firstRow="1" w:lastRow="0" w:firstColumn="1" w:lastColumn="0" w:noHBand="0" w:noVBand="1"/>
      </w:tblPr>
      <w:tblGrid>
        <w:gridCol w:w="317"/>
        <w:gridCol w:w="1653"/>
        <w:gridCol w:w="2145"/>
        <w:gridCol w:w="1721"/>
        <w:gridCol w:w="860"/>
        <w:gridCol w:w="2522"/>
      </w:tblGrid>
      <w:tr w:rsidR="00D01649" w:rsidRPr="00AC2079" w14:paraId="3DFC106C" w14:textId="77777777" w:rsidTr="005A05D6">
        <w:trPr>
          <w:trHeight w:val="563"/>
        </w:trPr>
        <w:tc>
          <w:tcPr>
            <w:tcW w:w="1970" w:type="dxa"/>
            <w:gridSpan w:val="2"/>
            <w:shd w:val="clear" w:color="auto" w:fill="DBE5F1" w:themeFill="accent1" w:themeFillTint="33"/>
          </w:tcPr>
          <w:p w14:paraId="24A474A2" w14:textId="4CCED3D2" w:rsidR="00D01649" w:rsidRPr="00B50531" w:rsidRDefault="00D01649" w:rsidP="00D01649">
            <w:pPr>
              <w:jc w:val="both"/>
              <w:rPr>
                <w:rFonts w:ascii="Arial" w:hAnsi="Arial" w:cs="Arial"/>
                <w:sz w:val="18"/>
                <w:szCs w:val="18"/>
                <w:lang w:val="en-US"/>
              </w:rPr>
            </w:pPr>
            <w:r w:rsidRPr="007D6D96">
              <w:rPr>
                <w:rFonts w:ascii="Arial" w:hAnsi="Arial" w:cs="Arial"/>
                <w:sz w:val="18"/>
                <w:szCs w:val="18"/>
              </w:rPr>
              <w:t xml:space="preserve">Net </w:t>
            </w:r>
            <w:proofErr w:type="spellStart"/>
            <w:r w:rsidRPr="007D6D96">
              <w:rPr>
                <w:rFonts w:ascii="Arial" w:hAnsi="Arial" w:cs="Arial"/>
                <w:sz w:val="18"/>
                <w:szCs w:val="18"/>
              </w:rPr>
              <w:t>risk</w:t>
            </w:r>
            <w:proofErr w:type="spellEnd"/>
          </w:p>
        </w:tc>
        <w:tc>
          <w:tcPr>
            <w:tcW w:w="2145" w:type="dxa"/>
            <w:shd w:val="clear" w:color="auto" w:fill="DBE5F1" w:themeFill="accent1" w:themeFillTint="33"/>
          </w:tcPr>
          <w:p w14:paraId="541B40DE" w14:textId="7B76B92D" w:rsidR="00D01649" w:rsidRPr="00B50531" w:rsidRDefault="00D01649" w:rsidP="00D01649">
            <w:pPr>
              <w:jc w:val="both"/>
              <w:rPr>
                <w:rFonts w:ascii="Arial" w:hAnsi="Arial" w:cs="Arial"/>
                <w:sz w:val="18"/>
                <w:szCs w:val="18"/>
                <w:lang w:val="en-US"/>
              </w:rPr>
            </w:pPr>
            <w:r w:rsidRPr="007D6D96">
              <w:rPr>
                <w:rFonts w:ascii="Arial" w:hAnsi="Arial" w:cs="Arial"/>
                <w:sz w:val="18"/>
                <w:szCs w:val="18"/>
              </w:rPr>
              <w:t xml:space="preserve">Intervention </w:t>
            </w:r>
            <w:proofErr w:type="spellStart"/>
            <w:r w:rsidRPr="007D6D96">
              <w:rPr>
                <w:rFonts w:ascii="Arial" w:hAnsi="Arial" w:cs="Arial"/>
                <w:sz w:val="18"/>
                <w:szCs w:val="18"/>
              </w:rPr>
              <w:t>reporting</w:t>
            </w:r>
            <w:proofErr w:type="spellEnd"/>
            <w:r w:rsidRPr="007D6D96">
              <w:rPr>
                <w:rFonts w:ascii="Arial" w:hAnsi="Arial" w:cs="Arial"/>
                <w:sz w:val="18"/>
                <w:szCs w:val="18"/>
              </w:rPr>
              <w:t xml:space="preserve"> </w:t>
            </w:r>
            <w:proofErr w:type="spellStart"/>
            <w:r w:rsidRPr="007D6D96">
              <w:rPr>
                <w:rFonts w:ascii="Arial" w:hAnsi="Arial" w:cs="Arial"/>
                <w:sz w:val="18"/>
                <w:szCs w:val="18"/>
              </w:rPr>
              <w:t>period</w:t>
            </w:r>
            <w:proofErr w:type="spellEnd"/>
          </w:p>
        </w:tc>
        <w:tc>
          <w:tcPr>
            <w:tcW w:w="5103" w:type="dxa"/>
            <w:gridSpan w:val="3"/>
            <w:shd w:val="clear" w:color="auto" w:fill="DBE5F1" w:themeFill="accent1" w:themeFillTint="33"/>
          </w:tcPr>
          <w:p w14:paraId="34947292" w14:textId="0E351B17" w:rsidR="00D01649" w:rsidRPr="00D01649" w:rsidRDefault="008F6046" w:rsidP="00D01649">
            <w:pPr>
              <w:jc w:val="both"/>
              <w:rPr>
                <w:rFonts w:ascii="Arial" w:hAnsi="Arial" w:cs="Arial"/>
                <w:sz w:val="18"/>
                <w:szCs w:val="18"/>
                <w:lang w:val="en-US"/>
              </w:rPr>
            </w:pPr>
            <w:r>
              <w:rPr>
                <w:rFonts w:ascii="Arial" w:hAnsi="Arial" w:cs="Arial"/>
                <w:sz w:val="18"/>
                <w:szCs w:val="18"/>
                <w:lang w:val="en-US"/>
              </w:rPr>
              <w:t>Indication of the year with the last intervention with the following audit depth (before the reporting year)</w:t>
            </w:r>
          </w:p>
        </w:tc>
      </w:tr>
      <w:tr w:rsidR="006B1ABF" w:rsidRPr="00B50531" w14:paraId="3976D1D0" w14:textId="77777777" w:rsidTr="005A05D6">
        <w:trPr>
          <w:trHeight w:val="698"/>
        </w:trPr>
        <w:tc>
          <w:tcPr>
            <w:tcW w:w="1970" w:type="dxa"/>
            <w:gridSpan w:val="2"/>
            <w:shd w:val="clear" w:color="auto" w:fill="DBE5F1" w:themeFill="accent1" w:themeFillTint="33"/>
          </w:tcPr>
          <w:p w14:paraId="0A0EE0B8" w14:textId="3C7232D2" w:rsidR="006B1ABF" w:rsidRPr="00432521" w:rsidRDefault="006B1ABF" w:rsidP="006B1ABF">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77CFB261" w14:textId="20E7EFCB" w:rsidR="006B1ABF" w:rsidRPr="00432521" w:rsidRDefault="006B1ABF" w:rsidP="006B1ABF">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75FB34A3" w14:textId="4374200B" w:rsidR="006B1ABF" w:rsidRPr="00B50531" w:rsidRDefault="006B1ABF" w:rsidP="006B1ABF">
            <w:pPr>
              <w:jc w:val="both"/>
              <w:rPr>
                <w:rFonts w:ascii="Arial" w:hAnsi="Arial" w:cs="Arial"/>
                <w:sz w:val="18"/>
                <w:szCs w:val="18"/>
                <w:lang w:val="en-US"/>
              </w:rPr>
            </w:pPr>
            <w:proofErr w:type="spellStart"/>
            <w:r w:rsidRPr="007D6D96">
              <w:rPr>
                <w:rFonts w:ascii="Arial" w:hAnsi="Arial" w:cs="Arial"/>
                <w:sz w:val="18"/>
                <w:szCs w:val="18"/>
              </w:rPr>
              <w:t>Detailed</w:t>
            </w:r>
            <w:proofErr w:type="spellEnd"/>
            <w:r w:rsidRPr="007D6D96">
              <w:rPr>
                <w:rFonts w:ascii="Arial" w:hAnsi="Arial" w:cs="Arial"/>
                <w:sz w:val="18"/>
                <w:szCs w:val="18"/>
              </w:rPr>
              <w:t xml:space="preserve"> </w:t>
            </w:r>
            <w:proofErr w:type="spellStart"/>
            <w:r w:rsidRPr="007D6D96">
              <w:rPr>
                <w:rFonts w:ascii="Arial" w:hAnsi="Arial" w:cs="Arial"/>
                <w:sz w:val="18"/>
                <w:szCs w:val="18"/>
              </w:rPr>
              <w:t>audit</w:t>
            </w:r>
            <w:proofErr w:type="spellEnd"/>
            <w:r w:rsidRPr="007D6D96">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67C2DBCA" w14:textId="43085E2D" w:rsidR="006B1ABF" w:rsidRPr="00B50531" w:rsidRDefault="006B1ABF" w:rsidP="006B1ABF">
            <w:pPr>
              <w:jc w:val="both"/>
              <w:rPr>
                <w:rFonts w:ascii="Arial" w:hAnsi="Arial" w:cs="Arial"/>
                <w:i/>
                <w:sz w:val="18"/>
                <w:szCs w:val="18"/>
                <w:lang w:val="en-US"/>
              </w:rPr>
            </w:pPr>
            <w:proofErr w:type="spellStart"/>
            <w:r w:rsidRPr="007D6D96">
              <w:rPr>
                <w:rFonts w:ascii="Arial" w:hAnsi="Arial" w:cs="Arial"/>
                <w:sz w:val="18"/>
                <w:szCs w:val="18"/>
              </w:rPr>
              <w:t>critical</w:t>
            </w:r>
            <w:proofErr w:type="spellEnd"/>
            <w:r w:rsidRPr="007D6D96">
              <w:rPr>
                <w:rFonts w:ascii="Arial" w:hAnsi="Arial" w:cs="Arial"/>
                <w:sz w:val="18"/>
                <w:szCs w:val="18"/>
              </w:rPr>
              <w:t xml:space="preserve"> </w:t>
            </w:r>
            <w:proofErr w:type="spellStart"/>
            <w:r w:rsidRPr="007D6D96">
              <w:rPr>
                <w:rFonts w:ascii="Arial" w:hAnsi="Arial" w:cs="Arial"/>
                <w:sz w:val="18"/>
                <w:szCs w:val="18"/>
              </w:rPr>
              <w:t>assessment</w:t>
            </w:r>
            <w:proofErr w:type="spellEnd"/>
            <w:r w:rsidRPr="007D6D96">
              <w:rPr>
                <w:rFonts w:ascii="Arial" w:hAnsi="Arial" w:cs="Arial"/>
                <w:sz w:val="18"/>
                <w:szCs w:val="18"/>
              </w:rPr>
              <w:t>:</w:t>
            </w:r>
            <w:r>
              <w:rPr>
                <w:rFonts w:ascii="Arial" w:hAnsi="Arial" w:cs="Arial"/>
                <w:sz w:val="18"/>
                <w:szCs w:val="18"/>
              </w:rPr>
              <w:t xml:space="preserve"> </w:t>
            </w:r>
            <w:r w:rsidRPr="00432521">
              <w:rPr>
                <w:rFonts w:ascii="Arial" w:hAnsi="Arial" w:cs="Arial"/>
                <w:i/>
                <w:sz w:val="18"/>
                <w:szCs w:val="18"/>
                <w:highlight w:val="yellow"/>
                <w:lang w:val="en-US"/>
              </w:rPr>
              <w:t>year</w:t>
            </w:r>
          </w:p>
        </w:tc>
      </w:tr>
      <w:tr w:rsidR="00D01649" w:rsidRPr="00D01649" w14:paraId="3405E98F" w14:textId="77777777" w:rsidTr="000B44E4">
        <w:trPr>
          <w:trHeight w:val="510"/>
        </w:trPr>
        <w:tc>
          <w:tcPr>
            <w:tcW w:w="9218" w:type="dxa"/>
            <w:gridSpan w:val="6"/>
            <w:shd w:val="clear" w:color="auto" w:fill="DBE5F1" w:themeFill="accent1" w:themeFillTint="33"/>
          </w:tcPr>
          <w:p w14:paraId="2685B886" w14:textId="77777777" w:rsidR="00D01649" w:rsidRPr="00B50531" w:rsidRDefault="00D01649" w:rsidP="00D01649">
            <w:pPr>
              <w:jc w:val="both"/>
              <w:rPr>
                <w:rFonts w:ascii="Arial" w:hAnsi="Arial" w:cs="Arial"/>
                <w:i/>
                <w:sz w:val="18"/>
                <w:szCs w:val="18"/>
                <w:lang w:val="en-US"/>
              </w:rPr>
            </w:pPr>
            <w:r>
              <w:rPr>
                <w:rFonts w:ascii="Arial" w:hAnsi="Arial" w:cs="Arial"/>
                <w:i/>
                <w:sz w:val="18"/>
                <w:szCs w:val="18"/>
                <w:lang w:val="en-US"/>
              </w:rPr>
              <w:t>reference</w:t>
            </w:r>
            <w:r w:rsidRPr="00B50531">
              <w:rPr>
                <w:rFonts w:ascii="Arial" w:hAnsi="Arial" w:cs="Arial"/>
                <w:i/>
                <w:sz w:val="18"/>
                <w:szCs w:val="18"/>
                <w:lang w:val="en-US"/>
              </w:rPr>
              <w:t xml:space="preserve"> (</w:t>
            </w:r>
            <w:r>
              <w:rPr>
                <w:rFonts w:ascii="Arial" w:hAnsi="Arial" w:cs="Arial"/>
                <w:i/>
                <w:sz w:val="18"/>
                <w:szCs w:val="18"/>
                <w:lang w:val="en-US"/>
              </w:rPr>
              <w:t>example</w:t>
            </w:r>
            <w:r w:rsidRPr="00B50531">
              <w:rPr>
                <w:rFonts w:ascii="Arial" w:hAnsi="Arial" w:cs="Arial"/>
                <w:i/>
                <w:sz w:val="18"/>
                <w:szCs w:val="18"/>
                <w:lang w:val="en-US"/>
              </w:rPr>
              <w:t xml:space="preserve">): </w:t>
            </w:r>
          </w:p>
          <w:p w14:paraId="0515E52F" w14:textId="37D536E6" w:rsidR="00D01649" w:rsidRPr="00B50531" w:rsidRDefault="00447942" w:rsidP="00D01649">
            <w:pPr>
              <w:pStyle w:val="Listenabsatz"/>
              <w:numPr>
                <w:ilvl w:val="0"/>
                <w:numId w:val="9"/>
              </w:numPr>
              <w:ind w:left="308"/>
              <w:jc w:val="both"/>
              <w:rPr>
                <w:rFonts w:cs="Arial"/>
                <w:sz w:val="18"/>
                <w:szCs w:val="18"/>
                <w:lang w:val="en-US"/>
              </w:rPr>
            </w:pPr>
            <w:r>
              <w:rPr>
                <w:rFonts w:cs="Arial"/>
                <w:sz w:val="18"/>
                <w:szCs w:val="18"/>
                <w:lang w:val="en-US"/>
              </w:rPr>
              <w:t xml:space="preserve">Art. 57a </w:t>
            </w:r>
            <w:r w:rsidR="00347590">
              <w:rPr>
                <w:rFonts w:cs="Arial"/>
                <w:sz w:val="18"/>
                <w:szCs w:val="18"/>
                <w:lang w:val="en-US"/>
              </w:rPr>
              <w:t>SAG</w:t>
            </w:r>
          </w:p>
        </w:tc>
      </w:tr>
      <w:tr w:rsidR="003F36C1" w:rsidRPr="00D01649" w14:paraId="158AA455" w14:textId="77777777" w:rsidTr="005A05D6">
        <w:trPr>
          <w:trHeight w:val="294"/>
        </w:trPr>
        <w:tc>
          <w:tcPr>
            <w:tcW w:w="9218" w:type="dxa"/>
            <w:gridSpan w:val="6"/>
          </w:tcPr>
          <w:p w14:paraId="61DDD03D" w14:textId="77777777" w:rsidR="003F36C1" w:rsidRPr="00B50531" w:rsidRDefault="003F36C1" w:rsidP="00C747F0">
            <w:pPr>
              <w:jc w:val="both"/>
              <w:rPr>
                <w:rFonts w:ascii="Arial" w:hAnsi="Arial" w:cs="Arial"/>
                <w:sz w:val="18"/>
                <w:szCs w:val="18"/>
                <w:lang w:val="en-US"/>
              </w:rPr>
            </w:pPr>
          </w:p>
        </w:tc>
      </w:tr>
      <w:tr w:rsidR="005A05D6" w:rsidRPr="00AC2079" w14:paraId="16E96E60" w14:textId="77777777" w:rsidTr="005A05D6">
        <w:trPr>
          <w:trHeight w:val="294"/>
        </w:trPr>
        <w:tc>
          <w:tcPr>
            <w:tcW w:w="317" w:type="dxa"/>
          </w:tcPr>
          <w:p w14:paraId="750F06EE" w14:textId="335F076C" w:rsidR="005A05D6" w:rsidRPr="00B50531" w:rsidRDefault="005A05D6" w:rsidP="00C747F0">
            <w:pPr>
              <w:jc w:val="both"/>
              <w:rPr>
                <w:rFonts w:ascii="Arial" w:hAnsi="Arial" w:cs="Arial"/>
                <w:sz w:val="18"/>
                <w:szCs w:val="18"/>
                <w:lang w:val="en-US"/>
              </w:rPr>
            </w:pPr>
            <w:r w:rsidRPr="00B50531">
              <w:rPr>
                <w:rFonts w:ascii="Arial" w:hAnsi="Arial" w:cs="Arial"/>
                <w:sz w:val="18"/>
                <w:szCs w:val="18"/>
                <w:lang w:val="en-US"/>
              </w:rPr>
              <w:t>1</w:t>
            </w:r>
          </w:p>
        </w:tc>
        <w:tc>
          <w:tcPr>
            <w:tcW w:w="6379" w:type="dxa"/>
            <w:gridSpan w:val="4"/>
          </w:tcPr>
          <w:p w14:paraId="5C89DDC2" w14:textId="1E939D1D" w:rsidR="005A05D6" w:rsidRPr="00447942" w:rsidRDefault="00447942" w:rsidP="00C747F0">
            <w:pPr>
              <w:jc w:val="both"/>
              <w:rPr>
                <w:rFonts w:ascii="Arial" w:hAnsi="Arial" w:cs="Arial"/>
                <w:sz w:val="18"/>
                <w:szCs w:val="18"/>
                <w:lang w:val="en-US"/>
              </w:rPr>
            </w:pPr>
            <w:r w:rsidRPr="00447942">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447942">
              <w:rPr>
                <w:rFonts w:ascii="Arial" w:hAnsi="Arial" w:cs="Arial"/>
                <w:sz w:val="18"/>
                <w:szCs w:val="18"/>
                <w:lang w:val="en-US"/>
              </w:rPr>
              <w:t xml:space="preserve">enable compliance with the requirements for the sale of subordinated eligible liabilities in accordance with Art. 57a </w:t>
            </w:r>
            <w:r w:rsidR="00347590">
              <w:rPr>
                <w:rFonts w:ascii="Arial" w:hAnsi="Arial" w:cs="Arial"/>
                <w:sz w:val="18"/>
                <w:szCs w:val="18"/>
                <w:lang w:val="en-US"/>
              </w:rPr>
              <w:t>SAG</w:t>
            </w:r>
            <w:r w:rsidR="001C0610">
              <w:rPr>
                <w:rFonts w:ascii="Arial" w:hAnsi="Arial" w:cs="Arial"/>
                <w:sz w:val="18"/>
                <w:szCs w:val="18"/>
                <w:lang w:val="en-US"/>
              </w:rPr>
              <w:t>.</w:t>
            </w:r>
          </w:p>
        </w:tc>
        <w:tc>
          <w:tcPr>
            <w:tcW w:w="2522" w:type="dxa"/>
          </w:tcPr>
          <w:p w14:paraId="7C45A575" w14:textId="022B9C5B" w:rsidR="005A05D6" w:rsidRPr="00447942" w:rsidRDefault="00665CEC" w:rsidP="00C747F0">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0D0949D0" w14:textId="58DA10AB" w:rsidR="006E2516" w:rsidRDefault="006E2516" w:rsidP="003F36C1">
      <w:pPr>
        <w:rPr>
          <w:rFonts w:ascii="Arial" w:hAnsi="Arial" w:cs="Arial"/>
          <w:sz w:val="20"/>
          <w:szCs w:val="20"/>
          <w:lang w:val="en-US"/>
        </w:rPr>
      </w:pPr>
    </w:p>
    <w:p w14:paraId="40BE429E" w14:textId="77777777" w:rsidR="00447942" w:rsidRPr="00447942" w:rsidRDefault="00447942" w:rsidP="003F36C1">
      <w:pPr>
        <w:rPr>
          <w:rFonts w:ascii="Arial" w:hAnsi="Arial" w:cs="Arial"/>
          <w:sz w:val="20"/>
          <w:szCs w:val="20"/>
          <w:lang w:val="en-US"/>
        </w:rPr>
      </w:pPr>
    </w:p>
    <w:tbl>
      <w:tblPr>
        <w:tblStyle w:val="Tabellenraster"/>
        <w:tblW w:w="0" w:type="auto"/>
        <w:tblLayout w:type="fixed"/>
        <w:tblLook w:val="04A0" w:firstRow="1" w:lastRow="0" w:firstColumn="1" w:lastColumn="0" w:noHBand="0" w:noVBand="1"/>
      </w:tblPr>
      <w:tblGrid>
        <w:gridCol w:w="2655"/>
        <w:gridCol w:w="6549"/>
      </w:tblGrid>
      <w:tr w:rsidR="00DD04AA" w:rsidRPr="00B50531" w14:paraId="66CD4B62"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E81D3F5" w14:textId="131EAD74" w:rsidR="00DD04AA" w:rsidRPr="00B50531" w:rsidRDefault="00447942">
            <w:pPr>
              <w:jc w:val="both"/>
              <w:rPr>
                <w:rFonts w:ascii="Arial" w:eastAsia="Arial" w:hAnsi="Arial" w:cs="Arial"/>
                <w:b/>
                <w:bCs/>
                <w:i/>
                <w:iCs/>
                <w:sz w:val="18"/>
                <w:szCs w:val="18"/>
                <w:lang w:val="en-US"/>
              </w:rPr>
            </w:pPr>
            <w:r>
              <w:rPr>
                <w:rFonts w:ascii="Arial" w:eastAsia="Arial" w:hAnsi="Arial" w:cs="Arial"/>
                <w:b/>
                <w:bCs/>
                <w:i/>
                <w:iCs/>
                <w:sz w:val="18"/>
                <w:szCs w:val="18"/>
                <w:lang w:val="en-US"/>
              </w:rPr>
              <w:t>Audit elements</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5AD5CC9" w14:textId="24A12D50" w:rsidR="00DD04AA" w:rsidRPr="00B50531" w:rsidRDefault="00447942">
            <w:pPr>
              <w:jc w:val="both"/>
              <w:rPr>
                <w:rFonts w:ascii="Arial" w:eastAsia="Arial" w:hAnsi="Arial" w:cs="Arial"/>
                <w:b/>
                <w:bCs/>
                <w:i/>
                <w:iCs/>
                <w:sz w:val="18"/>
                <w:szCs w:val="18"/>
                <w:lang w:val="en-US"/>
              </w:rPr>
            </w:pPr>
            <w:r>
              <w:rPr>
                <w:rFonts w:ascii="Arial" w:eastAsia="Arial" w:hAnsi="Arial" w:cs="Arial"/>
                <w:b/>
                <w:bCs/>
                <w:i/>
                <w:iCs/>
                <w:sz w:val="18"/>
                <w:szCs w:val="18"/>
                <w:lang w:val="en-US"/>
              </w:rPr>
              <w:t xml:space="preserve">minimum audit contents </w:t>
            </w:r>
            <w:r w:rsidR="0087018F">
              <w:rPr>
                <w:rFonts w:ascii="Arial" w:eastAsia="Arial" w:hAnsi="Arial" w:cs="Arial"/>
                <w:b/>
                <w:bCs/>
                <w:i/>
                <w:iCs/>
                <w:sz w:val="18"/>
                <w:szCs w:val="18"/>
                <w:lang w:val="en-US"/>
              </w:rPr>
              <w:t>(“Sample”)</w:t>
            </w:r>
          </w:p>
        </w:tc>
      </w:tr>
      <w:tr w:rsidR="00DD04AA" w:rsidRPr="00AC2079" w14:paraId="5EF58F0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CD1C990" w14:textId="56540C4F" w:rsidR="00DD04AA" w:rsidRPr="00B50531" w:rsidRDefault="00447942">
            <w:pPr>
              <w:jc w:val="both"/>
              <w:rPr>
                <w:rFonts w:ascii="Arial" w:eastAsia="Arial" w:hAnsi="Arial" w:cs="Arial"/>
                <w:i/>
                <w:iCs/>
                <w:sz w:val="18"/>
                <w:szCs w:val="18"/>
                <w:lang w:val="en-US"/>
              </w:rPr>
            </w:pPr>
            <w:r>
              <w:rPr>
                <w:rFonts w:ascii="Arial" w:eastAsia="Arial" w:hAnsi="Arial" w:cs="Arial"/>
                <w:i/>
                <w:iCs/>
                <w:sz w:val="18"/>
                <w:szCs w:val="18"/>
                <w:lang w:val="en-US"/>
              </w:rPr>
              <w:t xml:space="preserve">Internal </w:t>
            </w:r>
            <w:proofErr w:type="spellStart"/>
            <w:r>
              <w:rPr>
                <w:rFonts w:ascii="Arial" w:eastAsia="Arial" w:hAnsi="Arial" w:cs="Arial"/>
                <w:i/>
                <w:iCs/>
                <w:sz w:val="18"/>
                <w:szCs w:val="18"/>
                <w:lang w:val="en-US"/>
              </w:rPr>
              <w:t>organi</w:t>
            </w:r>
            <w:r w:rsidR="005702D6">
              <w:rPr>
                <w:rFonts w:ascii="Arial" w:eastAsia="Arial" w:hAnsi="Arial" w:cs="Arial"/>
                <w:i/>
                <w:iCs/>
                <w:sz w:val="18"/>
                <w:szCs w:val="18"/>
                <w:lang w:val="en-US"/>
              </w:rPr>
              <w:t>s</w:t>
            </w:r>
            <w:r>
              <w:rPr>
                <w:rFonts w:ascii="Arial" w:eastAsia="Arial" w:hAnsi="Arial" w:cs="Arial"/>
                <w:i/>
                <w:iCs/>
                <w:sz w:val="18"/>
                <w:szCs w:val="18"/>
                <w:lang w:val="en-US"/>
              </w:rPr>
              <w:t>ation</w:t>
            </w:r>
            <w:proofErr w:type="spellEnd"/>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472E86C8" w14:textId="6D5E3332" w:rsidR="00DD04AA" w:rsidRPr="00447942" w:rsidRDefault="00447942">
            <w:pPr>
              <w:pStyle w:val="Listenabsatz"/>
              <w:numPr>
                <w:ilvl w:val="0"/>
                <w:numId w:val="13"/>
              </w:numPr>
              <w:spacing w:line="259" w:lineRule="auto"/>
              <w:jc w:val="both"/>
              <w:rPr>
                <w:rFonts w:cs="Arial"/>
                <w:i/>
                <w:sz w:val="18"/>
                <w:szCs w:val="18"/>
                <w:lang w:val="en-US"/>
              </w:rPr>
            </w:pPr>
            <w:r w:rsidRPr="00447942">
              <w:rPr>
                <w:rFonts w:cs="Arial"/>
                <w:i/>
                <w:sz w:val="18"/>
                <w:szCs w:val="18"/>
                <w:lang w:val="en-US"/>
              </w:rPr>
              <w:t xml:space="preserve">The internal </w:t>
            </w:r>
            <w:proofErr w:type="spellStart"/>
            <w:r w:rsidRPr="00447942">
              <w:rPr>
                <w:rFonts w:cs="Arial"/>
                <w:i/>
                <w:sz w:val="18"/>
                <w:szCs w:val="18"/>
                <w:lang w:val="en-US"/>
              </w:rPr>
              <w:t>organi</w:t>
            </w:r>
            <w:r w:rsidR="005702D6">
              <w:rPr>
                <w:rFonts w:cs="Arial"/>
                <w:i/>
                <w:sz w:val="18"/>
                <w:szCs w:val="18"/>
                <w:lang w:val="en-US"/>
              </w:rPr>
              <w:t>s</w:t>
            </w:r>
            <w:r w:rsidRPr="00447942">
              <w:rPr>
                <w:rFonts w:cs="Arial"/>
                <w:i/>
                <w:sz w:val="18"/>
                <w:szCs w:val="18"/>
                <w:lang w:val="en-US"/>
              </w:rPr>
              <w:t>ational</w:t>
            </w:r>
            <w:proofErr w:type="spellEnd"/>
            <w:r w:rsidRPr="00447942">
              <w:rPr>
                <w:rFonts w:cs="Arial"/>
                <w:i/>
                <w:sz w:val="18"/>
                <w:szCs w:val="18"/>
                <w:lang w:val="en-US"/>
              </w:rPr>
              <w:t xml:space="preserve"> structure (e.g. directives, technical, human and professional resources) ensures that procedures for complying with the specifications for the sale of subordinated eligible liabilities exist and are </w:t>
            </w:r>
            <w:r w:rsidR="00D056A9">
              <w:rPr>
                <w:rFonts w:cs="Arial"/>
                <w:i/>
                <w:sz w:val="18"/>
                <w:szCs w:val="18"/>
                <w:lang w:val="en-US"/>
              </w:rPr>
              <w:t>documented</w:t>
            </w:r>
            <w:r w:rsidR="00D056A9" w:rsidRPr="00447942">
              <w:rPr>
                <w:rFonts w:cs="Arial"/>
                <w:i/>
                <w:sz w:val="18"/>
                <w:szCs w:val="18"/>
                <w:lang w:val="en-US"/>
              </w:rPr>
              <w:t xml:space="preserve"> </w:t>
            </w:r>
            <w:r w:rsidRPr="00447942">
              <w:rPr>
                <w:rFonts w:cs="Arial"/>
                <w:i/>
                <w:sz w:val="18"/>
                <w:szCs w:val="18"/>
                <w:lang w:val="en-US"/>
              </w:rPr>
              <w:t xml:space="preserve">in </w:t>
            </w:r>
            <w:r>
              <w:rPr>
                <w:rFonts w:cs="Arial"/>
                <w:i/>
                <w:sz w:val="18"/>
                <w:szCs w:val="18"/>
                <w:lang w:val="en-US"/>
              </w:rPr>
              <w:t>written form</w:t>
            </w:r>
          </w:p>
        </w:tc>
      </w:tr>
      <w:tr w:rsidR="00DD04AA" w:rsidRPr="00AC2079" w14:paraId="2AB884F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0D7D00B9" w14:textId="301EEA49" w:rsidR="00DD04AA" w:rsidRPr="00447942" w:rsidRDefault="00447942">
            <w:pPr>
              <w:jc w:val="both"/>
              <w:rPr>
                <w:rFonts w:ascii="Arial" w:eastAsia="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4CA67930" w14:textId="564B1128" w:rsidR="00447942" w:rsidRPr="00447942" w:rsidRDefault="00447942" w:rsidP="00447942">
            <w:pPr>
              <w:pStyle w:val="Listenabsatz"/>
              <w:numPr>
                <w:ilvl w:val="0"/>
                <w:numId w:val="13"/>
              </w:numPr>
              <w:rPr>
                <w:rFonts w:cs="Arial"/>
                <w:i/>
                <w:sz w:val="18"/>
                <w:szCs w:val="18"/>
                <w:lang w:val="en-US"/>
              </w:rPr>
            </w:pPr>
            <w:r w:rsidRPr="00447942">
              <w:rPr>
                <w:rFonts w:cs="Arial"/>
                <w:i/>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447942">
              <w:rPr>
                <w:rFonts w:cs="Arial"/>
                <w:i/>
                <w:sz w:val="18"/>
                <w:szCs w:val="18"/>
                <w:lang w:val="en-US"/>
              </w:rPr>
              <w:t xml:space="preserve">provide for the application of the </w:t>
            </w:r>
            <w:r w:rsidR="003F7FCB">
              <w:rPr>
                <w:i/>
                <w:iCs/>
                <w:sz w:val="18"/>
                <w:szCs w:val="18"/>
                <w:lang w:val="en-US"/>
              </w:rPr>
              <w:t>four-eyes</w:t>
            </w:r>
            <w:r w:rsidR="003F7FCB" w:rsidRPr="006C43BA">
              <w:rPr>
                <w:i/>
                <w:iCs/>
                <w:sz w:val="18"/>
                <w:szCs w:val="18"/>
                <w:lang w:val="en-US"/>
              </w:rPr>
              <w:t xml:space="preserve"> </w:t>
            </w:r>
            <w:r w:rsidRPr="00447942">
              <w:rPr>
                <w:rFonts w:cs="Arial"/>
                <w:i/>
                <w:sz w:val="18"/>
                <w:szCs w:val="18"/>
                <w:lang w:val="en-US"/>
              </w:rPr>
              <w:t>principle and the separation of functions for key controls</w:t>
            </w:r>
          </w:p>
          <w:p w14:paraId="59DDBD6B" w14:textId="455A502F" w:rsidR="00DD04AA" w:rsidRPr="00447942" w:rsidRDefault="00447942" w:rsidP="00447942">
            <w:pPr>
              <w:pStyle w:val="Listenabsatz"/>
              <w:numPr>
                <w:ilvl w:val="0"/>
                <w:numId w:val="13"/>
              </w:numPr>
              <w:spacing w:line="259" w:lineRule="auto"/>
              <w:jc w:val="both"/>
              <w:rPr>
                <w:rFonts w:cs="Arial"/>
                <w:i/>
                <w:sz w:val="18"/>
                <w:szCs w:val="18"/>
                <w:lang w:val="en-US"/>
              </w:rPr>
            </w:pPr>
            <w:r w:rsidRPr="00447942">
              <w:rPr>
                <w:rFonts w:cs="Arial"/>
                <w:i/>
                <w:sz w:val="18"/>
                <w:szCs w:val="18"/>
                <w:lang w:val="en-US"/>
              </w:rPr>
              <w:t>The processes enable the identification of subordinated eligible liabilities</w:t>
            </w:r>
          </w:p>
        </w:tc>
      </w:tr>
    </w:tbl>
    <w:p w14:paraId="6F9D4A79" w14:textId="77777777" w:rsidR="007A7024" w:rsidRPr="00447942" w:rsidRDefault="007A7024" w:rsidP="003F36C1">
      <w:pPr>
        <w:rPr>
          <w:rFonts w:ascii="Arial" w:hAnsi="Arial" w:cs="Arial"/>
          <w:sz w:val="20"/>
          <w:szCs w:val="20"/>
          <w:lang w:val="en-US"/>
        </w:rPr>
      </w:pPr>
    </w:p>
    <w:p w14:paraId="6AAFF743" w14:textId="4400EADB" w:rsidR="006E61B7" w:rsidRPr="00B50531" w:rsidRDefault="006B1ABF" w:rsidP="00C37D08">
      <w:pPr>
        <w:pStyle w:val="FINMAGliederungEbene2"/>
        <w:rPr>
          <w:lang w:val="en-US"/>
        </w:rPr>
      </w:pPr>
      <w:bookmarkStart w:id="21" w:name="_Toc145409739"/>
      <w:r>
        <w:rPr>
          <w:lang w:val="en-US"/>
        </w:rPr>
        <w:t>Reporting</w:t>
      </w:r>
      <w:bookmarkEnd w:id="21"/>
      <w:r w:rsidR="000060F7" w:rsidRPr="00B50531">
        <w:rPr>
          <w:lang w:val="en-US"/>
        </w:rPr>
        <w:t xml:space="preserve"> </w:t>
      </w:r>
    </w:p>
    <w:p w14:paraId="3BC4FECD" w14:textId="77777777" w:rsidR="006E61B7" w:rsidRPr="00B50531" w:rsidRDefault="006E61B7" w:rsidP="006E61B7">
      <w:pPr>
        <w:pStyle w:val="FINMAGliederungEbene2"/>
        <w:numPr>
          <w:ilvl w:val="0"/>
          <w:numId w:val="0"/>
        </w:numPr>
        <w:ind w:left="576"/>
        <w:rPr>
          <w:lang w:val="en-US"/>
        </w:rPr>
      </w:pPr>
    </w:p>
    <w:tbl>
      <w:tblPr>
        <w:tblStyle w:val="Tabellenraster"/>
        <w:tblW w:w="0" w:type="auto"/>
        <w:tblLook w:val="04A0" w:firstRow="1" w:lastRow="0" w:firstColumn="1" w:lastColumn="0" w:noHBand="0" w:noVBand="1"/>
      </w:tblPr>
      <w:tblGrid>
        <w:gridCol w:w="317"/>
        <w:gridCol w:w="1653"/>
        <w:gridCol w:w="2145"/>
        <w:gridCol w:w="1721"/>
        <w:gridCol w:w="1001"/>
        <w:gridCol w:w="2381"/>
      </w:tblGrid>
      <w:tr w:rsidR="006B1ABF" w:rsidRPr="00AC2079" w14:paraId="408F18C7" w14:textId="77777777" w:rsidTr="00D06444">
        <w:trPr>
          <w:trHeight w:val="563"/>
        </w:trPr>
        <w:tc>
          <w:tcPr>
            <w:tcW w:w="1970" w:type="dxa"/>
            <w:gridSpan w:val="2"/>
            <w:shd w:val="clear" w:color="auto" w:fill="DBE5F1" w:themeFill="accent1" w:themeFillTint="33"/>
          </w:tcPr>
          <w:p w14:paraId="0F6FCDD3" w14:textId="3A6C7207" w:rsidR="006B1ABF" w:rsidRPr="00B50531" w:rsidRDefault="006B1ABF" w:rsidP="006B1ABF">
            <w:pPr>
              <w:jc w:val="both"/>
              <w:rPr>
                <w:rFonts w:ascii="Arial" w:hAnsi="Arial" w:cs="Arial"/>
                <w:sz w:val="18"/>
                <w:szCs w:val="18"/>
                <w:lang w:val="en-US"/>
              </w:rPr>
            </w:pPr>
            <w:r w:rsidRPr="006B1ABF">
              <w:rPr>
                <w:rFonts w:ascii="Arial" w:hAnsi="Arial" w:cs="Arial"/>
                <w:sz w:val="18"/>
                <w:szCs w:val="18"/>
                <w:lang w:val="en-US"/>
              </w:rPr>
              <w:t>Net risk</w:t>
            </w:r>
          </w:p>
        </w:tc>
        <w:tc>
          <w:tcPr>
            <w:tcW w:w="2145" w:type="dxa"/>
            <w:shd w:val="clear" w:color="auto" w:fill="DBE5F1" w:themeFill="accent1" w:themeFillTint="33"/>
          </w:tcPr>
          <w:p w14:paraId="4F37D8D7" w14:textId="7D3C8A07" w:rsidR="006B1ABF" w:rsidRPr="00B50531" w:rsidRDefault="006B1ABF" w:rsidP="006B1ABF">
            <w:pPr>
              <w:jc w:val="both"/>
              <w:rPr>
                <w:rFonts w:ascii="Arial" w:hAnsi="Arial" w:cs="Arial"/>
                <w:sz w:val="18"/>
                <w:szCs w:val="18"/>
                <w:lang w:val="en-US"/>
              </w:rPr>
            </w:pPr>
            <w:r w:rsidRPr="006B1ABF">
              <w:rPr>
                <w:rFonts w:ascii="Arial" w:hAnsi="Arial" w:cs="Arial"/>
                <w:sz w:val="18"/>
                <w:szCs w:val="18"/>
                <w:lang w:val="en-US"/>
              </w:rPr>
              <w:t>Intervention reporting period</w:t>
            </w:r>
          </w:p>
        </w:tc>
        <w:tc>
          <w:tcPr>
            <w:tcW w:w="5103" w:type="dxa"/>
            <w:gridSpan w:val="3"/>
            <w:shd w:val="clear" w:color="auto" w:fill="DBE5F1" w:themeFill="accent1" w:themeFillTint="33"/>
          </w:tcPr>
          <w:p w14:paraId="2C868AFF" w14:textId="7C0AD2F2" w:rsidR="006B1ABF" w:rsidRPr="006B1ABF" w:rsidRDefault="008F6046" w:rsidP="006B1ABF">
            <w:pPr>
              <w:jc w:val="both"/>
              <w:rPr>
                <w:rFonts w:ascii="Arial" w:hAnsi="Arial" w:cs="Arial"/>
                <w:sz w:val="18"/>
                <w:szCs w:val="18"/>
                <w:lang w:val="en-US"/>
              </w:rPr>
            </w:pPr>
            <w:r>
              <w:rPr>
                <w:rFonts w:ascii="Arial" w:hAnsi="Arial" w:cs="Arial"/>
                <w:sz w:val="18"/>
                <w:szCs w:val="18"/>
                <w:lang w:val="en-US"/>
              </w:rPr>
              <w:t>Indication of the year with the last intervention with the following audit depth (before the reporting year)</w:t>
            </w:r>
          </w:p>
        </w:tc>
      </w:tr>
      <w:tr w:rsidR="006B1ABF" w:rsidRPr="00B50531" w14:paraId="5B66A12E" w14:textId="77777777" w:rsidTr="00D06444">
        <w:trPr>
          <w:trHeight w:val="698"/>
        </w:trPr>
        <w:tc>
          <w:tcPr>
            <w:tcW w:w="1970" w:type="dxa"/>
            <w:gridSpan w:val="2"/>
            <w:shd w:val="clear" w:color="auto" w:fill="DBE5F1" w:themeFill="accent1" w:themeFillTint="33"/>
          </w:tcPr>
          <w:p w14:paraId="4CB6505A" w14:textId="6D7B04C9" w:rsidR="006B1ABF" w:rsidRPr="00432521" w:rsidRDefault="006B1ABF" w:rsidP="006B1ABF">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0935602B" w14:textId="24245995" w:rsidR="006B1ABF" w:rsidRPr="00432521" w:rsidRDefault="006B1ABF" w:rsidP="006B1ABF">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5FB7126F" w14:textId="479C52AE" w:rsidR="006B1ABF" w:rsidRPr="00B50531" w:rsidRDefault="006B1ABF" w:rsidP="006B1ABF">
            <w:pPr>
              <w:jc w:val="both"/>
              <w:rPr>
                <w:rFonts w:ascii="Arial" w:hAnsi="Arial" w:cs="Arial"/>
                <w:sz w:val="18"/>
                <w:szCs w:val="18"/>
                <w:lang w:val="en-US"/>
              </w:rPr>
            </w:pPr>
            <w:r w:rsidRPr="006B1ABF">
              <w:rPr>
                <w:rFonts w:ascii="Arial" w:hAnsi="Arial" w:cs="Arial"/>
                <w:sz w:val="18"/>
                <w:szCs w:val="18"/>
                <w:lang w:val="en-US"/>
              </w:rPr>
              <w:t xml:space="preserve">Detailed audit: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12E7A30B" w14:textId="7E0376A5" w:rsidR="006B1ABF" w:rsidRPr="006B1ABF" w:rsidRDefault="006B1ABF" w:rsidP="006B1ABF">
            <w:pPr>
              <w:jc w:val="both"/>
              <w:rPr>
                <w:rFonts w:ascii="Arial" w:hAnsi="Arial" w:cs="Arial"/>
                <w:i/>
                <w:sz w:val="18"/>
                <w:szCs w:val="18"/>
                <w:lang w:val="en-US"/>
              </w:rPr>
            </w:pPr>
            <w:proofErr w:type="spellStart"/>
            <w:r w:rsidRPr="007D6D96">
              <w:rPr>
                <w:rFonts w:ascii="Arial" w:hAnsi="Arial" w:cs="Arial"/>
                <w:sz w:val="18"/>
                <w:szCs w:val="18"/>
              </w:rPr>
              <w:t>critical</w:t>
            </w:r>
            <w:proofErr w:type="spellEnd"/>
            <w:r w:rsidRPr="007D6D96">
              <w:rPr>
                <w:rFonts w:ascii="Arial" w:hAnsi="Arial" w:cs="Arial"/>
                <w:sz w:val="18"/>
                <w:szCs w:val="18"/>
              </w:rPr>
              <w:t xml:space="preserve"> </w:t>
            </w:r>
            <w:proofErr w:type="spellStart"/>
            <w:r w:rsidRPr="007D6D96">
              <w:rPr>
                <w:rFonts w:ascii="Arial" w:hAnsi="Arial" w:cs="Arial"/>
                <w:sz w:val="18"/>
                <w:szCs w:val="18"/>
              </w:rPr>
              <w:t>assessment</w:t>
            </w:r>
            <w:proofErr w:type="spellEnd"/>
            <w:r w:rsidRPr="007D6D96">
              <w:rPr>
                <w:rFonts w:ascii="Arial" w:hAnsi="Arial" w:cs="Arial"/>
                <w:sz w:val="18"/>
                <w:szCs w:val="18"/>
              </w:rPr>
              <w:t>:</w:t>
            </w:r>
            <w:r>
              <w:rPr>
                <w:rFonts w:ascii="Arial" w:hAnsi="Arial" w:cs="Arial"/>
                <w:sz w:val="18"/>
                <w:szCs w:val="18"/>
              </w:rPr>
              <w:t xml:space="preserve"> </w:t>
            </w:r>
            <w:r w:rsidRPr="00432521">
              <w:rPr>
                <w:rFonts w:ascii="Arial" w:hAnsi="Arial" w:cs="Arial"/>
                <w:i/>
                <w:sz w:val="18"/>
                <w:szCs w:val="18"/>
                <w:highlight w:val="yellow"/>
                <w:lang w:val="en-US"/>
              </w:rPr>
              <w:t>year</w:t>
            </w:r>
          </w:p>
        </w:tc>
      </w:tr>
      <w:tr w:rsidR="006E61B7" w:rsidRPr="00AC2079" w14:paraId="7BB54F53" w14:textId="77777777" w:rsidTr="00432521">
        <w:trPr>
          <w:trHeight w:val="636"/>
        </w:trPr>
        <w:tc>
          <w:tcPr>
            <w:tcW w:w="9218" w:type="dxa"/>
            <w:gridSpan w:val="6"/>
            <w:shd w:val="clear" w:color="auto" w:fill="DBE5F1" w:themeFill="accent1" w:themeFillTint="33"/>
          </w:tcPr>
          <w:p w14:paraId="50776D32" w14:textId="0B69A7E9" w:rsidR="007D6216" w:rsidRPr="00B50531" w:rsidRDefault="006B1ABF" w:rsidP="007D6216">
            <w:pPr>
              <w:jc w:val="both"/>
              <w:rPr>
                <w:rFonts w:ascii="Arial" w:hAnsi="Arial" w:cs="Arial"/>
                <w:i/>
                <w:sz w:val="18"/>
                <w:szCs w:val="18"/>
                <w:lang w:val="en-US"/>
              </w:rPr>
            </w:pPr>
            <w:r>
              <w:rPr>
                <w:rFonts w:ascii="Arial" w:hAnsi="Arial" w:cs="Arial"/>
                <w:i/>
                <w:sz w:val="18"/>
                <w:szCs w:val="18"/>
                <w:lang w:val="en-US"/>
              </w:rPr>
              <w:t>References (examples):</w:t>
            </w:r>
          </w:p>
          <w:p w14:paraId="10A4E82A" w14:textId="2C23BF86" w:rsidR="007D6216" w:rsidRPr="00B50531" w:rsidRDefault="007D6216" w:rsidP="00C37D08">
            <w:pPr>
              <w:pStyle w:val="Listenabsatz"/>
              <w:numPr>
                <w:ilvl w:val="0"/>
                <w:numId w:val="9"/>
              </w:numPr>
              <w:ind w:left="308"/>
              <w:jc w:val="both"/>
              <w:rPr>
                <w:rFonts w:cs="Arial"/>
                <w:sz w:val="18"/>
                <w:szCs w:val="18"/>
                <w:lang w:val="en-US"/>
              </w:rPr>
            </w:pPr>
            <w:r w:rsidRPr="00B50531">
              <w:rPr>
                <w:rFonts w:cs="Arial"/>
                <w:sz w:val="18"/>
                <w:szCs w:val="18"/>
                <w:lang w:val="en-US"/>
              </w:rPr>
              <w:t xml:space="preserve">Art. </w:t>
            </w:r>
            <w:r w:rsidR="00BB5240" w:rsidRPr="00B50531">
              <w:rPr>
                <w:rFonts w:cs="Arial"/>
                <w:sz w:val="18"/>
                <w:szCs w:val="18"/>
                <w:lang w:val="en-US"/>
              </w:rPr>
              <w:t xml:space="preserve">61 </w:t>
            </w:r>
            <w:r w:rsidR="00347590">
              <w:rPr>
                <w:rFonts w:cs="Arial"/>
                <w:sz w:val="18"/>
                <w:szCs w:val="18"/>
                <w:lang w:val="en-US"/>
              </w:rPr>
              <w:t>SAG</w:t>
            </w:r>
            <w:r w:rsidR="00BB5240" w:rsidRPr="00B50531">
              <w:rPr>
                <w:rFonts w:cs="Arial"/>
                <w:sz w:val="18"/>
                <w:szCs w:val="18"/>
                <w:lang w:val="en-US"/>
              </w:rPr>
              <w:t xml:space="preserve"> </w:t>
            </w:r>
          </w:p>
          <w:p w14:paraId="5CA46A14" w14:textId="72774201" w:rsidR="00CB2EE6" w:rsidRPr="00B50531" w:rsidRDefault="0000407C" w:rsidP="00CB2EE6">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FA0410">
              <w:rPr>
                <w:rFonts w:cs="Arial"/>
                <w:sz w:val="18"/>
                <w:szCs w:val="18"/>
                <w:lang w:val="en-US"/>
              </w:rPr>
              <w:t>Implementing Regulation</w:t>
            </w:r>
            <w:r w:rsidR="003D2100" w:rsidRPr="003D2100">
              <w:rPr>
                <w:rFonts w:cs="Arial"/>
                <w:sz w:val="18"/>
                <w:szCs w:val="18"/>
                <w:lang w:val="en-US"/>
              </w:rPr>
              <w:t xml:space="preserve"> (EU) 2018/1624</w:t>
            </w:r>
            <w:r w:rsidR="00665CEC">
              <w:rPr>
                <w:rFonts w:cs="Arial"/>
                <w:sz w:val="18"/>
                <w:szCs w:val="18"/>
                <w:lang w:val="en-US"/>
              </w:rPr>
              <w:t xml:space="preserve"> </w:t>
            </w:r>
            <w:r w:rsidR="00665CEC" w:rsidRPr="00665CEC">
              <w:rPr>
                <w:rFonts w:cs="Arial"/>
                <w:sz w:val="18"/>
                <w:szCs w:val="18"/>
                <w:lang w:val="en-US"/>
              </w:rPr>
              <w:t>with regard to procedures and standard forms and templates for the provision of information for the purposes of resolution plans for credit institutions and investment firms</w:t>
            </w:r>
          </w:p>
          <w:p w14:paraId="04C8DE52" w14:textId="642C27C2" w:rsidR="007D6216" w:rsidRPr="00E8775E" w:rsidRDefault="0000407C" w:rsidP="00C37D08">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FA0410">
              <w:rPr>
                <w:rFonts w:cs="Arial"/>
                <w:sz w:val="18"/>
                <w:szCs w:val="18"/>
                <w:lang w:val="en-US"/>
              </w:rPr>
              <w:t>Implementing Regulation</w:t>
            </w:r>
            <w:r w:rsidR="003D2100" w:rsidRPr="00E8775E">
              <w:rPr>
                <w:rFonts w:cs="Arial"/>
                <w:sz w:val="18"/>
                <w:szCs w:val="18"/>
                <w:lang w:val="en-US"/>
              </w:rPr>
              <w:t xml:space="preserve"> (EU) </w:t>
            </w:r>
            <w:r w:rsidR="007D6216" w:rsidRPr="00E8775E">
              <w:rPr>
                <w:rFonts w:cs="Arial"/>
                <w:sz w:val="18"/>
                <w:szCs w:val="18"/>
                <w:lang w:val="en-US"/>
              </w:rPr>
              <w:t>2021/763</w:t>
            </w:r>
            <w:r w:rsidR="00665CEC" w:rsidRPr="00E8775E">
              <w:rPr>
                <w:rFonts w:cs="Arial"/>
                <w:sz w:val="18"/>
                <w:szCs w:val="18"/>
                <w:lang w:val="en-US"/>
              </w:rPr>
              <w:t xml:space="preserve"> with regard to procedures and standard forms and templates for the provision of information for the purposes of resolution plans for credit institutions and investment firms</w:t>
            </w:r>
          </w:p>
          <w:p w14:paraId="6A1A92B7" w14:textId="6F5FEC9F" w:rsidR="00513908" w:rsidRPr="00821BBD" w:rsidRDefault="00513908" w:rsidP="00C37D08">
            <w:pPr>
              <w:pStyle w:val="Listenabsatz"/>
              <w:numPr>
                <w:ilvl w:val="0"/>
                <w:numId w:val="9"/>
              </w:numPr>
              <w:ind w:left="308"/>
              <w:jc w:val="both"/>
              <w:rPr>
                <w:rFonts w:cs="Arial"/>
                <w:sz w:val="18"/>
                <w:szCs w:val="18"/>
                <w:lang w:val="en-US"/>
              </w:rPr>
            </w:pPr>
            <w:r w:rsidRPr="00821BBD">
              <w:rPr>
                <w:rFonts w:cs="Arial"/>
                <w:sz w:val="18"/>
                <w:szCs w:val="18"/>
                <w:lang w:val="en-US"/>
              </w:rPr>
              <w:t>FMA</w:t>
            </w:r>
            <w:r w:rsidR="006C139D">
              <w:rPr>
                <w:rFonts w:cs="Arial"/>
                <w:sz w:val="18"/>
                <w:szCs w:val="18"/>
                <w:lang w:val="en-US"/>
              </w:rPr>
              <w:t xml:space="preserve"> </w:t>
            </w:r>
            <w:proofErr w:type="spellStart"/>
            <w:r w:rsidR="006C139D">
              <w:rPr>
                <w:rFonts w:cs="Arial"/>
                <w:sz w:val="18"/>
                <w:szCs w:val="18"/>
                <w:lang w:val="en-US"/>
              </w:rPr>
              <w:t>C</w:t>
            </w:r>
            <w:r w:rsidR="00466E23" w:rsidRPr="00821BBD">
              <w:rPr>
                <w:rFonts w:cs="Arial"/>
                <w:sz w:val="18"/>
                <w:szCs w:val="18"/>
                <w:lang w:val="en-US"/>
              </w:rPr>
              <w:t>ommuncation</w:t>
            </w:r>
            <w:proofErr w:type="spellEnd"/>
            <w:r w:rsidRPr="00821BBD">
              <w:rPr>
                <w:rFonts w:cs="Arial"/>
                <w:sz w:val="18"/>
                <w:szCs w:val="18"/>
                <w:lang w:val="en-US"/>
              </w:rPr>
              <w:t xml:space="preserve"> 2019/</w:t>
            </w:r>
            <w:r w:rsidR="006C139D">
              <w:rPr>
                <w:rFonts w:cs="Arial"/>
                <w:sz w:val="18"/>
                <w:szCs w:val="18"/>
                <w:lang w:val="en-US"/>
              </w:rPr>
              <w:t>0</w:t>
            </w:r>
            <w:r w:rsidRPr="00821BBD">
              <w:rPr>
                <w:rFonts w:cs="Arial"/>
                <w:sz w:val="18"/>
                <w:szCs w:val="18"/>
                <w:lang w:val="en-US"/>
              </w:rPr>
              <w:t xml:space="preserve">3 </w:t>
            </w:r>
            <w:r w:rsidR="00466E23" w:rsidRPr="00821BBD">
              <w:rPr>
                <w:rFonts w:cs="Arial"/>
                <w:sz w:val="18"/>
                <w:szCs w:val="18"/>
                <w:lang w:val="en-US"/>
              </w:rPr>
              <w:t xml:space="preserve">regarding </w:t>
            </w:r>
            <w:r w:rsidR="00821BBD" w:rsidRPr="00821BBD">
              <w:rPr>
                <w:rFonts w:cs="Arial"/>
                <w:sz w:val="18"/>
                <w:szCs w:val="18"/>
                <w:lang w:val="en-US"/>
              </w:rPr>
              <w:t>resolution r</w:t>
            </w:r>
            <w:r w:rsidR="00821BBD">
              <w:rPr>
                <w:rFonts w:cs="Arial"/>
                <w:sz w:val="18"/>
                <w:szCs w:val="18"/>
                <w:lang w:val="en-US"/>
              </w:rPr>
              <w:t>eporting</w:t>
            </w:r>
          </w:p>
          <w:p w14:paraId="0019E00F" w14:textId="361B5824" w:rsidR="007D6216" w:rsidRPr="00821BBD" w:rsidRDefault="00F129D0" w:rsidP="00C37D08">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6E61B7" w:rsidRPr="00AC2079" w14:paraId="280AD4FE" w14:textId="77777777" w:rsidTr="00432521">
        <w:trPr>
          <w:trHeight w:val="294"/>
        </w:trPr>
        <w:tc>
          <w:tcPr>
            <w:tcW w:w="9218" w:type="dxa"/>
            <w:gridSpan w:val="6"/>
          </w:tcPr>
          <w:p w14:paraId="75B125FA" w14:textId="77777777" w:rsidR="006E61B7" w:rsidRPr="00821BBD" w:rsidRDefault="006E61B7" w:rsidP="006E61B7">
            <w:pPr>
              <w:jc w:val="both"/>
              <w:rPr>
                <w:rFonts w:ascii="Arial" w:hAnsi="Arial" w:cs="Arial"/>
                <w:sz w:val="18"/>
                <w:szCs w:val="18"/>
                <w:lang w:val="en-US"/>
              </w:rPr>
            </w:pPr>
          </w:p>
        </w:tc>
      </w:tr>
      <w:tr w:rsidR="00D06444" w:rsidRPr="00AC2079" w14:paraId="28F21F6A" w14:textId="77777777" w:rsidTr="00432521">
        <w:trPr>
          <w:trHeight w:val="294"/>
        </w:trPr>
        <w:tc>
          <w:tcPr>
            <w:tcW w:w="317" w:type="dxa"/>
          </w:tcPr>
          <w:p w14:paraId="30210765" w14:textId="3F15C3B8" w:rsidR="00D06444" w:rsidRPr="00B50531" w:rsidRDefault="00D06444" w:rsidP="00D06444">
            <w:pPr>
              <w:jc w:val="both"/>
              <w:rPr>
                <w:rFonts w:ascii="Arial" w:hAnsi="Arial" w:cs="Arial"/>
                <w:sz w:val="18"/>
                <w:szCs w:val="18"/>
                <w:lang w:val="en-US"/>
              </w:rPr>
            </w:pPr>
            <w:r w:rsidRPr="00B50531">
              <w:rPr>
                <w:rFonts w:ascii="Arial" w:hAnsi="Arial" w:cs="Arial"/>
                <w:sz w:val="18"/>
                <w:szCs w:val="18"/>
                <w:lang w:val="en-US"/>
              </w:rPr>
              <w:t>1</w:t>
            </w:r>
          </w:p>
        </w:tc>
        <w:tc>
          <w:tcPr>
            <w:tcW w:w="6520" w:type="dxa"/>
            <w:gridSpan w:val="4"/>
          </w:tcPr>
          <w:p w14:paraId="7E258D12" w14:textId="19445664" w:rsidR="00D06444" w:rsidRPr="00BE1712" w:rsidRDefault="00BE1712" w:rsidP="00D06444">
            <w:pPr>
              <w:jc w:val="both"/>
              <w:rPr>
                <w:rFonts w:ascii="Arial" w:hAnsi="Arial" w:cs="Arial"/>
                <w:sz w:val="18"/>
                <w:szCs w:val="18"/>
                <w:lang w:val="en-US"/>
              </w:rPr>
            </w:pPr>
            <w:r w:rsidRPr="00BE1712">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E1712">
              <w:rPr>
                <w:rFonts w:ascii="Arial" w:hAnsi="Arial" w:cs="Arial"/>
                <w:sz w:val="18"/>
                <w:szCs w:val="18"/>
                <w:lang w:val="en-US"/>
              </w:rPr>
              <w:t xml:space="preserve">ensure correct and complete reports in accordance with the </w:t>
            </w:r>
            <w:r>
              <w:rPr>
                <w:rFonts w:ascii="Arial" w:hAnsi="Arial" w:cs="Arial"/>
                <w:sz w:val="18"/>
                <w:szCs w:val="18"/>
                <w:lang w:val="en-US"/>
              </w:rPr>
              <w:t xml:space="preserve">Commission </w:t>
            </w:r>
            <w:r w:rsidRPr="00BE1712">
              <w:rPr>
                <w:rFonts w:ascii="Arial" w:hAnsi="Arial" w:cs="Arial"/>
                <w:sz w:val="18"/>
                <w:szCs w:val="18"/>
                <w:lang w:val="en-US"/>
              </w:rPr>
              <w:t>Implementing Regulation (EU) 2018/1624</w:t>
            </w:r>
          </w:p>
        </w:tc>
        <w:tc>
          <w:tcPr>
            <w:tcW w:w="2381" w:type="dxa"/>
          </w:tcPr>
          <w:p w14:paraId="032B2333" w14:textId="1F183C96" w:rsidR="00D06444" w:rsidRPr="00821BBD" w:rsidRDefault="00665CEC" w:rsidP="00D06444">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D06444" w:rsidRPr="00AC2079" w14:paraId="2E311B66" w14:textId="77777777" w:rsidTr="00432521">
        <w:trPr>
          <w:trHeight w:val="294"/>
        </w:trPr>
        <w:tc>
          <w:tcPr>
            <w:tcW w:w="317" w:type="dxa"/>
          </w:tcPr>
          <w:p w14:paraId="567E2E8D" w14:textId="41022EC7" w:rsidR="00D06444" w:rsidRPr="00B50531" w:rsidRDefault="00D06444" w:rsidP="00D06444">
            <w:pPr>
              <w:jc w:val="both"/>
              <w:rPr>
                <w:rFonts w:ascii="Arial" w:hAnsi="Arial" w:cs="Arial"/>
                <w:sz w:val="18"/>
                <w:szCs w:val="18"/>
                <w:lang w:val="en-US"/>
              </w:rPr>
            </w:pPr>
            <w:r w:rsidRPr="00B50531">
              <w:rPr>
                <w:rFonts w:ascii="Arial" w:hAnsi="Arial" w:cs="Arial"/>
                <w:sz w:val="18"/>
                <w:szCs w:val="18"/>
                <w:lang w:val="en-US"/>
              </w:rPr>
              <w:t>2</w:t>
            </w:r>
          </w:p>
        </w:tc>
        <w:tc>
          <w:tcPr>
            <w:tcW w:w="6520" w:type="dxa"/>
            <w:gridSpan w:val="4"/>
          </w:tcPr>
          <w:p w14:paraId="41CCC238" w14:textId="47D91F59" w:rsidR="00D06444" w:rsidRPr="00BE1712" w:rsidRDefault="00BE1712" w:rsidP="00D06444">
            <w:pPr>
              <w:jc w:val="both"/>
              <w:rPr>
                <w:rFonts w:ascii="Arial" w:hAnsi="Arial" w:cs="Arial"/>
                <w:sz w:val="18"/>
                <w:szCs w:val="18"/>
                <w:lang w:val="en-US"/>
              </w:rPr>
            </w:pPr>
            <w:r w:rsidRPr="00BE1712">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E1712">
              <w:rPr>
                <w:rFonts w:ascii="Arial" w:hAnsi="Arial" w:cs="Arial"/>
                <w:sz w:val="18"/>
                <w:szCs w:val="18"/>
                <w:lang w:val="en-US"/>
              </w:rPr>
              <w:t>ensure correct and complete reports in accordance with the</w:t>
            </w:r>
            <w:r w:rsidR="003D3B4D">
              <w:rPr>
                <w:rFonts w:ascii="Arial" w:hAnsi="Arial" w:cs="Arial"/>
                <w:sz w:val="18"/>
                <w:szCs w:val="18"/>
                <w:lang w:val="en-US"/>
              </w:rPr>
              <w:t xml:space="preserve"> Commission</w:t>
            </w:r>
            <w:r w:rsidRPr="00BE1712">
              <w:rPr>
                <w:rFonts w:ascii="Arial" w:hAnsi="Arial" w:cs="Arial"/>
                <w:sz w:val="18"/>
                <w:szCs w:val="18"/>
                <w:lang w:val="en-US"/>
              </w:rPr>
              <w:t xml:space="preserve"> Implementing Regulation (EU) 2021/763</w:t>
            </w:r>
          </w:p>
        </w:tc>
        <w:tc>
          <w:tcPr>
            <w:tcW w:w="2381" w:type="dxa"/>
          </w:tcPr>
          <w:p w14:paraId="6743C6DE" w14:textId="44BD90F4" w:rsidR="00D06444" w:rsidRPr="00821BBD" w:rsidRDefault="00665CEC" w:rsidP="00D06444">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910691" w:rsidRPr="00AC2079" w14:paraId="49E976C9" w14:textId="77777777" w:rsidTr="00432521">
        <w:trPr>
          <w:trHeight w:val="294"/>
        </w:trPr>
        <w:tc>
          <w:tcPr>
            <w:tcW w:w="317" w:type="dxa"/>
          </w:tcPr>
          <w:p w14:paraId="2BBAAD2A" w14:textId="1C7EE4F3" w:rsidR="00910691" w:rsidRPr="00B50531" w:rsidRDefault="00910691" w:rsidP="00D06444">
            <w:pPr>
              <w:jc w:val="both"/>
              <w:rPr>
                <w:rFonts w:ascii="Arial" w:hAnsi="Arial" w:cs="Arial"/>
                <w:sz w:val="18"/>
                <w:szCs w:val="18"/>
                <w:lang w:val="en-US"/>
              </w:rPr>
            </w:pPr>
            <w:r w:rsidRPr="00B50531">
              <w:rPr>
                <w:rFonts w:ascii="Arial" w:hAnsi="Arial" w:cs="Arial"/>
                <w:sz w:val="18"/>
                <w:szCs w:val="18"/>
                <w:lang w:val="en-US"/>
              </w:rPr>
              <w:t>3</w:t>
            </w:r>
          </w:p>
        </w:tc>
        <w:tc>
          <w:tcPr>
            <w:tcW w:w="6520" w:type="dxa"/>
            <w:gridSpan w:val="4"/>
          </w:tcPr>
          <w:p w14:paraId="3391E48C" w14:textId="2DBCC907" w:rsidR="00910691" w:rsidRPr="00BE1712" w:rsidRDefault="00BE1712" w:rsidP="00D06444">
            <w:pPr>
              <w:jc w:val="both"/>
              <w:rPr>
                <w:rFonts w:ascii="Arial" w:hAnsi="Arial" w:cs="Arial"/>
                <w:sz w:val="18"/>
                <w:szCs w:val="18"/>
                <w:lang w:val="en-US"/>
              </w:rPr>
            </w:pPr>
            <w:r w:rsidRPr="00BE1712">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E1712">
              <w:rPr>
                <w:rFonts w:ascii="Arial" w:hAnsi="Arial" w:cs="Arial"/>
                <w:sz w:val="18"/>
                <w:szCs w:val="18"/>
                <w:lang w:val="en-US"/>
              </w:rPr>
              <w:t>are in place to enable higher reporting frequencies if necessary</w:t>
            </w:r>
          </w:p>
        </w:tc>
        <w:tc>
          <w:tcPr>
            <w:tcW w:w="2381" w:type="dxa"/>
          </w:tcPr>
          <w:p w14:paraId="7EF9A2DA" w14:textId="269A1EF1" w:rsidR="00910691" w:rsidRPr="00821BBD" w:rsidRDefault="00665CEC" w:rsidP="00D06444">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5191F8EC" w14:textId="45D78BAD" w:rsidR="006E61B7" w:rsidRPr="00821BBD" w:rsidRDefault="006E61B7" w:rsidP="00985F22">
      <w:pPr>
        <w:pStyle w:val="FINMAGliederungEbene2"/>
        <w:numPr>
          <w:ilvl w:val="0"/>
          <w:numId w:val="0"/>
        </w:numPr>
        <w:rPr>
          <w:lang w:val="en-US"/>
        </w:rPr>
      </w:pPr>
    </w:p>
    <w:tbl>
      <w:tblPr>
        <w:tblStyle w:val="Tabellenraster"/>
        <w:tblW w:w="0" w:type="auto"/>
        <w:tblLayout w:type="fixed"/>
        <w:tblLook w:val="04A0" w:firstRow="1" w:lastRow="0" w:firstColumn="1" w:lastColumn="0" w:noHBand="0" w:noVBand="1"/>
      </w:tblPr>
      <w:tblGrid>
        <w:gridCol w:w="2655"/>
        <w:gridCol w:w="6549"/>
      </w:tblGrid>
      <w:tr w:rsidR="00406100" w:rsidRPr="00B50531" w14:paraId="7364B121"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2E088D41" w14:textId="675C37F5" w:rsidR="00406100" w:rsidRPr="00B50531" w:rsidRDefault="00B16D82" w:rsidP="00387D17">
            <w:pPr>
              <w:jc w:val="both"/>
              <w:rPr>
                <w:rFonts w:ascii="Arial" w:eastAsia="Arial" w:hAnsi="Arial" w:cs="Arial"/>
                <w:b/>
                <w:bCs/>
                <w:i/>
                <w:iCs/>
                <w:sz w:val="18"/>
                <w:szCs w:val="18"/>
                <w:lang w:val="en-US"/>
              </w:rPr>
            </w:pPr>
            <w:r>
              <w:rPr>
                <w:rFonts w:ascii="Arial" w:eastAsia="Arial" w:hAnsi="Arial" w:cs="Arial"/>
                <w:b/>
                <w:bCs/>
                <w:i/>
                <w:iCs/>
                <w:sz w:val="18"/>
                <w:szCs w:val="18"/>
                <w:lang w:val="en-US"/>
              </w:rPr>
              <w:t>Audit elements</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191FC8BD" w14:textId="6E2D863C" w:rsidR="00406100" w:rsidRPr="00B50531" w:rsidRDefault="00B16D82" w:rsidP="00387D17">
            <w:pPr>
              <w:jc w:val="both"/>
              <w:rPr>
                <w:rFonts w:ascii="Arial" w:eastAsia="Arial" w:hAnsi="Arial" w:cs="Arial"/>
                <w:b/>
                <w:bCs/>
                <w:i/>
                <w:iCs/>
                <w:sz w:val="18"/>
                <w:szCs w:val="18"/>
                <w:lang w:val="en-US"/>
              </w:rPr>
            </w:pPr>
            <w:r>
              <w:rPr>
                <w:rFonts w:ascii="Arial" w:eastAsia="Arial" w:hAnsi="Arial" w:cs="Arial"/>
                <w:b/>
                <w:bCs/>
                <w:i/>
                <w:iCs/>
                <w:sz w:val="18"/>
                <w:szCs w:val="18"/>
                <w:lang w:val="en-US"/>
              </w:rPr>
              <w:t>Minimum audit contents</w:t>
            </w:r>
            <w:r w:rsidR="0087018F">
              <w:rPr>
                <w:rFonts w:ascii="Arial" w:eastAsia="Arial" w:hAnsi="Arial" w:cs="Arial"/>
                <w:b/>
                <w:bCs/>
                <w:i/>
                <w:iCs/>
                <w:sz w:val="18"/>
                <w:szCs w:val="18"/>
                <w:lang w:val="en-US"/>
              </w:rPr>
              <w:t xml:space="preserve"> (“Sample”)</w:t>
            </w:r>
          </w:p>
        </w:tc>
      </w:tr>
      <w:tr w:rsidR="0030462C" w:rsidRPr="00AC2079" w14:paraId="50FEFB09"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487A29D" w14:textId="01A1CA96" w:rsidR="0030462C" w:rsidRPr="00B50531" w:rsidRDefault="00B16D82" w:rsidP="00387D17">
            <w:pPr>
              <w:jc w:val="both"/>
              <w:rPr>
                <w:rFonts w:ascii="Arial" w:eastAsia="Arial" w:hAnsi="Arial" w:cs="Arial"/>
                <w:i/>
                <w:iCs/>
                <w:sz w:val="18"/>
                <w:szCs w:val="18"/>
                <w:lang w:val="en-US"/>
              </w:rPr>
            </w:pPr>
            <w:r>
              <w:rPr>
                <w:rFonts w:ascii="Arial" w:eastAsia="Arial" w:hAnsi="Arial" w:cs="Arial"/>
                <w:i/>
                <w:iCs/>
                <w:sz w:val="18"/>
                <w:szCs w:val="18"/>
                <w:lang w:val="en-US"/>
              </w:rPr>
              <w:t xml:space="preserve">Internal </w:t>
            </w:r>
            <w:proofErr w:type="spellStart"/>
            <w:r>
              <w:rPr>
                <w:rFonts w:ascii="Arial" w:eastAsia="Arial" w:hAnsi="Arial" w:cs="Arial"/>
                <w:i/>
                <w:iCs/>
                <w:sz w:val="18"/>
                <w:szCs w:val="18"/>
                <w:lang w:val="en-US"/>
              </w:rPr>
              <w:t>organi</w:t>
            </w:r>
            <w:r w:rsidR="005702D6">
              <w:rPr>
                <w:rFonts w:ascii="Arial" w:eastAsia="Arial" w:hAnsi="Arial" w:cs="Arial"/>
                <w:i/>
                <w:iCs/>
                <w:sz w:val="18"/>
                <w:szCs w:val="18"/>
                <w:lang w:val="en-US"/>
              </w:rPr>
              <w:t>s</w:t>
            </w:r>
            <w:r>
              <w:rPr>
                <w:rFonts w:ascii="Arial" w:eastAsia="Arial" w:hAnsi="Arial" w:cs="Arial"/>
                <w:i/>
                <w:iCs/>
                <w:sz w:val="18"/>
                <w:szCs w:val="18"/>
                <w:lang w:val="en-US"/>
              </w:rPr>
              <w:t>ation</w:t>
            </w:r>
            <w:proofErr w:type="spellEnd"/>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7B96638" w14:textId="20F061D6" w:rsidR="00B16D82" w:rsidRDefault="00B16D82" w:rsidP="00B16D82">
            <w:pPr>
              <w:pStyle w:val="Listenabsatz"/>
              <w:numPr>
                <w:ilvl w:val="1"/>
                <w:numId w:val="10"/>
              </w:numPr>
              <w:spacing w:line="259" w:lineRule="auto"/>
              <w:jc w:val="both"/>
              <w:rPr>
                <w:rFonts w:cs="Arial"/>
                <w:i/>
                <w:iCs/>
                <w:sz w:val="18"/>
                <w:szCs w:val="18"/>
                <w:lang w:val="en-US"/>
              </w:rPr>
            </w:pPr>
            <w:r w:rsidRPr="00B16D82">
              <w:rPr>
                <w:rFonts w:cs="Arial"/>
                <w:i/>
                <w:iCs/>
                <w:sz w:val="18"/>
                <w:szCs w:val="18"/>
                <w:lang w:val="en-US"/>
              </w:rPr>
              <w:t xml:space="preserve">The internal </w:t>
            </w:r>
            <w:proofErr w:type="spellStart"/>
            <w:r w:rsidRPr="00B16D82">
              <w:rPr>
                <w:rFonts w:cs="Arial"/>
                <w:i/>
                <w:iCs/>
                <w:sz w:val="18"/>
                <w:szCs w:val="18"/>
                <w:lang w:val="en-US"/>
              </w:rPr>
              <w:t>organi</w:t>
            </w:r>
            <w:r w:rsidR="005702D6">
              <w:rPr>
                <w:rFonts w:cs="Arial"/>
                <w:i/>
                <w:iCs/>
                <w:sz w:val="18"/>
                <w:szCs w:val="18"/>
                <w:lang w:val="en-US"/>
              </w:rPr>
              <w:t>s</w:t>
            </w:r>
            <w:r w:rsidRPr="00B16D82">
              <w:rPr>
                <w:rFonts w:cs="Arial"/>
                <w:i/>
                <w:iCs/>
                <w:sz w:val="18"/>
                <w:szCs w:val="18"/>
                <w:lang w:val="en-US"/>
              </w:rPr>
              <w:t>ational</w:t>
            </w:r>
            <w:proofErr w:type="spellEnd"/>
            <w:r w:rsidRPr="00B16D82">
              <w:rPr>
                <w:rFonts w:cs="Arial"/>
                <w:i/>
                <w:iCs/>
                <w:sz w:val="18"/>
                <w:szCs w:val="18"/>
                <w:lang w:val="en-US"/>
              </w:rPr>
              <w:t xml:space="preserve"> structure (e.g. directives, technical, human and professional resources) en</w:t>
            </w:r>
            <w:r w:rsidR="009E1F85">
              <w:rPr>
                <w:rFonts w:cs="Arial"/>
                <w:i/>
                <w:iCs/>
                <w:sz w:val="18"/>
                <w:szCs w:val="18"/>
                <w:lang w:val="en-US"/>
              </w:rPr>
              <w:t>tails</w:t>
            </w:r>
            <w:r w:rsidRPr="00B16D82">
              <w:rPr>
                <w:rFonts w:cs="Arial"/>
                <w:i/>
                <w:iCs/>
                <w:sz w:val="18"/>
                <w:szCs w:val="18"/>
                <w:lang w:val="en-US"/>
              </w:rPr>
              <w:t xml:space="preserve"> procedures that ensure proper reportin</w:t>
            </w:r>
            <w:r>
              <w:rPr>
                <w:rFonts w:cs="Arial"/>
                <w:i/>
                <w:iCs/>
                <w:sz w:val="18"/>
                <w:szCs w:val="18"/>
                <w:lang w:val="en-US"/>
              </w:rPr>
              <w:t>g</w:t>
            </w:r>
          </w:p>
          <w:p w14:paraId="42765746" w14:textId="3DEB374B" w:rsidR="0030462C" w:rsidRPr="00B16D82" w:rsidRDefault="00B16D82" w:rsidP="00B16D82">
            <w:pPr>
              <w:pStyle w:val="Listenabsatz"/>
              <w:numPr>
                <w:ilvl w:val="1"/>
                <w:numId w:val="10"/>
              </w:numPr>
              <w:spacing w:line="259" w:lineRule="auto"/>
              <w:jc w:val="both"/>
              <w:rPr>
                <w:rFonts w:cs="Arial"/>
                <w:i/>
                <w:iCs/>
                <w:sz w:val="18"/>
                <w:szCs w:val="18"/>
                <w:lang w:val="en-US"/>
              </w:rPr>
            </w:pPr>
            <w:r w:rsidRPr="00B16D82">
              <w:rPr>
                <w:rFonts w:cs="Arial"/>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B16D82">
              <w:rPr>
                <w:rFonts w:cs="Arial"/>
                <w:i/>
                <w:iCs/>
                <w:sz w:val="18"/>
                <w:szCs w:val="18"/>
                <w:lang w:val="en-US"/>
              </w:rPr>
              <w:t>provide for clear responsibilities regarding the reports</w:t>
            </w:r>
          </w:p>
        </w:tc>
      </w:tr>
      <w:tr w:rsidR="00406100" w:rsidRPr="00AC2079" w14:paraId="25165E1D"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78EC4136" w14:textId="7EB6A95A" w:rsidR="00406100" w:rsidRPr="00B16D82" w:rsidRDefault="00B16D82" w:rsidP="00387D17">
            <w:pPr>
              <w:jc w:val="both"/>
              <w:rPr>
                <w:rFonts w:ascii="Arial" w:eastAsia="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2D3CCBF" w14:textId="525E0952" w:rsidR="00B16D82" w:rsidRPr="00B16D82" w:rsidRDefault="00B16D82" w:rsidP="00B16D82">
            <w:pPr>
              <w:pStyle w:val="Listenabsatz"/>
              <w:numPr>
                <w:ilvl w:val="1"/>
                <w:numId w:val="10"/>
              </w:numPr>
              <w:spacing w:line="259" w:lineRule="auto"/>
              <w:jc w:val="both"/>
              <w:rPr>
                <w:i/>
                <w:iCs/>
                <w:sz w:val="18"/>
                <w:szCs w:val="18"/>
                <w:lang w:val="en-US"/>
              </w:rPr>
            </w:pPr>
            <w:r w:rsidRPr="003F7FCB">
              <w:rPr>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B16D82">
              <w:rPr>
                <w:i/>
                <w:iCs/>
                <w:sz w:val="18"/>
                <w:szCs w:val="18"/>
                <w:lang w:val="en-US"/>
              </w:rPr>
              <w:t xml:space="preserve">ensure high data quality (e.g. through </w:t>
            </w:r>
            <w:r w:rsidR="003F7FCB">
              <w:rPr>
                <w:i/>
                <w:iCs/>
                <w:sz w:val="18"/>
                <w:szCs w:val="18"/>
                <w:lang w:val="en-US"/>
              </w:rPr>
              <w:t>four-eyes</w:t>
            </w:r>
            <w:r w:rsidR="003F7FCB" w:rsidRPr="006C43BA">
              <w:rPr>
                <w:i/>
                <w:iCs/>
                <w:sz w:val="18"/>
                <w:szCs w:val="18"/>
                <w:lang w:val="en-US"/>
              </w:rPr>
              <w:t xml:space="preserve"> </w:t>
            </w:r>
            <w:r w:rsidRPr="00B16D82">
              <w:rPr>
                <w:i/>
                <w:iCs/>
                <w:sz w:val="18"/>
                <w:szCs w:val="18"/>
                <w:lang w:val="en-US"/>
              </w:rPr>
              <w:t>principle during the creation and transmission process as well as regular validation) and the recording of all manual adjustments and checks carried out</w:t>
            </w:r>
          </w:p>
          <w:p w14:paraId="12627802" w14:textId="185CF471" w:rsidR="00B16D82" w:rsidRPr="00B16D82" w:rsidRDefault="00B16D82" w:rsidP="00B16D82">
            <w:pPr>
              <w:pStyle w:val="Listenabsatz"/>
              <w:numPr>
                <w:ilvl w:val="1"/>
                <w:numId w:val="10"/>
              </w:numPr>
              <w:spacing w:line="259" w:lineRule="auto"/>
              <w:jc w:val="both"/>
              <w:rPr>
                <w:i/>
                <w:iCs/>
                <w:sz w:val="18"/>
                <w:szCs w:val="18"/>
                <w:lang w:val="en-US"/>
              </w:rPr>
            </w:pPr>
            <w:r w:rsidRPr="00B16D82">
              <w:rPr>
                <w:i/>
                <w:iCs/>
                <w:sz w:val="18"/>
                <w:szCs w:val="18"/>
                <w:lang w:val="en-US"/>
              </w:rPr>
              <w:t>Data quality assurance controls for correct and complete reporting are defined</w:t>
            </w:r>
          </w:p>
          <w:p w14:paraId="5B27E8AF" w14:textId="012BB50C" w:rsidR="00406100" w:rsidRPr="00B16D82" w:rsidRDefault="00B16D82" w:rsidP="00B16D82">
            <w:pPr>
              <w:pStyle w:val="Listenabsatz"/>
              <w:numPr>
                <w:ilvl w:val="1"/>
                <w:numId w:val="10"/>
              </w:numPr>
              <w:spacing w:line="259" w:lineRule="auto"/>
              <w:jc w:val="both"/>
              <w:rPr>
                <w:rFonts w:cs="Arial"/>
                <w:i/>
                <w:sz w:val="18"/>
                <w:szCs w:val="18"/>
                <w:lang w:val="en-US"/>
              </w:rPr>
            </w:pPr>
            <w:r w:rsidRPr="003F7FCB">
              <w:rPr>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B16D82">
              <w:rPr>
                <w:i/>
                <w:iCs/>
                <w:sz w:val="18"/>
                <w:szCs w:val="18"/>
                <w:lang w:val="en-US"/>
              </w:rPr>
              <w:t>provide for a higher reporting frequency if necessary</w:t>
            </w:r>
            <w:r w:rsidR="009E1F85">
              <w:rPr>
                <w:i/>
                <w:iCs/>
                <w:sz w:val="18"/>
                <w:szCs w:val="18"/>
                <w:lang w:val="en-US"/>
              </w:rPr>
              <w:t xml:space="preserve"> and</w:t>
            </w:r>
            <w:r w:rsidRPr="00B16D82">
              <w:rPr>
                <w:i/>
                <w:iCs/>
                <w:sz w:val="18"/>
                <w:szCs w:val="18"/>
                <w:lang w:val="en-US"/>
              </w:rPr>
              <w:t xml:space="preserve"> which can be assessed as appropriate in the event of </w:t>
            </w:r>
            <w:r w:rsidR="009E1F85">
              <w:rPr>
                <w:i/>
                <w:iCs/>
                <w:sz w:val="18"/>
                <w:szCs w:val="18"/>
                <w:lang w:val="en-US"/>
              </w:rPr>
              <w:t>resolution</w:t>
            </w:r>
          </w:p>
        </w:tc>
      </w:tr>
    </w:tbl>
    <w:p w14:paraId="77A148A2" w14:textId="77777777" w:rsidR="00126962" w:rsidRPr="00B16D82" w:rsidRDefault="00126962" w:rsidP="00B56D96">
      <w:pPr>
        <w:pStyle w:val="FINMAGliederungEbene2"/>
        <w:numPr>
          <w:ilvl w:val="0"/>
          <w:numId w:val="0"/>
        </w:numPr>
        <w:ind w:left="576"/>
        <w:rPr>
          <w:lang w:val="en-US"/>
        </w:rPr>
      </w:pPr>
    </w:p>
    <w:p w14:paraId="6A8D6C6E" w14:textId="2D19FF70" w:rsidR="00983BE0" w:rsidRPr="00B50531" w:rsidRDefault="007643FD" w:rsidP="00C37D08">
      <w:pPr>
        <w:pStyle w:val="FINMAGliederungEbene2"/>
        <w:rPr>
          <w:lang w:val="en-US"/>
        </w:rPr>
      </w:pPr>
      <w:bookmarkStart w:id="22" w:name="_Toc145409740"/>
      <w:r>
        <w:rPr>
          <w:lang w:val="en-US"/>
        </w:rPr>
        <w:lastRenderedPageBreak/>
        <w:t>Disclosure</w:t>
      </w:r>
      <w:bookmarkEnd w:id="22"/>
    </w:p>
    <w:p w14:paraId="4E85A9ED" w14:textId="77777777" w:rsidR="00983BE0" w:rsidRPr="00B50531" w:rsidRDefault="00983BE0" w:rsidP="00983BE0">
      <w:pPr>
        <w:pStyle w:val="FINMAGliederungEbene2"/>
        <w:numPr>
          <w:ilvl w:val="0"/>
          <w:numId w:val="0"/>
        </w:numPr>
        <w:ind w:left="576"/>
        <w:rPr>
          <w:lang w:val="en-US"/>
        </w:rPr>
      </w:pPr>
    </w:p>
    <w:tbl>
      <w:tblPr>
        <w:tblStyle w:val="Tabellenraster"/>
        <w:tblW w:w="0" w:type="auto"/>
        <w:tblLook w:val="04A0" w:firstRow="1" w:lastRow="0" w:firstColumn="1" w:lastColumn="0" w:noHBand="0" w:noVBand="1"/>
      </w:tblPr>
      <w:tblGrid>
        <w:gridCol w:w="317"/>
        <w:gridCol w:w="1653"/>
        <w:gridCol w:w="2145"/>
        <w:gridCol w:w="1721"/>
        <w:gridCol w:w="680"/>
        <w:gridCol w:w="2702"/>
      </w:tblGrid>
      <w:tr w:rsidR="00126962" w:rsidRPr="00AC2079" w14:paraId="277B96C0" w14:textId="77777777" w:rsidTr="0049574D">
        <w:trPr>
          <w:trHeight w:val="563"/>
        </w:trPr>
        <w:tc>
          <w:tcPr>
            <w:tcW w:w="1970" w:type="dxa"/>
            <w:gridSpan w:val="2"/>
            <w:shd w:val="clear" w:color="auto" w:fill="DBE5F1" w:themeFill="accent1" w:themeFillTint="33"/>
          </w:tcPr>
          <w:p w14:paraId="78D4CD80" w14:textId="7E7AF337" w:rsidR="00126962" w:rsidRPr="00126962" w:rsidRDefault="00126962" w:rsidP="00126962">
            <w:pPr>
              <w:jc w:val="both"/>
              <w:rPr>
                <w:rFonts w:ascii="Arial" w:hAnsi="Arial" w:cs="Arial"/>
                <w:sz w:val="18"/>
                <w:szCs w:val="18"/>
              </w:rPr>
            </w:pPr>
            <w:r w:rsidRPr="00126962">
              <w:rPr>
                <w:rFonts w:ascii="Arial" w:hAnsi="Arial" w:cs="Arial"/>
                <w:sz w:val="18"/>
                <w:szCs w:val="18"/>
              </w:rPr>
              <w:t xml:space="preserve">Net </w:t>
            </w:r>
            <w:proofErr w:type="spellStart"/>
            <w:r w:rsidRPr="00126962">
              <w:rPr>
                <w:rFonts w:ascii="Arial" w:hAnsi="Arial" w:cs="Arial"/>
                <w:sz w:val="18"/>
                <w:szCs w:val="18"/>
              </w:rPr>
              <w:t>risk</w:t>
            </w:r>
            <w:proofErr w:type="spellEnd"/>
          </w:p>
        </w:tc>
        <w:tc>
          <w:tcPr>
            <w:tcW w:w="2145" w:type="dxa"/>
            <w:shd w:val="clear" w:color="auto" w:fill="DBE5F1" w:themeFill="accent1" w:themeFillTint="33"/>
          </w:tcPr>
          <w:p w14:paraId="16DC90A1" w14:textId="7A006D0B" w:rsidR="00126962" w:rsidRPr="00126962" w:rsidRDefault="00126962" w:rsidP="00126962">
            <w:pPr>
              <w:jc w:val="both"/>
              <w:rPr>
                <w:rFonts w:ascii="Arial" w:hAnsi="Arial" w:cs="Arial"/>
                <w:sz w:val="18"/>
                <w:szCs w:val="18"/>
              </w:rPr>
            </w:pPr>
            <w:r w:rsidRPr="00126962">
              <w:rPr>
                <w:rFonts w:ascii="Arial" w:hAnsi="Arial" w:cs="Arial"/>
                <w:sz w:val="18"/>
                <w:szCs w:val="18"/>
              </w:rPr>
              <w:t xml:space="preserve">Intervention </w:t>
            </w:r>
            <w:proofErr w:type="spellStart"/>
            <w:r w:rsidRPr="00126962">
              <w:rPr>
                <w:rFonts w:ascii="Arial" w:hAnsi="Arial" w:cs="Arial"/>
                <w:sz w:val="18"/>
                <w:szCs w:val="18"/>
              </w:rPr>
              <w:t>reporting</w:t>
            </w:r>
            <w:proofErr w:type="spellEnd"/>
            <w:r w:rsidRPr="00126962">
              <w:rPr>
                <w:rFonts w:ascii="Arial" w:hAnsi="Arial" w:cs="Arial"/>
                <w:sz w:val="18"/>
                <w:szCs w:val="18"/>
              </w:rPr>
              <w:t xml:space="preserve"> </w:t>
            </w:r>
            <w:proofErr w:type="spellStart"/>
            <w:r w:rsidRPr="00126962">
              <w:rPr>
                <w:rFonts w:ascii="Arial" w:hAnsi="Arial" w:cs="Arial"/>
                <w:sz w:val="18"/>
                <w:szCs w:val="18"/>
              </w:rPr>
              <w:t>period</w:t>
            </w:r>
            <w:proofErr w:type="spellEnd"/>
          </w:p>
        </w:tc>
        <w:tc>
          <w:tcPr>
            <w:tcW w:w="5103" w:type="dxa"/>
            <w:gridSpan w:val="3"/>
            <w:shd w:val="clear" w:color="auto" w:fill="DBE5F1" w:themeFill="accent1" w:themeFillTint="33"/>
          </w:tcPr>
          <w:p w14:paraId="26A51DF9" w14:textId="034B5E5F" w:rsidR="00126962" w:rsidRPr="00780FEC" w:rsidRDefault="008F6046" w:rsidP="00126962">
            <w:pPr>
              <w:jc w:val="both"/>
              <w:rPr>
                <w:rFonts w:ascii="Arial" w:hAnsi="Arial" w:cs="Arial"/>
                <w:sz w:val="18"/>
                <w:szCs w:val="18"/>
                <w:lang w:val="en-US"/>
              </w:rPr>
            </w:pPr>
            <w:r>
              <w:rPr>
                <w:rFonts w:ascii="Arial" w:hAnsi="Arial" w:cs="Arial"/>
                <w:sz w:val="18"/>
                <w:szCs w:val="18"/>
                <w:lang w:val="en-US"/>
              </w:rPr>
              <w:t>Indication of the year with the last intervention with the following audit depth (before the reporting year)</w:t>
            </w:r>
          </w:p>
        </w:tc>
      </w:tr>
      <w:tr w:rsidR="00126962" w:rsidRPr="00B50531" w14:paraId="112F4FE6" w14:textId="77777777" w:rsidTr="0049574D">
        <w:trPr>
          <w:trHeight w:val="698"/>
        </w:trPr>
        <w:tc>
          <w:tcPr>
            <w:tcW w:w="1970" w:type="dxa"/>
            <w:gridSpan w:val="2"/>
            <w:shd w:val="clear" w:color="auto" w:fill="DBE5F1" w:themeFill="accent1" w:themeFillTint="33"/>
          </w:tcPr>
          <w:p w14:paraId="4B530D8E" w14:textId="741E0E31" w:rsidR="00126962" w:rsidRPr="00432521" w:rsidRDefault="00126962" w:rsidP="00126962">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4C3BD734" w14:textId="4378B93B" w:rsidR="00126962" w:rsidRPr="00432521" w:rsidRDefault="00126962" w:rsidP="00126962">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2EBBBED5" w14:textId="4DF5A212" w:rsidR="00126962" w:rsidRPr="00126962" w:rsidRDefault="00126962" w:rsidP="00126962">
            <w:pPr>
              <w:jc w:val="both"/>
              <w:rPr>
                <w:rFonts w:ascii="Arial" w:hAnsi="Arial" w:cs="Arial"/>
                <w:sz w:val="18"/>
                <w:szCs w:val="18"/>
              </w:rPr>
            </w:pPr>
            <w:proofErr w:type="spellStart"/>
            <w:r w:rsidRPr="00126962">
              <w:rPr>
                <w:rFonts w:ascii="Arial" w:hAnsi="Arial" w:cs="Arial"/>
                <w:sz w:val="18"/>
                <w:szCs w:val="18"/>
              </w:rPr>
              <w:t>Detailed</w:t>
            </w:r>
            <w:proofErr w:type="spellEnd"/>
            <w:r w:rsidRPr="00126962">
              <w:rPr>
                <w:rFonts w:ascii="Arial" w:hAnsi="Arial" w:cs="Arial"/>
                <w:sz w:val="18"/>
                <w:szCs w:val="18"/>
              </w:rPr>
              <w:t xml:space="preserve"> </w:t>
            </w:r>
            <w:proofErr w:type="spellStart"/>
            <w:r w:rsidRPr="00126962">
              <w:rPr>
                <w:rFonts w:ascii="Arial" w:hAnsi="Arial" w:cs="Arial"/>
                <w:sz w:val="18"/>
                <w:szCs w:val="18"/>
              </w:rPr>
              <w:t>audit</w:t>
            </w:r>
            <w:proofErr w:type="spellEnd"/>
            <w:r w:rsidRPr="00126962">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2C032F03" w14:textId="2E15E559" w:rsidR="00126962" w:rsidRPr="00126962" w:rsidRDefault="00126962" w:rsidP="00126962">
            <w:pPr>
              <w:jc w:val="both"/>
              <w:rPr>
                <w:rFonts w:ascii="Arial" w:hAnsi="Arial" w:cs="Arial"/>
                <w:sz w:val="18"/>
                <w:szCs w:val="18"/>
              </w:rPr>
            </w:pPr>
            <w:proofErr w:type="spellStart"/>
            <w:r w:rsidRPr="00126962">
              <w:rPr>
                <w:rFonts w:ascii="Arial" w:hAnsi="Arial" w:cs="Arial"/>
                <w:sz w:val="18"/>
                <w:szCs w:val="18"/>
              </w:rPr>
              <w:t>critical</w:t>
            </w:r>
            <w:proofErr w:type="spellEnd"/>
            <w:r w:rsidRPr="00126962">
              <w:rPr>
                <w:rFonts w:ascii="Arial" w:hAnsi="Arial" w:cs="Arial"/>
                <w:sz w:val="18"/>
                <w:szCs w:val="18"/>
              </w:rPr>
              <w:t xml:space="preserve"> </w:t>
            </w:r>
            <w:proofErr w:type="spellStart"/>
            <w:r w:rsidRPr="00126962">
              <w:rPr>
                <w:rFonts w:ascii="Arial" w:hAnsi="Arial" w:cs="Arial"/>
                <w:sz w:val="18"/>
                <w:szCs w:val="18"/>
              </w:rPr>
              <w:t>assessment</w:t>
            </w:r>
            <w:proofErr w:type="spellEnd"/>
            <w:r w:rsidRPr="00126962">
              <w:rPr>
                <w:rFonts w:ascii="Arial" w:hAnsi="Arial" w:cs="Arial"/>
                <w:sz w:val="18"/>
                <w:szCs w:val="18"/>
              </w:rPr>
              <w:t xml:space="preserve">: </w:t>
            </w:r>
            <w:r w:rsidRPr="00432521">
              <w:rPr>
                <w:rFonts w:ascii="Arial" w:hAnsi="Arial" w:cs="Arial"/>
                <w:i/>
                <w:sz w:val="18"/>
                <w:szCs w:val="18"/>
                <w:highlight w:val="yellow"/>
                <w:lang w:val="en-US"/>
              </w:rPr>
              <w:t>year</w:t>
            </w:r>
          </w:p>
        </w:tc>
      </w:tr>
      <w:tr w:rsidR="00983BE0" w:rsidRPr="00AC2079" w14:paraId="49384DE4" w14:textId="77777777" w:rsidTr="0049574D">
        <w:trPr>
          <w:trHeight w:val="294"/>
        </w:trPr>
        <w:tc>
          <w:tcPr>
            <w:tcW w:w="9218" w:type="dxa"/>
            <w:gridSpan w:val="6"/>
            <w:shd w:val="clear" w:color="auto" w:fill="DBE5F1" w:themeFill="accent1" w:themeFillTint="33"/>
          </w:tcPr>
          <w:p w14:paraId="6355CCE3" w14:textId="77777777" w:rsidR="00126962" w:rsidRPr="00B50531" w:rsidRDefault="00126962" w:rsidP="00126962">
            <w:pPr>
              <w:jc w:val="both"/>
              <w:rPr>
                <w:rFonts w:ascii="Arial" w:hAnsi="Arial" w:cs="Arial"/>
                <w:i/>
                <w:sz w:val="18"/>
                <w:szCs w:val="18"/>
                <w:lang w:val="en-US"/>
              </w:rPr>
            </w:pPr>
            <w:r>
              <w:rPr>
                <w:rFonts w:ascii="Arial" w:hAnsi="Arial" w:cs="Arial"/>
                <w:i/>
                <w:sz w:val="18"/>
                <w:szCs w:val="18"/>
                <w:lang w:val="en-US"/>
              </w:rPr>
              <w:t>References (examples):</w:t>
            </w:r>
          </w:p>
          <w:p w14:paraId="7AD50A32" w14:textId="6977833D" w:rsidR="007D6216" w:rsidRPr="00B50531" w:rsidRDefault="007D6216" w:rsidP="00C37D08">
            <w:pPr>
              <w:pStyle w:val="Listenabsatz"/>
              <w:numPr>
                <w:ilvl w:val="0"/>
                <w:numId w:val="9"/>
              </w:numPr>
              <w:ind w:left="308"/>
              <w:jc w:val="both"/>
              <w:rPr>
                <w:rFonts w:cs="Arial"/>
                <w:sz w:val="18"/>
                <w:szCs w:val="18"/>
                <w:lang w:val="en-US"/>
              </w:rPr>
            </w:pPr>
            <w:r w:rsidRPr="00B50531">
              <w:rPr>
                <w:rFonts w:cs="Arial"/>
                <w:sz w:val="18"/>
                <w:szCs w:val="18"/>
                <w:lang w:val="en-US"/>
              </w:rPr>
              <w:t xml:space="preserve">Art. </w:t>
            </w:r>
            <w:r w:rsidR="00C52F59" w:rsidRPr="00B50531">
              <w:rPr>
                <w:rFonts w:cs="Arial"/>
                <w:sz w:val="18"/>
                <w:szCs w:val="18"/>
                <w:lang w:val="en-US"/>
              </w:rPr>
              <w:t>61</w:t>
            </w:r>
            <w:r w:rsidRPr="00B50531">
              <w:rPr>
                <w:rFonts w:cs="Arial"/>
                <w:sz w:val="18"/>
                <w:szCs w:val="18"/>
                <w:lang w:val="en-US"/>
              </w:rPr>
              <w:t xml:space="preserve"> </w:t>
            </w:r>
            <w:r w:rsidR="00347590">
              <w:rPr>
                <w:rFonts w:cs="Arial"/>
                <w:sz w:val="18"/>
                <w:szCs w:val="18"/>
                <w:lang w:val="en-US"/>
              </w:rPr>
              <w:t>SAG</w:t>
            </w:r>
          </w:p>
          <w:p w14:paraId="03DCD086" w14:textId="28F2AB41" w:rsidR="00983BE0" w:rsidRPr="00E8775E" w:rsidRDefault="0000407C" w:rsidP="00E8775E">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FA0410">
              <w:rPr>
                <w:rFonts w:cs="Arial"/>
                <w:sz w:val="18"/>
                <w:szCs w:val="18"/>
                <w:lang w:val="en-US"/>
              </w:rPr>
              <w:t>Implementing Regulation</w:t>
            </w:r>
            <w:r w:rsidR="00126962" w:rsidRPr="00E8775E">
              <w:rPr>
                <w:rFonts w:cs="Arial"/>
                <w:sz w:val="18"/>
                <w:szCs w:val="18"/>
                <w:lang w:val="en-US"/>
              </w:rPr>
              <w:t xml:space="preserve"> (EU) 2021/763</w:t>
            </w:r>
            <w:r w:rsidR="00665CEC" w:rsidRPr="00E8775E">
              <w:rPr>
                <w:rFonts w:cs="Arial"/>
                <w:sz w:val="18"/>
                <w:szCs w:val="18"/>
                <w:lang w:val="en-US"/>
              </w:rPr>
              <w:t xml:space="preserve"> </w:t>
            </w:r>
            <w:r w:rsidR="00665CEC" w:rsidRPr="00C22133">
              <w:rPr>
                <w:rFonts w:cs="Arial"/>
                <w:sz w:val="18"/>
                <w:szCs w:val="18"/>
                <w:lang w:val="en-US"/>
              </w:rPr>
              <w:t>with regard to procedures and standard forms and templates for the provision of information for the purposes of resolution plans for credit institutions and investment firms</w:t>
            </w:r>
          </w:p>
        </w:tc>
      </w:tr>
      <w:tr w:rsidR="00250DF9" w:rsidRPr="00AC2079" w14:paraId="3ED0B4E8" w14:textId="77777777" w:rsidTr="0049574D">
        <w:trPr>
          <w:trHeight w:val="294"/>
        </w:trPr>
        <w:tc>
          <w:tcPr>
            <w:tcW w:w="9218" w:type="dxa"/>
            <w:gridSpan w:val="6"/>
            <w:shd w:val="clear" w:color="auto" w:fill="FFFFFF" w:themeFill="background1"/>
          </w:tcPr>
          <w:p w14:paraId="6275086A" w14:textId="77777777" w:rsidR="00250DF9" w:rsidRPr="00E8775E" w:rsidRDefault="00250DF9" w:rsidP="007D6216">
            <w:pPr>
              <w:jc w:val="both"/>
              <w:rPr>
                <w:rFonts w:ascii="Arial" w:hAnsi="Arial" w:cs="Arial"/>
                <w:i/>
                <w:sz w:val="18"/>
                <w:szCs w:val="18"/>
                <w:lang w:val="en-US"/>
              </w:rPr>
            </w:pPr>
          </w:p>
        </w:tc>
      </w:tr>
      <w:tr w:rsidR="002A187E" w:rsidRPr="00AC2079" w14:paraId="726D4636" w14:textId="77777777" w:rsidTr="0049574D">
        <w:trPr>
          <w:trHeight w:val="294"/>
        </w:trPr>
        <w:tc>
          <w:tcPr>
            <w:tcW w:w="317" w:type="dxa"/>
            <w:shd w:val="clear" w:color="auto" w:fill="FFFFFF" w:themeFill="background1"/>
          </w:tcPr>
          <w:p w14:paraId="2C043BD8" w14:textId="0661CC13" w:rsidR="002A187E" w:rsidRPr="00B50531" w:rsidRDefault="0049574D" w:rsidP="007D6216">
            <w:pPr>
              <w:jc w:val="both"/>
              <w:rPr>
                <w:rFonts w:ascii="Arial" w:hAnsi="Arial" w:cs="Arial"/>
                <w:sz w:val="18"/>
                <w:szCs w:val="18"/>
                <w:lang w:val="en-US"/>
              </w:rPr>
            </w:pPr>
            <w:r w:rsidRPr="00B50531">
              <w:rPr>
                <w:rFonts w:ascii="Arial" w:hAnsi="Arial" w:cs="Arial"/>
                <w:sz w:val="18"/>
                <w:szCs w:val="18"/>
                <w:lang w:val="en-US"/>
              </w:rPr>
              <w:t>1</w:t>
            </w:r>
          </w:p>
        </w:tc>
        <w:tc>
          <w:tcPr>
            <w:tcW w:w="6199" w:type="dxa"/>
            <w:gridSpan w:val="4"/>
            <w:shd w:val="clear" w:color="auto" w:fill="FFFFFF" w:themeFill="background1"/>
          </w:tcPr>
          <w:p w14:paraId="39788644" w14:textId="5228D8CF" w:rsidR="002A187E" w:rsidRPr="00126962" w:rsidRDefault="00126962" w:rsidP="00126962">
            <w:pPr>
              <w:jc w:val="both"/>
              <w:rPr>
                <w:rFonts w:ascii="Arial" w:hAnsi="Arial" w:cs="Arial"/>
                <w:sz w:val="18"/>
                <w:szCs w:val="18"/>
                <w:lang w:val="en-US"/>
              </w:rPr>
            </w:pPr>
            <w:r w:rsidRPr="00126962">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126962">
              <w:rPr>
                <w:rFonts w:ascii="Arial" w:hAnsi="Arial" w:cs="Arial"/>
                <w:sz w:val="18"/>
                <w:szCs w:val="18"/>
                <w:lang w:val="en-US"/>
              </w:rPr>
              <w:t xml:space="preserve">ensure correct and complete disclosure in accordance with Art. 61 </w:t>
            </w:r>
            <w:r w:rsidR="00347590">
              <w:rPr>
                <w:rFonts w:ascii="Arial" w:hAnsi="Arial" w:cs="Arial"/>
                <w:sz w:val="18"/>
                <w:szCs w:val="18"/>
                <w:lang w:val="en-US"/>
              </w:rPr>
              <w:t>SAG</w:t>
            </w:r>
            <w:r w:rsidRPr="00126962">
              <w:rPr>
                <w:rFonts w:ascii="Arial" w:hAnsi="Arial" w:cs="Arial"/>
                <w:sz w:val="18"/>
                <w:szCs w:val="18"/>
                <w:lang w:val="en-US"/>
              </w:rPr>
              <w:t xml:space="preserve"> and Title II of the </w:t>
            </w:r>
            <w:r>
              <w:rPr>
                <w:rFonts w:ascii="Arial" w:hAnsi="Arial" w:cs="Arial"/>
                <w:sz w:val="18"/>
                <w:szCs w:val="18"/>
                <w:lang w:val="en-US"/>
              </w:rPr>
              <w:t xml:space="preserve">Commission </w:t>
            </w:r>
            <w:r w:rsidRPr="00126962">
              <w:rPr>
                <w:rFonts w:ascii="Arial" w:hAnsi="Arial" w:cs="Arial"/>
                <w:sz w:val="18"/>
                <w:szCs w:val="18"/>
                <w:lang w:val="en-US"/>
              </w:rPr>
              <w:t>Implementing Regulation (EU) 2021/763.</w:t>
            </w:r>
          </w:p>
        </w:tc>
        <w:tc>
          <w:tcPr>
            <w:tcW w:w="2702" w:type="dxa"/>
            <w:shd w:val="clear" w:color="auto" w:fill="FFFFFF" w:themeFill="background1"/>
          </w:tcPr>
          <w:p w14:paraId="5657693E" w14:textId="099330A1" w:rsidR="002A187E" w:rsidRPr="00126962" w:rsidRDefault="00126962" w:rsidP="007D6216">
            <w:pPr>
              <w:jc w:val="both"/>
              <w:rPr>
                <w:rFonts w:ascii="Arial" w:hAnsi="Arial" w:cs="Arial"/>
                <w:i/>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w:t>
            </w:r>
            <w:r w:rsidR="009E1F85">
              <w:rPr>
                <w:rFonts w:ascii="Arial" w:hAnsi="Arial" w:cs="Arial"/>
                <w:i/>
                <w:sz w:val="18"/>
                <w:szCs w:val="18"/>
                <w:highlight w:val="yellow"/>
                <w:lang w:val="en-US"/>
              </w:rPr>
              <w:t xml:space="preserve"> N</w:t>
            </w:r>
            <w:r>
              <w:rPr>
                <w:rFonts w:ascii="Arial" w:hAnsi="Arial" w:cs="Arial"/>
                <w:i/>
                <w:sz w:val="18"/>
                <w:szCs w:val="18"/>
                <w:highlight w:val="yellow"/>
                <w:lang w:val="en-US"/>
              </w:rPr>
              <w:t>o</w:t>
            </w:r>
          </w:p>
        </w:tc>
      </w:tr>
    </w:tbl>
    <w:p w14:paraId="0A97EA48" w14:textId="77777777" w:rsidR="00DD04AA" w:rsidRPr="00126962" w:rsidRDefault="00DD04AA" w:rsidP="00983BE0">
      <w:pPr>
        <w:rPr>
          <w:lang w:val="en-US"/>
        </w:rPr>
      </w:pPr>
    </w:p>
    <w:tbl>
      <w:tblPr>
        <w:tblStyle w:val="Tabellenraster"/>
        <w:tblW w:w="0" w:type="auto"/>
        <w:tblLayout w:type="fixed"/>
        <w:tblLook w:val="04A0" w:firstRow="1" w:lastRow="0" w:firstColumn="1" w:lastColumn="0" w:noHBand="0" w:noVBand="1"/>
      </w:tblPr>
      <w:tblGrid>
        <w:gridCol w:w="2655"/>
        <w:gridCol w:w="6549"/>
      </w:tblGrid>
      <w:tr w:rsidR="00DD04AA" w:rsidRPr="00B50531" w14:paraId="745C45A0"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078424C0" w14:textId="4B2C81F2" w:rsidR="00DD04AA" w:rsidRPr="00B50531" w:rsidRDefault="00126962">
            <w:pPr>
              <w:jc w:val="both"/>
              <w:rPr>
                <w:rFonts w:ascii="Arial" w:eastAsia="Arial" w:hAnsi="Arial" w:cs="Arial"/>
                <w:b/>
                <w:bCs/>
                <w:i/>
                <w:iCs/>
                <w:sz w:val="18"/>
                <w:szCs w:val="18"/>
                <w:lang w:val="en-US"/>
              </w:rPr>
            </w:pPr>
            <w:r>
              <w:rPr>
                <w:rFonts w:ascii="Arial" w:eastAsia="Arial" w:hAnsi="Arial" w:cs="Arial"/>
                <w:b/>
                <w:bCs/>
                <w:i/>
                <w:iCs/>
                <w:sz w:val="18"/>
                <w:szCs w:val="18"/>
                <w:lang w:val="en-US"/>
              </w:rPr>
              <w:t>Audit elements</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73829A09" w14:textId="3DB278CD" w:rsidR="00DD04AA" w:rsidRPr="00B50531" w:rsidRDefault="00126962">
            <w:pPr>
              <w:jc w:val="both"/>
              <w:rPr>
                <w:rFonts w:ascii="Arial" w:eastAsia="Arial" w:hAnsi="Arial" w:cs="Arial"/>
                <w:b/>
                <w:bCs/>
                <w:i/>
                <w:iCs/>
                <w:sz w:val="18"/>
                <w:szCs w:val="18"/>
                <w:lang w:val="en-US"/>
              </w:rPr>
            </w:pPr>
            <w:r>
              <w:rPr>
                <w:rFonts w:ascii="Arial" w:eastAsia="Arial" w:hAnsi="Arial" w:cs="Arial"/>
                <w:b/>
                <w:bCs/>
                <w:i/>
                <w:iCs/>
                <w:sz w:val="18"/>
                <w:szCs w:val="18"/>
                <w:lang w:val="en-US"/>
              </w:rPr>
              <w:t>Minimu</w:t>
            </w:r>
            <w:r w:rsidR="00780FEC">
              <w:rPr>
                <w:rFonts w:ascii="Arial" w:eastAsia="Arial" w:hAnsi="Arial" w:cs="Arial"/>
                <w:b/>
                <w:bCs/>
                <w:i/>
                <w:iCs/>
                <w:sz w:val="18"/>
                <w:szCs w:val="18"/>
                <w:lang w:val="en-US"/>
              </w:rPr>
              <w:t>m</w:t>
            </w:r>
            <w:r>
              <w:rPr>
                <w:rFonts w:ascii="Arial" w:eastAsia="Arial" w:hAnsi="Arial" w:cs="Arial"/>
                <w:b/>
                <w:bCs/>
                <w:i/>
                <w:iCs/>
                <w:sz w:val="18"/>
                <w:szCs w:val="18"/>
                <w:lang w:val="en-US"/>
              </w:rPr>
              <w:t xml:space="preserve"> audit contents</w:t>
            </w:r>
            <w:r w:rsidR="0087018F">
              <w:rPr>
                <w:rFonts w:ascii="Arial" w:eastAsia="Arial" w:hAnsi="Arial" w:cs="Arial"/>
                <w:b/>
                <w:bCs/>
                <w:i/>
                <w:iCs/>
                <w:sz w:val="18"/>
                <w:szCs w:val="18"/>
                <w:lang w:val="en-US"/>
              </w:rPr>
              <w:t xml:space="preserve"> (“Sample”)</w:t>
            </w:r>
          </w:p>
        </w:tc>
      </w:tr>
      <w:tr w:rsidR="00DD04AA" w:rsidRPr="00AC2079" w14:paraId="323CB6CC"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12E7FCCB" w14:textId="6EBD3367" w:rsidR="00DD04AA" w:rsidRPr="00B50531" w:rsidRDefault="00126962">
            <w:pPr>
              <w:jc w:val="both"/>
              <w:rPr>
                <w:rFonts w:ascii="Arial" w:eastAsia="Arial" w:hAnsi="Arial" w:cs="Arial"/>
                <w:i/>
                <w:iCs/>
                <w:sz w:val="18"/>
                <w:szCs w:val="18"/>
                <w:lang w:val="en-US"/>
              </w:rPr>
            </w:pPr>
            <w:r>
              <w:rPr>
                <w:rFonts w:ascii="Arial" w:eastAsia="Arial" w:hAnsi="Arial" w:cs="Arial"/>
                <w:i/>
                <w:iCs/>
                <w:sz w:val="18"/>
                <w:szCs w:val="18"/>
                <w:lang w:val="en-US"/>
              </w:rPr>
              <w:t xml:space="preserve">Internal </w:t>
            </w:r>
            <w:proofErr w:type="spellStart"/>
            <w:r>
              <w:rPr>
                <w:rFonts w:ascii="Arial" w:eastAsia="Arial" w:hAnsi="Arial" w:cs="Arial"/>
                <w:i/>
                <w:iCs/>
                <w:sz w:val="18"/>
                <w:szCs w:val="18"/>
                <w:lang w:val="en-US"/>
              </w:rPr>
              <w:t>organi</w:t>
            </w:r>
            <w:r w:rsidR="009E1F85">
              <w:rPr>
                <w:rFonts w:ascii="Arial" w:eastAsia="Arial" w:hAnsi="Arial" w:cs="Arial"/>
                <w:i/>
                <w:iCs/>
                <w:sz w:val="18"/>
                <w:szCs w:val="18"/>
                <w:lang w:val="en-US"/>
              </w:rPr>
              <w:t>s</w:t>
            </w:r>
            <w:r>
              <w:rPr>
                <w:rFonts w:ascii="Arial" w:eastAsia="Arial" w:hAnsi="Arial" w:cs="Arial"/>
                <w:i/>
                <w:iCs/>
                <w:sz w:val="18"/>
                <w:szCs w:val="18"/>
                <w:lang w:val="en-US"/>
              </w:rPr>
              <w:t>ation</w:t>
            </w:r>
            <w:proofErr w:type="spellEnd"/>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33B48462" w14:textId="1CAF2A90" w:rsidR="00126962" w:rsidRPr="00126962" w:rsidRDefault="00126962" w:rsidP="00126962">
            <w:pPr>
              <w:pStyle w:val="Listenabsatz"/>
              <w:numPr>
                <w:ilvl w:val="1"/>
                <w:numId w:val="12"/>
              </w:numPr>
              <w:spacing w:line="259" w:lineRule="auto"/>
              <w:ind w:left="317" w:hanging="283"/>
              <w:jc w:val="both"/>
              <w:rPr>
                <w:rFonts w:cs="Arial"/>
                <w:i/>
                <w:sz w:val="18"/>
                <w:szCs w:val="18"/>
                <w:lang w:val="en"/>
              </w:rPr>
            </w:pPr>
            <w:r w:rsidRPr="00126962">
              <w:rPr>
                <w:rFonts w:cs="Arial"/>
                <w:i/>
                <w:sz w:val="18"/>
                <w:szCs w:val="18"/>
                <w:lang w:val="en"/>
              </w:rPr>
              <w:t xml:space="preserve">The internal </w:t>
            </w:r>
            <w:proofErr w:type="spellStart"/>
            <w:r w:rsidRPr="00126962">
              <w:rPr>
                <w:rFonts w:cs="Arial"/>
                <w:i/>
                <w:sz w:val="18"/>
                <w:szCs w:val="18"/>
                <w:lang w:val="en"/>
              </w:rPr>
              <w:t>organi</w:t>
            </w:r>
            <w:r w:rsidR="009E1F85">
              <w:rPr>
                <w:rFonts w:cs="Arial"/>
                <w:i/>
                <w:sz w:val="18"/>
                <w:szCs w:val="18"/>
                <w:lang w:val="en"/>
              </w:rPr>
              <w:t>s</w:t>
            </w:r>
            <w:r w:rsidRPr="00126962">
              <w:rPr>
                <w:rFonts w:cs="Arial"/>
                <w:i/>
                <w:sz w:val="18"/>
                <w:szCs w:val="18"/>
                <w:lang w:val="en"/>
              </w:rPr>
              <w:t>ational</w:t>
            </w:r>
            <w:proofErr w:type="spellEnd"/>
            <w:r w:rsidRPr="00126962">
              <w:rPr>
                <w:rFonts w:cs="Arial"/>
                <w:i/>
                <w:sz w:val="18"/>
                <w:szCs w:val="18"/>
                <w:lang w:val="en"/>
              </w:rPr>
              <w:t xml:space="preserve"> structure (e.g. directives, technical, human and professional resources) en</w:t>
            </w:r>
            <w:r w:rsidR="009E1F85">
              <w:rPr>
                <w:rFonts w:cs="Arial"/>
                <w:i/>
                <w:sz w:val="18"/>
                <w:szCs w:val="18"/>
                <w:lang w:val="en"/>
              </w:rPr>
              <w:t xml:space="preserve">tails procedures </w:t>
            </w:r>
            <w:r w:rsidRPr="00126962">
              <w:rPr>
                <w:rFonts w:cs="Arial"/>
                <w:i/>
                <w:sz w:val="18"/>
                <w:szCs w:val="18"/>
                <w:lang w:val="en"/>
              </w:rPr>
              <w:t>that ensure proper disclosure</w:t>
            </w:r>
          </w:p>
          <w:p w14:paraId="04B516EA" w14:textId="51636E96" w:rsidR="00DD04AA" w:rsidRPr="00126962" w:rsidRDefault="00126962" w:rsidP="00126962">
            <w:pPr>
              <w:pStyle w:val="Listenabsatz"/>
              <w:numPr>
                <w:ilvl w:val="1"/>
                <w:numId w:val="12"/>
              </w:numPr>
              <w:spacing w:line="259" w:lineRule="auto"/>
              <w:ind w:left="317" w:hanging="283"/>
              <w:jc w:val="both"/>
              <w:rPr>
                <w:rFonts w:cs="Arial"/>
                <w:i/>
                <w:sz w:val="18"/>
                <w:szCs w:val="18"/>
                <w:lang w:val="en-US"/>
              </w:rPr>
            </w:pPr>
            <w:r w:rsidRPr="003F7FCB">
              <w:rPr>
                <w:rFonts w:cs="Arial"/>
                <w:i/>
                <w:sz w:val="18"/>
                <w:szCs w:val="18"/>
                <w:lang w:val="en"/>
              </w:rPr>
              <w:t xml:space="preserve">The </w:t>
            </w:r>
            <w:r w:rsidR="003F7FCB" w:rsidRPr="002E6B46">
              <w:rPr>
                <w:rFonts w:cs="Arial"/>
                <w:i/>
                <w:sz w:val="18"/>
                <w:szCs w:val="18"/>
                <w:lang w:val="en-US"/>
              </w:rPr>
              <w:t>internal procedures</w:t>
            </w:r>
            <w:r w:rsidR="003F7FCB" w:rsidRPr="00DD5261">
              <w:rPr>
                <w:rFonts w:cs="Arial"/>
                <w:sz w:val="18"/>
                <w:szCs w:val="18"/>
                <w:lang w:val="en-US"/>
              </w:rPr>
              <w:t xml:space="preserve"> </w:t>
            </w:r>
            <w:r w:rsidRPr="00126962">
              <w:rPr>
                <w:rFonts w:cs="Arial"/>
                <w:i/>
                <w:sz w:val="18"/>
                <w:szCs w:val="18"/>
                <w:lang w:val="en"/>
              </w:rPr>
              <w:t>define clear responsibilities regarding disclosure</w:t>
            </w:r>
          </w:p>
        </w:tc>
      </w:tr>
      <w:tr w:rsidR="00DD04AA" w:rsidRPr="00AC2079" w14:paraId="39ABBC5F"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5E3D74E4" w14:textId="614216B8" w:rsidR="00DD04AA" w:rsidRPr="00126962" w:rsidRDefault="00126962">
            <w:pPr>
              <w:jc w:val="both"/>
              <w:rPr>
                <w:rFonts w:ascii="Arial" w:eastAsia="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1E899F4A" w14:textId="17B6E4A8" w:rsidR="00126962" w:rsidRPr="00126962" w:rsidRDefault="00126962" w:rsidP="00126962">
            <w:pPr>
              <w:pStyle w:val="Listenabsatz"/>
              <w:numPr>
                <w:ilvl w:val="1"/>
                <w:numId w:val="12"/>
              </w:numPr>
              <w:spacing w:line="259" w:lineRule="auto"/>
              <w:ind w:left="317" w:hanging="283"/>
              <w:jc w:val="both"/>
              <w:rPr>
                <w:rFonts w:cs="Arial"/>
                <w:i/>
                <w:sz w:val="18"/>
                <w:szCs w:val="18"/>
                <w:lang w:val="en"/>
              </w:rPr>
            </w:pPr>
            <w:r w:rsidRPr="003F7FCB">
              <w:rPr>
                <w:rFonts w:cs="Arial"/>
                <w:i/>
                <w:sz w:val="18"/>
                <w:szCs w:val="18"/>
                <w:lang w:val="en"/>
              </w:rPr>
              <w:t xml:space="preserve">The </w:t>
            </w:r>
            <w:r w:rsidR="003F7FCB" w:rsidRPr="002E6B46">
              <w:rPr>
                <w:rFonts w:cs="Arial"/>
                <w:i/>
                <w:sz w:val="18"/>
                <w:szCs w:val="18"/>
                <w:lang w:val="en-US"/>
              </w:rPr>
              <w:t>internal procedures</w:t>
            </w:r>
            <w:r w:rsidR="003F7FCB" w:rsidRPr="00DD5261">
              <w:rPr>
                <w:rFonts w:cs="Arial"/>
                <w:sz w:val="18"/>
                <w:szCs w:val="18"/>
                <w:lang w:val="en-US"/>
              </w:rPr>
              <w:t xml:space="preserve"> </w:t>
            </w:r>
            <w:r w:rsidRPr="00126962">
              <w:rPr>
                <w:rFonts w:cs="Arial"/>
                <w:i/>
                <w:sz w:val="18"/>
                <w:szCs w:val="18"/>
                <w:lang w:val="en"/>
              </w:rPr>
              <w:t>provide for appropriate data quality assurance controls for correct and complete disclosure</w:t>
            </w:r>
          </w:p>
          <w:p w14:paraId="63010863" w14:textId="37C5177F" w:rsidR="00DD04AA" w:rsidRPr="00126962" w:rsidRDefault="00126962" w:rsidP="00126962">
            <w:pPr>
              <w:pStyle w:val="Listenabsatz"/>
              <w:numPr>
                <w:ilvl w:val="1"/>
                <w:numId w:val="12"/>
              </w:numPr>
              <w:spacing w:line="259" w:lineRule="auto"/>
              <w:ind w:left="317" w:hanging="283"/>
              <w:jc w:val="both"/>
              <w:rPr>
                <w:rFonts w:cs="Arial"/>
                <w:i/>
                <w:sz w:val="18"/>
                <w:szCs w:val="18"/>
                <w:lang w:val="en-US"/>
              </w:rPr>
            </w:pPr>
            <w:r w:rsidRPr="00126962">
              <w:rPr>
                <w:rFonts w:cs="Arial"/>
                <w:i/>
                <w:sz w:val="18"/>
                <w:szCs w:val="18"/>
                <w:lang w:val="en"/>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126962">
              <w:rPr>
                <w:rFonts w:cs="Arial"/>
                <w:i/>
                <w:sz w:val="18"/>
                <w:szCs w:val="18"/>
                <w:lang w:val="en"/>
              </w:rPr>
              <w:t xml:space="preserve">provide for the use of the </w:t>
            </w:r>
            <w:r w:rsidR="003F7FCB">
              <w:rPr>
                <w:i/>
                <w:iCs/>
                <w:sz w:val="18"/>
                <w:szCs w:val="18"/>
                <w:lang w:val="en-US"/>
              </w:rPr>
              <w:t>four-eyes</w:t>
            </w:r>
            <w:r w:rsidR="003F7FCB" w:rsidRPr="006C43BA">
              <w:rPr>
                <w:i/>
                <w:iCs/>
                <w:sz w:val="18"/>
                <w:szCs w:val="18"/>
                <w:lang w:val="en-US"/>
              </w:rPr>
              <w:t xml:space="preserve"> principle</w:t>
            </w:r>
            <w:r w:rsidRPr="00126962">
              <w:rPr>
                <w:rFonts w:cs="Arial"/>
                <w:i/>
                <w:sz w:val="18"/>
                <w:szCs w:val="18"/>
                <w:lang w:val="en"/>
              </w:rPr>
              <w:t xml:space="preserve"> and the separation of functions for key controls</w:t>
            </w:r>
          </w:p>
        </w:tc>
      </w:tr>
    </w:tbl>
    <w:p w14:paraId="2210B3CB" w14:textId="0C792418" w:rsidR="00D71278" w:rsidRPr="00126962" w:rsidRDefault="00983BE0">
      <w:pPr>
        <w:rPr>
          <w:rFonts w:ascii="Arial" w:hAnsi="Arial" w:cs="Arial"/>
          <w:sz w:val="20"/>
          <w:szCs w:val="20"/>
          <w:lang w:val="en-US"/>
        </w:rPr>
      </w:pPr>
      <w:r w:rsidRPr="00126962">
        <w:rPr>
          <w:lang w:val="en-US"/>
        </w:rPr>
        <w:br/>
      </w:r>
      <w:r w:rsidR="00D71278" w:rsidRPr="00126962">
        <w:rPr>
          <w:rFonts w:ascii="Arial" w:hAnsi="Arial" w:cs="Arial"/>
          <w:sz w:val="20"/>
          <w:szCs w:val="20"/>
          <w:lang w:val="en-US"/>
        </w:rPr>
        <w:br w:type="page"/>
      </w:r>
    </w:p>
    <w:p w14:paraId="05B1F918" w14:textId="3B2EB38D" w:rsidR="00821D76" w:rsidRPr="00B50531" w:rsidRDefault="00780FEC" w:rsidP="00C37D08">
      <w:pPr>
        <w:pStyle w:val="FINMAGliederungEbene1"/>
        <w:rPr>
          <w:lang w:val="en-US"/>
        </w:rPr>
      </w:pPr>
      <w:bookmarkStart w:id="23" w:name="_Toc140849820"/>
      <w:bookmarkStart w:id="24" w:name="_Toc141095439"/>
      <w:bookmarkStart w:id="25" w:name="_Toc141284977"/>
      <w:bookmarkStart w:id="26" w:name="_Toc140849821"/>
      <w:bookmarkStart w:id="27" w:name="_Toc141095440"/>
      <w:bookmarkStart w:id="28" w:name="_Toc141284978"/>
      <w:bookmarkStart w:id="29" w:name="_Toc145409741"/>
      <w:bookmarkEnd w:id="23"/>
      <w:bookmarkEnd w:id="24"/>
      <w:bookmarkEnd w:id="25"/>
      <w:bookmarkEnd w:id="26"/>
      <w:bookmarkEnd w:id="27"/>
      <w:bookmarkEnd w:id="28"/>
      <w:r>
        <w:rPr>
          <w:lang w:val="en-US"/>
        </w:rPr>
        <w:lastRenderedPageBreak/>
        <w:t>Special part</w:t>
      </w:r>
      <w:bookmarkEnd w:id="29"/>
    </w:p>
    <w:p w14:paraId="17ADBC1A" w14:textId="77777777" w:rsidR="00821D76" w:rsidRPr="00B50531" w:rsidRDefault="00821D76" w:rsidP="00821D76">
      <w:pPr>
        <w:rPr>
          <w:rFonts w:ascii="Arial" w:hAnsi="Arial" w:cs="Arial"/>
          <w:sz w:val="20"/>
          <w:szCs w:val="22"/>
          <w:lang w:val="en-US"/>
        </w:rPr>
      </w:pPr>
    </w:p>
    <w:p w14:paraId="462F634D" w14:textId="2FDDA0CE" w:rsidR="006E2516" w:rsidRPr="00B50531" w:rsidRDefault="00780FEC" w:rsidP="00C37D08">
      <w:pPr>
        <w:pStyle w:val="FINMAGliederungEbene2"/>
        <w:rPr>
          <w:lang w:val="en-US"/>
        </w:rPr>
      </w:pPr>
      <w:bookmarkStart w:id="30" w:name="_Toc145409742"/>
      <w:r>
        <w:rPr>
          <w:lang w:val="en-US"/>
        </w:rPr>
        <w:t>Feas</w:t>
      </w:r>
      <w:r w:rsidR="007C0BCE">
        <w:rPr>
          <w:lang w:val="en-US"/>
        </w:rPr>
        <w:t>i</w:t>
      </w:r>
      <w:r>
        <w:rPr>
          <w:lang w:val="en-US"/>
        </w:rPr>
        <w:t>bility of the resolution plan</w:t>
      </w:r>
      <w:bookmarkEnd w:id="30"/>
    </w:p>
    <w:p w14:paraId="5B5ACCF1" w14:textId="77777777" w:rsidR="00D27087" w:rsidRPr="00B50531" w:rsidRDefault="00D27087" w:rsidP="00D27087">
      <w:pPr>
        <w:jc w:val="both"/>
        <w:rPr>
          <w:lang w:val="en-US"/>
        </w:rPr>
      </w:pPr>
    </w:p>
    <w:tbl>
      <w:tblPr>
        <w:tblStyle w:val="Tabellenraster"/>
        <w:tblpPr w:leftFromText="141" w:rightFromText="141" w:vertAnchor="text" w:tblpY="1"/>
        <w:tblOverlap w:val="never"/>
        <w:tblW w:w="0" w:type="auto"/>
        <w:tblLook w:val="04A0" w:firstRow="1" w:lastRow="0" w:firstColumn="1" w:lastColumn="0" w:noHBand="0" w:noVBand="1"/>
      </w:tblPr>
      <w:tblGrid>
        <w:gridCol w:w="317"/>
        <w:gridCol w:w="1658"/>
        <w:gridCol w:w="2024"/>
        <w:gridCol w:w="2410"/>
        <w:gridCol w:w="3105"/>
      </w:tblGrid>
      <w:tr w:rsidR="00780FEC" w:rsidRPr="00AC2079" w14:paraId="0696A6C0" w14:textId="77777777" w:rsidTr="0096765A">
        <w:trPr>
          <w:trHeight w:val="563"/>
        </w:trPr>
        <w:tc>
          <w:tcPr>
            <w:tcW w:w="1975" w:type="dxa"/>
            <w:gridSpan w:val="2"/>
            <w:shd w:val="clear" w:color="auto" w:fill="DBE5F1" w:themeFill="accent1" w:themeFillTint="33"/>
          </w:tcPr>
          <w:p w14:paraId="457528E5" w14:textId="2F9299E5"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024" w:type="dxa"/>
            <w:shd w:val="clear" w:color="auto" w:fill="DBE5F1" w:themeFill="accent1" w:themeFillTint="33"/>
          </w:tcPr>
          <w:p w14:paraId="3AAEAFE2" w14:textId="363A74BF"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515" w:type="dxa"/>
            <w:gridSpan w:val="2"/>
            <w:shd w:val="clear" w:color="auto" w:fill="DBE5F1" w:themeFill="accent1" w:themeFillTint="33"/>
          </w:tcPr>
          <w:p w14:paraId="5A9E5102" w14:textId="7EFC81AB"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738268F2" w14:textId="77777777" w:rsidTr="0096765A">
        <w:trPr>
          <w:trHeight w:val="698"/>
        </w:trPr>
        <w:tc>
          <w:tcPr>
            <w:tcW w:w="1975" w:type="dxa"/>
            <w:gridSpan w:val="2"/>
            <w:shd w:val="clear" w:color="auto" w:fill="DBE5F1" w:themeFill="accent1" w:themeFillTint="33"/>
          </w:tcPr>
          <w:p w14:paraId="5C87D23D" w14:textId="57C5D0FA"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024" w:type="dxa"/>
            <w:shd w:val="clear" w:color="auto" w:fill="DBE5F1" w:themeFill="accent1" w:themeFillTint="33"/>
          </w:tcPr>
          <w:p w14:paraId="61995ABB" w14:textId="190546E1"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2410" w:type="dxa"/>
            <w:shd w:val="clear" w:color="auto" w:fill="DBE5F1" w:themeFill="accent1" w:themeFillTint="33"/>
          </w:tcPr>
          <w:p w14:paraId="533A9957" w14:textId="257A4410"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c>
          <w:tcPr>
            <w:tcW w:w="3105" w:type="dxa"/>
            <w:shd w:val="clear" w:color="auto" w:fill="DBE5F1" w:themeFill="accent1" w:themeFillTint="33"/>
          </w:tcPr>
          <w:p w14:paraId="0EF1F64C" w14:textId="1FCA2484"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r>
      <w:tr w:rsidR="00D27087" w:rsidRPr="00AC2079" w14:paraId="0A0AAFB1" w14:textId="77777777" w:rsidTr="0096765A">
        <w:trPr>
          <w:trHeight w:val="636"/>
        </w:trPr>
        <w:tc>
          <w:tcPr>
            <w:tcW w:w="9514" w:type="dxa"/>
            <w:gridSpan w:val="5"/>
            <w:shd w:val="clear" w:color="auto" w:fill="DBE5F1" w:themeFill="accent1" w:themeFillTint="33"/>
          </w:tcPr>
          <w:p w14:paraId="35EFAA23" w14:textId="51FC3756" w:rsidR="0023476A"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69CAE03D" w14:textId="45D671D1" w:rsidR="00191396" w:rsidRDefault="00EA3102" w:rsidP="00543B51">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B2497B">
              <w:rPr>
                <w:rFonts w:cs="Arial"/>
                <w:sz w:val="18"/>
                <w:szCs w:val="18"/>
                <w:lang w:val="en-US"/>
              </w:rPr>
              <w:t xml:space="preserve">Delegated Regulation </w:t>
            </w:r>
            <w:r w:rsidR="00ED6D6B" w:rsidRPr="00191396">
              <w:rPr>
                <w:rFonts w:cs="Arial"/>
                <w:sz w:val="18"/>
                <w:szCs w:val="18"/>
                <w:lang w:val="en-US"/>
              </w:rPr>
              <w:t xml:space="preserve">(EU) 2016/1712 </w:t>
            </w:r>
            <w:r w:rsidR="00191396" w:rsidRPr="00191396">
              <w:rPr>
                <w:rFonts w:cs="Arial"/>
                <w:sz w:val="18"/>
                <w:szCs w:val="18"/>
                <w:lang w:val="en-US"/>
              </w:rPr>
              <w:t>specifying a minimum set of the information on financial contracts that should be contained in the detailed records and the circumstances in which the requirement should be imposed</w:t>
            </w:r>
          </w:p>
          <w:p w14:paraId="3939A66F" w14:textId="14236FA9" w:rsidR="00191396" w:rsidRPr="00191396" w:rsidRDefault="008A08AF" w:rsidP="00191396">
            <w:pPr>
              <w:pStyle w:val="Listenabsatz"/>
              <w:numPr>
                <w:ilvl w:val="0"/>
                <w:numId w:val="9"/>
              </w:numPr>
              <w:ind w:left="308"/>
              <w:jc w:val="both"/>
              <w:rPr>
                <w:rFonts w:cs="Arial"/>
                <w:sz w:val="18"/>
                <w:szCs w:val="18"/>
                <w:lang w:val="en-US"/>
              </w:rPr>
            </w:pPr>
            <w:r>
              <w:rPr>
                <w:rFonts w:cs="Arial"/>
                <w:sz w:val="18"/>
                <w:szCs w:val="18"/>
                <w:lang w:val="en-US"/>
              </w:rPr>
              <w:t xml:space="preserve">EBA </w:t>
            </w:r>
            <w:r w:rsidRPr="00665CEC">
              <w:rPr>
                <w:rFonts w:cs="Arial"/>
                <w:sz w:val="18"/>
                <w:szCs w:val="18"/>
                <w:lang w:val="en-US"/>
              </w:rPr>
              <w:t>Guidelines</w:t>
            </w:r>
            <w:r>
              <w:rPr>
                <w:rFonts w:cs="Arial"/>
                <w:sz w:val="18"/>
                <w:szCs w:val="18"/>
                <w:lang w:val="en-US"/>
              </w:rPr>
              <w:t xml:space="preserve"> </w:t>
            </w:r>
            <w:r w:rsidRPr="00C22133">
              <w:rPr>
                <w:rFonts w:cs="Arial"/>
                <w:sz w:val="18"/>
                <w:szCs w:val="18"/>
                <w:lang w:val="en-US"/>
              </w:rPr>
              <w:t>on improving resolvability for institutions and resolution authorities under articles 15 and 16 BRRD (</w:t>
            </w:r>
            <w:r w:rsidRPr="00B620A2">
              <w:rPr>
                <w:rFonts w:cs="Arial"/>
                <w:sz w:val="18"/>
                <w:szCs w:val="18"/>
                <w:lang w:val="en-US"/>
              </w:rPr>
              <w:t>Resolvability Guidelines</w:t>
            </w:r>
            <w:r>
              <w:rPr>
                <w:rFonts w:cs="Arial"/>
                <w:sz w:val="18"/>
                <w:szCs w:val="18"/>
                <w:lang w:val="en-US"/>
              </w:rPr>
              <w:t xml:space="preserve">; </w:t>
            </w:r>
            <w:r w:rsidRPr="00B620A2">
              <w:rPr>
                <w:rFonts w:cs="Arial"/>
                <w:sz w:val="18"/>
                <w:szCs w:val="18"/>
                <w:lang w:val="en-US"/>
              </w:rPr>
              <w:t>EBA/GL/2022/01)</w:t>
            </w:r>
          </w:p>
          <w:p w14:paraId="6F50CE63" w14:textId="41BEF7D6" w:rsidR="00847D70" w:rsidRPr="00191396" w:rsidRDefault="00432521" w:rsidP="00191396">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D27087" w:rsidRPr="00AC2079" w14:paraId="2359AA3D" w14:textId="77777777" w:rsidTr="0096765A">
        <w:trPr>
          <w:trHeight w:val="294"/>
        </w:trPr>
        <w:tc>
          <w:tcPr>
            <w:tcW w:w="9514" w:type="dxa"/>
            <w:gridSpan w:val="5"/>
          </w:tcPr>
          <w:p w14:paraId="5702D95D" w14:textId="77777777" w:rsidR="00D27087" w:rsidRPr="00191396" w:rsidRDefault="00D27087" w:rsidP="00D204EB">
            <w:pPr>
              <w:jc w:val="both"/>
              <w:rPr>
                <w:rFonts w:ascii="Arial" w:hAnsi="Arial" w:cs="Arial"/>
                <w:sz w:val="18"/>
                <w:szCs w:val="18"/>
                <w:lang w:val="en-US"/>
              </w:rPr>
            </w:pPr>
          </w:p>
        </w:tc>
      </w:tr>
      <w:tr w:rsidR="00143E86" w:rsidRPr="00AC2079" w14:paraId="6931879A" w14:textId="77777777" w:rsidTr="0096765A">
        <w:trPr>
          <w:trHeight w:val="294"/>
        </w:trPr>
        <w:tc>
          <w:tcPr>
            <w:tcW w:w="317" w:type="dxa"/>
          </w:tcPr>
          <w:p w14:paraId="5E83D336" w14:textId="777D78A3" w:rsidR="00143E86" w:rsidRPr="00B50531" w:rsidRDefault="00143E86" w:rsidP="00D204EB">
            <w:pPr>
              <w:jc w:val="both"/>
              <w:rPr>
                <w:rFonts w:ascii="Arial" w:hAnsi="Arial" w:cs="Arial"/>
                <w:sz w:val="18"/>
                <w:szCs w:val="18"/>
                <w:lang w:val="en-US"/>
              </w:rPr>
            </w:pPr>
            <w:r w:rsidRPr="00B50531">
              <w:rPr>
                <w:rFonts w:ascii="Arial" w:hAnsi="Arial" w:cs="Arial"/>
                <w:sz w:val="18"/>
                <w:szCs w:val="18"/>
                <w:lang w:val="en-US"/>
              </w:rPr>
              <w:t>1</w:t>
            </w:r>
          </w:p>
        </w:tc>
        <w:tc>
          <w:tcPr>
            <w:tcW w:w="6092" w:type="dxa"/>
            <w:gridSpan w:val="3"/>
          </w:tcPr>
          <w:p w14:paraId="024AB143" w14:textId="23605198" w:rsidR="00143E86" w:rsidRPr="00191396" w:rsidRDefault="00191396" w:rsidP="00D204EB">
            <w:pPr>
              <w:jc w:val="both"/>
              <w:rPr>
                <w:rFonts w:ascii="Arial" w:hAnsi="Arial" w:cs="Arial"/>
                <w:sz w:val="18"/>
                <w:szCs w:val="18"/>
                <w:lang w:val="en-US"/>
              </w:rPr>
            </w:pPr>
            <w:r w:rsidRPr="00191396">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191396">
              <w:rPr>
                <w:rFonts w:ascii="Arial" w:hAnsi="Arial" w:cs="Arial"/>
                <w:sz w:val="18"/>
                <w:szCs w:val="18"/>
                <w:lang w:val="en-US"/>
              </w:rPr>
              <w:t xml:space="preserve">provide for robust governance mechanisms that support the preparation and implementation of the resolution strategy, if necessary, and that </w:t>
            </w:r>
            <w:r w:rsidR="00CD6EB3">
              <w:rPr>
                <w:rFonts w:ascii="Arial" w:hAnsi="Arial" w:cs="Arial"/>
                <w:sz w:val="18"/>
                <w:szCs w:val="18"/>
                <w:lang w:val="en-US"/>
              </w:rPr>
              <w:t>their</w:t>
            </w:r>
            <w:r w:rsidRPr="00191396">
              <w:rPr>
                <w:rFonts w:ascii="Arial" w:hAnsi="Arial" w:cs="Arial"/>
                <w:sz w:val="18"/>
                <w:szCs w:val="18"/>
                <w:lang w:val="en-US"/>
              </w:rPr>
              <w:t xml:space="preserve"> implementation is appropriately reflected in manuals and </w:t>
            </w:r>
            <w:r w:rsidR="0049653D">
              <w:rPr>
                <w:rFonts w:ascii="Arial" w:hAnsi="Arial" w:cs="Arial"/>
                <w:sz w:val="18"/>
                <w:szCs w:val="18"/>
                <w:lang w:val="en-US"/>
              </w:rPr>
              <w:t xml:space="preserve">internal </w:t>
            </w:r>
            <w:r w:rsidRPr="00191396">
              <w:rPr>
                <w:rFonts w:ascii="Arial" w:hAnsi="Arial" w:cs="Arial"/>
                <w:sz w:val="18"/>
                <w:szCs w:val="18"/>
                <w:lang w:val="en-US"/>
              </w:rPr>
              <w:t>regulations (excl. transfer strategies).</w:t>
            </w:r>
          </w:p>
        </w:tc>
        <w:tc>
          <w:tcPr>
            <w:tcW w:w="3105" w:type="dxa"/>
          </w:tcPr>
          <w:p w14:paraId="2E6EBC10" w14:textId="5338F001" w:rsidR="00143E86" w:rsidRPr="00780FEC" w:rsidRDefault="00780FEC" w:rsidP="00D204EB">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w:t>
            </w:r>
            <w:r w:rsidR="00CD6EB3">
              <w:rPr>
                <w:rFonts w:ascii="Arial" w:hAnsi="Arial" w:cs="Arial"/>
                <w:i/>
                <w:sz w:val="18"/>
                <w:szCs w:val="18"/>
                <w:highlight w:val="yellow"/>
                <w:lang w:val="en-US"/>
              </w:rPr>
              <w:t xml:space="preserve"> N</w:t>
            </w:r>
            <w:r>
              <w:rPr>
                <w:rFonts w:ascii="Arial" w:hAnsi="Arial" w:cs="Arial"/>
                <w:i/>
                <w:sz w:val="18"/>
                <w:szCs w:val="18"/>
                <w:highlight w:val="yellow"/>
                <w:lang w:val="en-US"/>
              </w:rPr>
              <w:t>o</w:t>
            </w:r>
          </w:p>
        </w:tc>
      </w:tr>
      <w:tr w:rsidR="00143E86" w:rsidRPr="00AC2079" w14:paraId="71E122EC" w14:textId="77777777" w:rsidTr="0096765A">
        <w:trPr>
          <w:trHeight w:val="294"/>
        </w:trPr>
        <w:tc>
          <w:tcPr>
            <w:tcW w:w="317" w:type="dxa"/>
          </w:tcPr>
          <w:p w14:paraId="2B31C2CA" w14:textId="6D69FB02" w:rsidR="00143E86" w:rsidRPr="00B50531" w:rsidRDefault="001A562E" w:rsidP="00D204EB">
            <w:pPr>
              <w:jc w:val="both"/>
              <w:rPr>
                <w:rFonts w:ascii="Arial" w:hAnsi="Arial" w:cs="Arial"/>
                <w:sz w:val="18"/>
                <w:szCs w:val="18"/>
                <w:lang w:val="en-US"/>
              </w:rPr>
            </w:pPr>
            <w:r w:rsidRPr="00B50531">
              <w:rPr>
                <w:rFonts w:ascii="Arial" w:hAnsi="Arial" w:cs="Arial"/>
                <w:sz w:val="18"/>
                <w:szCs w:val="18"/>
                <w:lang w:val="en-US"/>
              </w:rPr>
              <w:t>2</w:t>
            </w:r>
          </w:p>
        </w:tc>
        <w:tc>
          <w:tcPr>
            <w:tcW w:w="6092" w:type="dxa"/>
            <w:gridSpan w:val="3"/>
          </w:tcPr>
          <w:p w14:paraId="2F0A7B8D" w14:textId="0D7C3EDD" w:rsidR="00143E86" w:rsidRPr="002D4400" w:rsidRDefault="002D4400" w:rsidP="00D204EB">
            <w:pPr>
              <w:jc w:val="both"/>
              <w:rPr>
                <w:rFonts w:ascii="Arial" w:hAnsi="Arial" w:cs="Arial"/>
                <w:sz w:val="18"/>
                <w:szCs w:val="18"/>
                <w:lang w:val="en-US"/>
              </w:rPr>
            </w:pPr>
            <w:r w:rsidRPr="002D4400">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2D4400">
              <w:rPr>
                <w:rFonts w:ascii="Arial" w:hAnsi="Arial" w:cs="Arial"/>
                <w:sz w:val="18"/>
                <w:szCs w:val="18"/>
                <w:lang w:val="en-US"/>
              </w:rPr>
              <w:t xml:space="preserve">enable an assessment of the </w:t>
            </w:r>
            <w:r w:rsidR="00CD6EB3">
              <w:rPr>
                <w:rFonts w:ascii="Arial" w:hAnsi="Arial" w:cs="Arial"/>
                <w:sz w:val="18"/>
                <w:szCs w:val="18"/>
                <w:lang w:val="en-US"/>
              </w:rPr>
              <w:t>impact</w:t>
            </w:r>
            <w:r w:rsidRPr="002D4400">
              <w:rPr>
                <w:rFonts w:ascii="Arial" w:hAnsi="Arial" w:cs="Arial"/>
                <w:sz w:val="18"/>
                <w:szCs w:val="18"/>
                <w:lang w:val="en-US"/>
              </w:rPr>
              <w:t xml:space="preserve"> of significant business and/or operational events, including the application of </w:t>
            </w:r>
            <w:r>
              <w:rPr>
                <w:rFonts w:ascii="Arial" w:hAnsi="Arial" w:cs="Arial"/>
                <w:sz w:val="18"/>
                <w:szCs w:val="18"/>
                <w:lang w:val="en-US"/>
              </w:rPr>
              <w:t xml:space="preserve">recovery </w:t>
            </w:r>
            <w:r w:rsidR="00814950">
              <w:rPr>
                <w:rFonts w:ascii="Arial" w:hAnsi="Arial" w:cs="Arial"/>
                <w:sz w:val="18"/>
                <w:szCs w:val="18"/>
                <w:lang w:val="en-US"/>
              </w:rPr>
              <w:t>options</w:t>
            </w:r>
            <w:r w:rsidRPr="002D4400">
              <w:rPr>
                <w:rFonts w:ascii="Arial" w:hAnsi="Arial" w:cs="Arial"/>
                <w:sz w:val="18"/>
                <w:szCs w:val="18"/>
                <w:lang w:val="en-US"/>
              </w:rPr>
              <w:t>, on the</w:t>
            </w:r>
            <w:r w:rsidR="00CD6EB3">
              <w:rPr>
                <w:rFonts w:ascii="Arial" w:hAnsi="Arial" w:cs="Arial"/>
                <w:sz w:val="18"/>
                <w:szCs w:val="18"/>
                <w:lang w:val="en-US"/>
              </w:rPr>
              <w:t xml:space="preserve"> institution’s</w:t>
            </w:r>
            <w:r w:rsidRPr="002D4400">
              <w:rPr>
                <w:rFonts w:ascii="Arial" w:hAnsi="Arial" w:cs="Arial"/>
                <w:sz w:val="18"/>
                <w:szCs w:val="18"/>
                <w:lang w:val="en-US"/>
              </w:rPr>
              <w:t xml:space="preserve"> </w:t>
            </w:r>
            <w:r w:rsidR="00C660E2">
              <w:rPr>
                <w:rFonts w:ascii="Arial" w:hAnsi="Arial" w:cs="Arial"/>
                <w:sz w:val="18"/>
                <w:szCs w:val="18"/>
                <w:lang w:val="en-US"/>
              </w:rPr>
              <w:t>resolvability</w:t>
            </w:r>
            <w:r w:rsidRPr="002D4400">
              <w:rPr>
                <w:rFonts w:ascii="Arial" w:hAnsi="Arial" w:cs="Arial"/>
                <w:sz w:val="18"/>
                <w:szCs w:val="18"/>
                <w:lang w:val="en-US"/>
              </w:rPr>
              <w:t>.</w:t>
            </w:r>
          </w:p>
        </w:tc>
        <w:tc>
          <w:tcPr>
            <w:tcW w:w="3105" w:type="dxa"/>
          </w:tcPr>
          <w:p w14:paraId="4032A498" w14:textId="0086FB5A" w:rsidR="00143E86" w:rsidRPr="00780FEC" w:rsidRDefault="00665CEC" w:rsidP="00D204EB">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143E86" w:rsidRPr="00AC2079" w14:paraId="4863F1D1" w14:textId="77777777" w:rsidTr="0096765A">
        <w:trPr>
          <w:trHeight w:val="294"/>
        </w:trPr>
        <w:tc>
          <w:tcPr>
            <w:tcW w:w="317" w:type="dxa"/>
          </w:tcPr>
          <w:p w14:paraId="1FCEDCC9" w14:textId="5E26F613" w:rsidR="00143E86" w:rsidRPr="00B50531" w:rsidRDefault="001A562E" w:rsidP="00D204EB">
            <w:pPr>
              <w:jc w:val="both"/>
              <w:rPr>
                <w:rFonts w:ascii="Arial" w:hAnsi="Arial" w:cs="Arial"/>
                <w:sz w:val="18"/>
                <w:szCs w:val="18"/>
                <w:lang w:val="en-US"/>
              </w:rPr>
            </w:pPr>
            <w:r w:rsidRPr="00B50531">
              <w:rPr>
                <w:rFonts w:ascii="Arial" w:hAnsi="Arial" w:cs="Arial"/>
                <w:sz w:val="18"/>
                <w:szCs w:val="18"/>
                <w:lang w:val="en-US"/>
              </w:rPr>
              <w:t>3</w:t>
            </w:r>
          </w:p>
        </w:tc>
        <w:tc>
          <w:tcPr>
            <w:tcW w:w="6092" w:type="dxa"/>
            <w:gridSpan w:val="3"/>
          </w:tcPr>
          <w:p w14:paraId="5DF8D187" w14:textId="5BCE3280" w:rsidR="00143E86" w:rsidRPr="00C660E2" w:rsidRDefault="00C660E2" w:rsidP="00D204EB">
            <w:pPr>
              <w:jc w:val="both"/>
              <w:rPr>
                <w:rFonts w:ascii="Arial" w:hAnsi="Arial" w:cs="Arial"/>
                <w:sz w:val="18"/>
                <w:szCs w:val="18"/>
                <w:lang w:val="en-US"/>
              </w:rPr>
            </w:pPr>
            <w:r w:rsidRPr="00C660E2">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C660E2">
              <w:rPr>
                <w:rFonts w:ascii="Arial" w:hAnsi="Arial" w:cs="Arial"/>
                <w:sz w:val="18"/>
                <w:szCs w:val="18"/>
                <w:lang w:val="en-US"/>
              </w:rPr>
              <w:t xml:space="preserve">enable an appropriate internal and external communication strategy (even if </w:t>
            </w:r>
            <w:r>
              <w:rPr>
                <w:rFonts w:ascii="Arial" w:hAnsi="Arial" w:cs="Arial"/>
                <w:sz w:val="18"/>
                <w:szCs w:val="18"/>
                <w:lang w:val="en-US"/>
              </w:rPr>
              <w:t xml:space="preserve">impediments to </w:t>
            </w:r>
            <w:r w:rsidR="008B4D0B">
              <w:rPr>
                <w:rFonts w:ascii="Arial" w:hAnsi="Arial" w:cs="Arial"/>
                <w:sz w:val="18"/>
                <w:szCs w:val="18"/>
                <w:lang w:val="en-US"/>
              </w:rPr>
              <w:t>resolvability</w:t>
            </w:r>
            <w:r w:rsidRPr="00C660E2">
              <w:rPr>
                <w:rFonts w:ascii="Arial" w:hAnsi="Arial" w:cs="Arial"/>
                <w:sz w:val="18"/>
                <w:szCs w:val="18"/>
                <w:lang w:val="en-US"/>
              </w:rPr>
              <w:t xml:space="preserve"> in accordance with Art. 26 </w:t>
            </w:r>
            <w:r w:rsidR="00CD6EB3">
              <w:rPr>
                <w:rFonts w:ascii="Arial" w:hAnsi="Arial" w:cs="Arial"/>
                <w:sz w:val="18"/>
                <w:szCs w:val="18"/>
                <w:lang w:val="en-US"/>
              </w:rPr>
              <w:t>(</w:t>
            </w:r>
            <w:r w:rsidRPr="00C660E2">
              <w:rPr>
                <w:rFonts w:ascii="Arial" w:hAnsi="Arial" w:cs="Arial"/>
                <w:sz w:val="18"/>
                <w:szCs w:val="18"/>
                <w:lang w:val="en-US"/>
              </w:rPr>
              <w:t>3</w:t>
            </w:r>
            <w:r w:rsidR="00CD6EB3">
              <w:rPr>
                <w:rFonts w:ascii="Arial" w:hAnsi="Arial" w:cs="Arial"/>
                <w:sz w:val="18"/>
                <w:szCs w:val="18"/>
                <w:lang w:val="en-US"/>
              </w:rPr>
              <w:t>)</w:t>
            </w:r>
            <w:r w:rsidRPr="00C660E2">
              <w:rPr>
                <w:rFonts w:ascii="Arial" w:hAnsi="Arial" w:cs="Arial"/>
                <w:sz w:val="18"/>
                <w:szCs w:val="18"/>
                <w:lang w:val="en-US"/>
              </w:rPr>
              <w:t xml:space="preserve"> </w:t>
            </w:r>
            <w:proofErr w:type="spellStart"/>
            <w:r w:rsidRPr="00C660E2">
              <w:rPr>
                <w:rFonts w:ascii="Arial" w:hAnsi="Arial" w:cs="Arial"/>
                <w:sz w:val="18"/>
                <w:szCs w:val="18"/>
                <w:lang w:val="en-US"/>
              </w:rPr>
              <w:t>DelVO</w:t>
            </w:r>
            <w:proofErr w:type="spellEnd"/>
            <w:r w:rsidRPr="00C660E2">
              <w:rPr>
                <w:rFonts w:ascii="Arial" w:hAnsi="Arial" w:cs="Arial"/>
                <w:sz w:val="18"/>
                <w:szCs w:val="18"/>
                <w:lang w:val="en-US"/>
              </w:rPr>
              <w:t xml:space="preserve"> 2016/1075</w:t>
            </w:r>
            <w:r w:rsidR="008B4D0B">
              <w:rPr>
                <w:rFonts w:ascii="Arial" w:hAnsi="Arial" w:cs="Arial"/>
                <w:sz w:val="18"/>
                <w:szCs w:val="18"/>
                <w:lang w:val="en-US"/>
              </w:rPr>
              <w:t xml:space="preserve"> are identified</w:t>
            </w:r>
            <w:r w:rsidRPr="00C660E2">
              <w:rPr>
                <w:rFonts w:ascii="Arial" w:hAnsi="Arial" w:cs="Arial"/>
                <w:sz w:val="18"/>
                <w:szCs w:val="18"/>
                <w:lang w:val="en-US"/>
              </w:rPr>
              <w:t>) before and during resolution.</w:t>
            </w:r>
          </w:p>
        </w:tc>
        <w:tc>
          <w:tcPr>
            <w:tcW w:w="3105" w:type="dxa"/>
          </w:tcPr>
          <w:p w14:paraId="2D8AFEF6" w14:textId="3B736E88" w:rsidR="00143E86" w:rsidRPr="00780FEC" w:rsidRDefault="00665CEC" w:rsidP="00D204EB">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143E86" w:rsidRPr="00AC2079" w14:paraId="1E7638B2" w14:textId="77777777" w:rsidTr="0096765A">
        <w:trPr>
          <w:trHeight w:val="294"/>
        </w:trPr>
        <w:tc>
          <w:tcPr>
            <w:tcW w:w="317" w:type="dxa"/>
          </w:tcPr>
          <w:p w14:paraId="7CDBBA53" w14:textId="1AF6C0AB" w:rsidR="00143E86" w:rsidRPr="00B50531" w:rsidRDefault="001A562E" w:rsidP="00D204EB">
            <w:pPr>
              <w:jc w:val="both"/>
              <w:rPr>
                <w:rFonts w:ascii="Arial" w:hAnsi="Arial" w:cs="Arial"/>
                <w:sz w:val="18"/>
                <w:szCs w:val="18"/>
                <w:lang w:val="en-US"/>
              </w:rPr>
            </w:pPr>
            <w:r w:rsidRPr="00B50531">
              <w:rPr>
                <w:rFonts w:ascii="Arial" w:hAnsi="Arial" w:cs="Arial"/>
                <w:sz w:val="18"/>
                <w:szCs w:val="18"/>
                <w:lang w:val="en-US"/>
              </w:rPr>
              <w:t>4</w:t>
            </w:r>
          </w:p>
        </w:tc>
        <w:tc>
          <w:tcPr>
            <w:tcW w:w="6092" w:type="dxa"/>
            <w:gridSpan w:val="3"/>
          </w:tcPr>
          <w:p w14:paraId="1487FFF6" w14:textId="107439FC" w:rsidR="00143E86" w:rsidRPr="008B4D0B" w:rsidRDefault="008B4D0B" w:rsidP="00D204EB">
            <w:pPr>
              <w:jc w:val="both"/>
              <w:rPr>
                <w:rFonts w:ascii="Arial" w:hAnsi="Arial" w:cs="Arial"/>
                <w:sz w:val="18"/>
                <w:szCs w:val="18"/>
                <w:lang w:val="en-US"/>
              </w:rPr>
            </w:pPr>
            <w:r w:rsidRPr="008B4D0B">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8B4D0B">
              <w:rPr>
                <w:rFonts w:ascii="Arial" w:hAnsi="Arial" w:cs="Arial"/>
                <w:sz w:val="18"/>
                <w:szCs w:val="18"/>
                <w:lang w:val="en-US"/>
              </w:rPr>
              <w:t>, if necessary, enable the assessment and quantification of tax</w:t>
            </w:r>
            <w:r w:rsidR="00CD6EB3">
              <w:rPr>
                <w:rFonts w:ascii="Arial" w:hAnsi="Arial" w:cs="Arial"/>
                <w:sz w:val="18"/>
                <w:szCs w:val="18"/>
                <w:lang w:val="en-US"/>
              </w:rPr>
              <w:t>-</w:t>
            </w:r>
            <w:r w:rsidRPr="008B4D0B">
              <w:rPr>
                <w:rFonts w:ascii="Arial" w:hAnsi="Arial" w:cs="Arial"/>
                <w:sz w:val="18"/>
                <w:szCs w:val="18"/>
                <w:lang w:val="en-US"/>
              </w:rPr>
              <w:t>, labor</w:t>
            </w:r>
            <w:r w:rsidR="00CD6EB3">
              <w:rPr>
                <w:rFonts w:ascii="Arial" w:hAnsi="Arial" w:cs="Arial"/>
                <w:sz w:val="18"/>
                <w:szCs w:val="18"/>
                <w:lang w:val="en-US"/>
              </w:rPr>
              <w:t>-</w:t>
            </w:r>
            <w:r w:rsidRPr="008B4D0B">
              <w:rPr>
                <w:rFonts w:ascii="Arial" w:hAnsi="Arial" w:cs="Arial"/>
                <w:sz w:val="18"/>
                <w:szCs w:val="18"/>
                <w:lang w:val="en-US"/>
              </w:rPr>
              <w:t xml:space="preserve"> and social law effects as well as the ESG</w:t>
            </w:r>
            <w:r w:rsidR="00CD6EB3">
              <w:rPr>
                <w:rFonts w:ascii="Arial" w:hAnsi="Arial" w:cs="Arial"/>
                <w:sz w:val="18"/>
                <w:szCs w:val="18"/>
                <w:lang w:val="en-US"/>
              </w:rPr>
              <w:t>-</w:t>
            </w:r>
            <w:r w:rsidRPr="008B4D0B">
              <w:rPr>
                <w:rFonts w:ascii="Arial" w:hAnsi="Arial" w:cs="Arial"/>
                <w:sz w:val="18"/>
                <w:szCs w:val="18"/>
                <w:lang w:val="en-US"/>
              </w:rPr>
              <w:t xml:space="preserve">conformity of the implementation of the resolution plan or other resolution measures (e.g. </w:t>
            </w:r>
            <w:r w:rsidR="00CD6EB3">
              <w:rPr>
                <w:rFonts w:ascii="Arial" w:hAnsi="Arial" w:cs="Arial"/>
                <w:sz w:val="18"/>
                <w:szCs w:val="18"/>
                <w:lang w:val="en-US"/>
              </w:rPr>
              <w:t>reorganization gain according to tax law</w:t>
            </w:r>
            <w:r w:rsidRPr="008B4D0B">
              <w:rPr>
                <w:rFonts w:ascii="Arial" w:hAnsi="Arial" w:cs="Arial"/>
                <w:sz w:val="18"/>
                <w:szCs w:val="18"/>
                <w:lang w:val="en-US"/>
              </w:rPr>
              <w:t>, transfer of business under labor law, etc.) on the group and individual entity.</w:t>
            </w:r>
          </w:p>
        </w:tc>
        <w:tc>
          <w:tcPr>
            <w:tcW w:w="3105" w:type="dxa"/>
          </w:tcPr>
          <w:p w14:paraId="407332F2" w14:textId="38B292D9" w:rsidR="00143E86" w:rsidRPr="00780FEC" w:rsidRDefault="00665CEC" w:rsidP="00D204EB">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E74823" w:rsidRPr="00AC2079" w14:paraId="7912A4AE" w14:textId="77777777" w:rsidTr="0096765A">
        <w:trPr>
          <w:trHeight w:val="294"/>
        </w:trPr>
        <w:tc>
          <w:tcPr>
            <w:tcW w:w="317" w:type="dxa"/>
          </w:tcPr>
          <w:p w14:paraId="22A1041B" w14:textId="183ED499" w:rsidR="00E74823" w:rsidRPr="00B50531" w:rsidRDefault="00E74823" w:rsidP="00D204EB">
            <w:pPr>
              <w:jc w:val="both"/>
              <w:rPr>
                <w:rFonts w:ascii="Arial" w:hAnsi="Arial" w:cs="Arial"/>
                <w:sz w:val="18"/>
                <w:szCs w:val="18"/>
                <w:lang w:val="en-US"/>
              </w:rPr>
            </w:pPr>
            <w:r w:rsidRPr="00B50531">
              <w:rPr>
                <w:rFonts w:ascii="Arial" w:hAnsi="Arial" w:cs="Arial"/>
                <w:sz w:val="18"/>
                <w:szCs w:val="18"/>
                <w:lang w:val="en-US"/>
              </w:rPr>
              <w:t>5</w:t>
            </w:r>
          </w:p>
        </w:tc>
        <w:tc>
          <w:tcPr>
            <w:tcW w:w="6092" w:type="dxa"/>
            <w:gridSpan w:val="3"/>
          </w:tcPr>
          <w:p w14:paraId="16274366" w14:textId="3C317F08" w:rsidR="00E74823" w:rsidRPr="008B4D0B" w:rsidRDefault="008B4D0B" w:rsidP="00D204EB">
            <w:pPr>
              <w:jc w:val="both"/>
              <w:rPr>
                <w:rFonts w:ascii="Arial" w:hAnsi="Arial" w:cs="Arial"/>
                <w:sz w:val="18"/>
                <w:szCs w:val="18"/>
                <w:lang w:val="en-US"/>
              </w:rPr>
            </w:pPr>
            <w:r w:rsidRPr="008B4D0B">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8B4D0B">
              <w:rPr>
                <w:rFonts w:ascii="Arial" w:hAnsi="Arial" w:cs="Arial"/>
                <w:sz w:val="18"/>
                <w:szCs w:val="18"/>
                <w:lang w:val="en-US"/>
              </w:rPr>
              <w:t xml:space="preserve">allow a list to be maintained in accordance with the Annex to </w:t>
            </w:r>
            <w:proofErr w:type="spellStart"/>
            <w:r w:rsidRPr="008B4D0B">
              <w:rPr>
                <w:rFonts w:ascii="Arial" w:hAnsi="Arial" w:cs="Arial"/>
                <w:sz w:val="18"/>
                <w:szCs w:val="18"/>
                <w:lang w:val="en-US"/>
              </w:rPr>
              <w:t>delVO</w:t>
            </w:r>
            <w:proofErr w:type="spellEnd"/>
            <w:r w:rsidRPr="008B4D0B">
              <w:rPr>
                <w:rFonts w:ascii="Arial" w:hAnsi="Arial" w:cs="Arial"/>
                <w:sz w:val="18"/>
                <w:szCs w:val="18"/>
                <w:lang w:val="en-US"/>
              </w:rPr>
              <w:t xml:space="preserve"> (EU) 2016/1712 (information on financial contracts).</w:t>
            </w:r>
          </w:p>
        </w:tc>
        <w:tc>
          <w:tcPr>
            <w:tcW w:w="3105" w:type="dxa"/>
          </w:tcPr>
          <w:p w14:paraId="7B514D62" w14:textId="7E6F01D5" w:rsidR="00E74823" w:rsidRPr="00780FEC" w:rsidRDefault="00665CEC" w:rsidP="00D204EB">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057D6D" w:rsidRPr="00AC2079" w14:paraId="497D247A" w14:textId="77777777" w:rsidTr="0096765A">
        <w:trPr>
          <w:trHeight w:val="294"/>
        </w:trPr>
        <w:tc>
          <w:tcPr>
            <w:tcW w:w="317" w:type="dxa"/>
          </w:tcPr>
          <w:p w14:paraId="3C645E11" w14:textId="20463C04" w:rsidR="00057D6D" w:rsidRPr="00B50531" w:rsidRDefault="00E74823" w:rsidP="00057D6D">
            <w:pPr>
              <w:jc w:val="both"/>
              <w:rPr>
                <w:rFonts w:ascii="Arial" w:hAnsi="Arial" w:cs="Arial"/>
                <w:sz w:val="18"/>
                <w:szCs w:val="18"/>
                <w:lang w:val="en-US"/>
              </w:rPr>
            </w:pPr>
            <w:r w:rsidRPr="00B50531">
              <w:rPr>
                <w:rFonts w:ascii="Arial" w:hAnsi="Arial" w:cs="Arial"/>
                <w:sz w:val="18"/>
                <w:szCs w:val="18"/>
                <w:lang w:val="en-US"/>
              </w:rPr>
              <w:t>6</w:t>
            </w:r>
          </w:p>
        </w:tc>
        <w:tc>
          <w:tcPr>
            <w:tcW w:w="6092" w:type="dxa"/>
            <w:gridSpan w:val="3"/>
          </w:tcPr>
          <w:p w14:paraId="717984E5" w14:textId="11E8385E" w:rsidR="00057D6D" w:rsidRPr="00477241" w:rsidRDefault="00477241" w:rsidP="00057D6D">
            <w:pPr>
              <w:jc w:val="both"/>
              <w:rPr>
                <w:rFonts w:ascii="Arial" w:hAnsi="Arial" w:cs="Arial"/>
                <w:sz w:val="18"/>
                <w:szCs w:val="18"/>
                <w:lang w:val="en-US"/>
              </w:rPr>
            </w:pPr>
            <w:r w:rsidRPr="00477241">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477241">
              <w:rPr>
                <w:rFonts w:ascii="Arial" w:hAnsi="Arial" w:cs="Arial"/>
                <w:sz w:val="18"/>
                <w:szCs w:val="18"/>
                <w:lang w:val="en-US"/>
              </w:rPr>
              <w:t>allow for a</w:t>
            </w:r>
            <w:r w:rsidR="001E03FA">
              <w:rPr>
                <w:rFonts w:ascii="Arial" w:hAnsi="Arial" w:cs="Arial"/>
                <w:sz w:val="18"/>
                <w:szCs w:val="18"/>
                <w:lang w:val="en-US"/>
              </w:rPr>
              <w:t xml:space="preserve"> valuation</w:t>
            </w:r>
            <w:r w:rsidRPr="00477241">
              <w:rPr>
                <w:rFonts w:ascii="Arial" w:hAnsi="Arial" w:cs="Arial"/>
                <w:sz w:val="18"/>
                <w:szCs w:val="18"/>
                <w:lang w:val="en-US"/>
              </w:rPr>
              <w:t xml:space="preserve"> by an independent </w:t>
            </w:r>
            <w:r w:rsidR="001E03FA">
              <w:rPr>
                <w:rFonts w:ascii="Arial" w:hAnsi="Arial" w:cs="Arial"/>
                <w:sz w:val="18"/>
                <w:szCs w:val="18"/>
                <w:lang w:val="en-US"/>
              </w:rPr>
              <w:t>valuer</w:t>
            </w:r>
            <w:r w:rsidRPr="00477241">
              <w:rPr>
                <w:rFonts w:ascii="Arial" w:hAnsi="Arial" w:cs="Arial"/>
                <w:sz w:val="18"/>
                <w:szCs w:val="18"/>
                <w:lang w:val="en-US"/>
              </w:rPr>
              <w:t xml:space="preserve"> based on the assessment criteria in accordance with Art. 47 </w:t>
            </w:r>
            <w:r w:rsidR="00347590">
              <w:rPr>
                <w:rFonts w:ascii="Arial" w:hAnsi="Arial" w:cs="Arial"/>
                <w:sz w:val="18"/>
                <w:szCs w:val="18"/>
                <w:lang w:val="en-US"/>
              </w:rPr>
              <w:t>SAG</w:t>
            </w:r>
            <w:r w:rsidRPr="00477241">
              <w:rPr>
                <w:rFonts w:ascii="Arial" w:hAnsi="Arial" w:cs="Arial"/>
                <w:sz w:val="18"/>
                <w:szCs w:val="18"/>
                <w:lang w:val="en-US"/>
              </w:rPr>
              <w:t>.</w:t>
            </w:r>
          </w:p>
        </w:tc>
        <w:tc>
          <w:tcPr>
            <w:tcW w:w="3105" w:type="dxa"/>
          </w:tcPr>
          <w:p w14:paraId="5DEC3369" w14:textId="3C920F84" w:rsidR="00057D6D" w:rsidRPr="00780FEC" w:rsidRDefault="00665CEC" w:rsidP="00057D6D">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6C922B92" w14:textId="553ECC54" w:rsidR="61EE8D92" w:rsidRPr="00780FEC" w:rsidRDefault="61EE8D92" w:rsidP="61EE8D92">
      <w:pPr>
        <w:pStyle w:val="FINMAGliederungEbene2"/>
        <w:numPr>
          <w:ilvl w:val="1"/>
          <w:numId w:val="0"/>
        </w:numPr>
        <w:rPr>
          <w:lang w:val="en-US"/>
        </w:rPr>
      </w:pPr>
    </w:p>
    <w:tbl>
      <w:tblPr>
        <w:tblStyle w:val="Tabellenraster"/>
        <w:tblW w:w="0" w:type="auto"/>
        <w:tblLook w:val="04A0" w:firstRow="1" w:lastRow="0" w:firstColumn="1" w:lastColumn="0" w:noHBand="0" w:noVBand="1"/>
      </w:tblPr>
      <w:tblGrid>
        <w:gridCol w:w="1980"/>
        <w:gridCol w:w="7513"/>
      </w:tblGrid>
      <w:tr w:rsidR="00950C07" w:rsidRPr="00B50531" w14:paraId="2DA85FEB" w14:textId="77777777" w:rsidTr="00387D17">
        <w:trPr>
          <w:trHeight w:val="300"/>
        </w:trPr>
        <w:tc>
          <w:tcPr>
            <w:tcW w:w="1980" w:type="dxa"/>
          </w:tcPr>
          <w:p w14:paraId="32A08DEF" w14:textId="025870B2" w:rsidR="00950C07" w:rsidRPr="00B50531" w:rsidRDefault="00C91977" w:rsidP="00387D17">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513" w:type="dxa"/>
          </w:tcPr>
          <w:p w14:paraId="5471D294" w14:textId="675188F5" w:rsidR="00950C07" w:rsidRPr="00B50531" w:rsidRDefault="00C91977" w:rsidP="00387D17">
            <w:pPr>
              <w:jc w:val="both"/>
              <w:rPr>
                <w:rFonts w:ascii="Arial" w:hAnsi="Arial" w:cs="Arial"/>
                <w:b/>
                <w:bCs/>
                <w:i/>
                <w:iCs/>
                <w:sz w:val="18"/>
                <w:szCs w:val="18"/>
                <w:lang w:val="en-US"/>
              </w:rPr>
            </w:pPr>
            <w:r>
              <w:rPr>
                <w:rFonts w:ascii="Arial" w:hAnsi="Arial" w:cs="Arial"/>
                <w:b/>
                <w:bCs/>
                <w:i/>
                <w:iCs/>
                <w:sz w:val="18"/>
                <w:szCs w:val="18"/>
                <w:lang w:val="en-US"/>
              </w:rPr>
              <w:t>Minimum audit contents</w:t>
            </w:r>
            <w:r w:rsidR="0087018F">
              <w:rPr>
                <w:rFonts w:ascii="Arial" w:hAnsi="Arial" w:cs="Arial"/>
                <w:b/>
                <w:bCs/>
                <w:i/>
                <w:iCs/>
                <w:sz w:val="18"/>
                <w:szCs w:val="18"/>
                <w:lang w:val="en-US"/>
              </w:rPr>
              <w:t xml:space="preserve"> </w:t>
            </w:r>
            <w:r w:rsidR="0087018F">
              <w:rPr>
                <w:rFonts w:ascii="Arial" w:eastAsia="Arial" w:hAnsi="Arial" w:cs="Arial"/>
                <w:b/>
                <w:bCs/>
                <w:i/>
                <w:iCs/>
                <w:sz w:val="18"/>
                <w:szCs w:val="18"/>
                <w:lang w:val="en-US"/>
              </w:rPr>
              <w:t>(“Sample”)</w:t>
            </w:r>
          </w:p>
        </w:tc>
      </w:tr>
      <w:tr w:rsidR="008676CE" w:rsidRPr="00AC2079" w14:paraId="51346184" w14:textId="77777777" w:rsidTr="00387D17">
        <w:trPr>
          <w:trHeight w:val="300"/>
        </w:trPr>
        <w:tc>
          <w:tcPr>
            <w:tcW w:w="1980" w:type="dxa"/>
          </w:tcPr>
          <w:p w14:paraId="0F87AC93" w14:textId="11C89DFD" w:rsidR="008676CE" w:rsidRPr="00B50531" w:rsidRDefault="00C91977" w:rsidP="008676CE">
            <w:pPr>
              <w:spacing w:line="259" w:lineRule="auto"/>
              <w:jc w:val="both"/>
              <w:rPr>
                <w:rFonts w:ascii="Arial" w:hAnsi="Arial" w:cs="Arial"/>
                <w:i/>
                <w:iCs/>
                <w:sz w:val="18"/>
                <w:szCs w:val="18"/>
                <w:lang w:val="en-US"/>
              </w:rPr>
            </w:pPr>
            <w:r>
              <w:rPr>
                <w:rFonts w:ascii="Arial" w:hAnsi="Arial" w:cs="Arial"/>
                <w:i/>
                <w:iCs/>
                <w:sz w:val="18"/>
                <w:szCs w:val="18"/>
                <w:lang w:val="en-US"/>
              </w:rPr>
              <w:t xml:space="preserve">Internal </w:t>
            </w:r>
            <w:proofErr w:type="spellStart"/>
            <w:r>
              <w:rPr>
                <w:rFonts w:ascii="Arial" w:hAnsi="Arial" w:cs="Arial"/>
                <w:i/>
                <w:iCs/>
                <w:sz w:val="18"/>
                <w:szCs w:val="18"/>
                <w:lang w:val="en-US"/>
              </w:rPr>
              <w:t>organisation</w:t>
            </w:r>
            <w:proofErr w:type="spellEnd"/>
          </w:p>
        </w:tc>
        <w:tc>
          <w:tcPr>
            <w:tcW w:w="7513" w:type="dxa"/>
          </w:tcPr>
          <w:p w14:paraId="7089CADE" w14:textId="0E6279DB" w:rsidR="00C91977" w:rsidRPr="00C91977" w:rsidRDefault="00C91977" w:rsidP="00C91977">
            <w:pPr>
              <w:pStyle w:val="Listenabsatz"/>
              <w:numPr>
                <w:ilvl w:val="1"/>
                <w:numId w:val="10"/>
              </w:numPr>
              <w:spacing w:line="259" w:lineRule="auto"/>
              <w:jc w:val="both"/>
              <w:rPr>
                <w:rFonts w:cs="Arial"/>
                <w:i/>
                <w:iCs/>
                <w:sz w:val="18"/>
                <w:szCs w:val="18"/>
                <w:lang w:val="en-US"/>
              </w:rPr>
            </w:pPr>
            <w:r w:rsidRPr="00C91977">
              <w:rPr>
                <w:rFonts w:cs="Arial"/>
                <w:i/>
                <w:iCs/>
                <w:sz w:val="18"/>
                <w:szCs w:val="18"/>
                <w:lang w:val="en-US"/>
              </w:rPr>
              <w:t xml:space="preserve">The internal </w:t>
            </w:r>
            <w:proofErr w:type="spellStart"/>
            <w:r w:rsidRPr="00C91977">
              <w:rPr>
                <w:rFonts w:cs="Arial"/>
                <w:i/>
                <w:iCs/>
                <w:sz w:val="18"/>
                <w:szCs w:val="18"/>
                <w:lang w:val="en-US"/>
              </w:rPr>
              <w:t>organi</w:t>
            </w:r>
            <w:r w:rsidR="001E03FA">
              <w:rPr>
                <w:rFonts w:cs="Arial"/>
                <w:i/>
                <w:iCs/>
                <w:sz w:val="18"/>
                <w:szCs w:val="18"/>
                <w:lang w:val="en-US"/>
              </w:rPr>
              <w:t>s</w:t>
            </w:r>
            <w:r w:rsidRPr="00C91977">
              <w:rPr>
                <w:rFonts w:cs="Arial"/>
                <w:i/>
                <w:iCs/>
                <w:sz w:val="18"/>
                <w:szCs w:val="18"/>
                <w:lang w:val="en-US"/>
              </w:rPr>
              <w:t>ational</w:t>
            </w:r>
            <w:proofErr w:type="spellEnd"/>
            <w:r w:rsidRPr="00C91977">
              <w:rPr>
                <w:rFonts w:cs="Arial"/>
                <w:i/>
                <w:iCs/>
                <w:sz w:val="18"/>
                <w:szCs w:val="18"/>
                <w:lang w:val="en-US"/>
              </w:rPr>
              <w:t xml:space="preserve"> structure (e.g. directives, technical and human and professional resources) ensures that procedures exist which enable the feasibility of the resolution plan and the provision of the necessary information for an independent external </w:t>
            </w:r>
            <w:r w:rsidR="00E0332B">
              <w:rPr>
                <w:rFonts w:cs="Arial"/>
                <w:i/>
                <w:iCs/>
                <w:sz w:val="18"/>
                <w:szCs w:val="18"/>
                <w:lang w:val="en-US"/>
              </w:rPr>
              <w:t>valuation</w:t>
            </w:r>
            <w:r w:rsidRPr="00C91977">
              <w:rPr>
                <w:rFonts w:cs="Arial"/>
                <w:i/>
                <w:iCs/>
                <w:sz w:val="18"/>
                <w:szCs w:val="18"/>
                <w:lang w:val="en-US"/>
              </w:rPr>
              <w:t xml:space="preserve"> if necessary</w:t>
            </w:r>
          </w:p>
          <w:p w14:paraId="71389E02" w14:textId="364CD583" w:rsidR="00C91977" w:rsidRPr="00C91977" w:rsidRDefault="00C91977" w:rsidP="00C91977">
            <w:pPr>
              <w:pStyle w:val="Listenabsatz"/>
              <w:numPr>
                <w:ilvl w:val="1"/>
                <w:numId w:val="10"/>
              </w:numPr>
              <w:spacing w:line="259" w:lineRule="auto"/>
              <w:jc w:val="both"/>
              <w:rPr>
                <w:rFonts w:cs="Arial"/>
                <w:i/>
                <w:iCs/>
                <w:sz w:val="18"/>
                <w:szCs w:val="18"/>
                <w:lang w:val="en-US"/>
              </w:rPr>
            </w:pPr>
            <w:r w:rsidRPr="00C91977">
              <w:rPr>
                <w:rFonts w:cs="Arial"/>
                <w:i/>
                <w:iCs/>
                <w:sz w:val="18"/>
                <w:szCs w:val="18"/>
                <w:lang w:val="en-US"/>
              </w:rPr>
              <w:t>The resolution plans have been approved by the relevant bodies (management and board of directors) and the corresponding responsibilities and escalation mechanisms are clearly defined</w:t>
            </w:r>
          </w:p>
          <w:p w14:paraId="62F44CD5" w14:textId="72E9856C" w:rsidR="00632CD9" w:rsidRPr="00C91977" w:rsidRDefault="00C91977" w:rsidP="00C91977">
            <w:pPr>
              <w:pStyle w:val="Listenabsatz"/>
              <w:numPr>
                <w:ilvl w:val="1"/>
                <w:numId w:val="10"/>
              </w:numPr>
              <w:spacing w:line="259" w:lineRule="auto"/>
              <w:jc w:val="both"/>
              <w:rPr>
                <w:rFonts w:cs="Arial"/>
                <w:i/>
                <w:iCs/>
                <w:sz w:val="18"/>
                <w:szCs w:val="18"/>
                <w:lang w:val="en-US"/>
              </w:rPr>
            </w:pPr>
            <w:r w:rsidRPr="00C91977">
              <w:rPr>
                <w:rFonts w:cs="Arial"/>
                <w:i/>
                <w:iCs/>
                <w:sz w:val="18"/>
                <w:szCs w:val="18"/>
                <w:lang w:val="en-US"/>
              </w:rPr>
              <w:t xml:space="preserve">The main risks </w:t>
            </w:r>
            <w:r w:rsidR="00E0332B">
              <w:rPr>
                <w:rFonts w:cs="Arial"/>
                <w:i/>
                <w:iCs/>
                <w:sz w:val="18"/>
                <w:szCs w:val="18"/>
                <w:lang w:val="en-US"/>
              </w:rPr>
              <w:t xml:space="preserve">relating to </w:t>
            </w:r>
            <w:r w:rsidRPr="00C91977">
              <w:rPr>
                <w:rFonts w:cs="Arial"/>
                <w:i/>
                <w:iCs/>
                <w:sz w:val="18"/>
                <w:szCs w:val="18"/>
                <w:lang w:val="en-US"/>
              </w:rPr>
              <w:t xml:space="preserve">a possible resolution are continuously identified, evaluated, measured, limited, monitored and </w:t>
            </w:r>
            <w:r w:rsidR="00E0332B">
              <w:rPr>
                <w:rFonts w:cs="Arial"/>
                <w:i/>
                <w:iCs/>
                <w:sz w:val="18"/>
                <w:szCs w:val="18"/>
                <w:lang w:val="en-US"/>
              </w:rPr>
              <w:t>manage</w:t>
            </w:r>
            <w:r w:rsidR="003D3B4D">
              <w:rPr>
                <w:rFonts w:cs="Arial"/>
                <w:i/>
                <w:iCs/>
                <w:sz w:val="18"/>
                <w:szCs w:val="18"/>
                <w:lang w:val="en-US"/>
              </w:rPr>
              <w:t>d</w:t>
            </w:r>
          </w:p>
        </w:tc>
      </w:tr>
      <w:tr w:rsidR="008676CE" w:rsidRPr="00AC2079" w14:paraId="68C06886" w14:textId="77777777" w:rsidTr="00387D17">
        <w:trPr>
          <w:trHeight w:val="300"/>
        </w:trPr>
        <w:tc>
          <w:tcPr>
            <w:tcW w:w="1980" w:type="dxa"/>
          </w:tcPr>
          <w:p w14:paraId="530C0C9C" w14:textId="1F6823C5" w:rsidR="008676CE" w:rsidRPr="00C91977" w:rsidRDefault="00C91977" w:rsidP="008676CE">
            <w:pPr>
              <w:spacing w:line="259" w:lineRule="auto"/>
              <w:jc w:val="both"/>
              <w:rPr>
                <w:rFonts w:ascii="Arial" w:hAnsi="Arial" w:cs="Arial"/>
                <w:i/>
                <w:iCs/>
                <w:sz w:val="18"/>
                <w:szCs w:val="18"/>
                <w:lang w:val="en-US"/>
              </w:rPr>
            </w:pPr>
            <w:r w:rsidRPr="006C43BA">
              <w:rPr>
                <w:rFonts w:ascii="Arial" w:eastAsia="Arial" w:hAnsi="Arial" w:cs="Arial"/>
                <w:i/>
                <w:iCs/>
                <w:sz w:val="18"/>
                <w:szCs w:val="18"/>
                <w:lang w:val="en-US"/>
              </w:rPr>
              <w:lastRenderedPageBreak/>
              <w:t>Internal control system, processes a</w:t>
            </w:r>
            <w:r>
              <w:rPr>
                <w:rFonts w:ascii="Arial" w:eastAsia="Arial" w:hAnsi="Arial" w:cs="Arial"/>
                <w:i/>
                <w:iCs/>
                <w:sz w:val="18"/>
                <w:szCs w:val="18"/>
                <w:lang w:val="en-US"/>
              </w:rPr>
              <w:t>nd reporting</w:t>
            </w:r>
          </w:p>
        </w:tc>
        <w:tc>
          <w:tcPr>
            <w:tcW w:w="7513" w:type="dxa"/>
          </w:tcPr>
          <w:p w14:paraId="4B6722C7" w14:textId="0FDA6485" w:rsidR="00C91977" w:rsidRPr="00C91977" w:rsidRDefault="00C91977" w:rsidP="00C91977">
            <w:pPr>
              <w:pStyle w:val="Listenabsatz"/>
              <w:numPr>
                <w:ilvl w:val="0"/>
                <w:numId w:val="15"/>
              </w:numPr>
              <w:ind w:left="316" w:hanging="316"/>
              <w:jc w:val="both"/>
              <w:rPr>
                <w:rFonts w:cs="Arial"/>
                <w:i/>
                <w:iCs/>
                <w:sz w:val="18"/>
                <w:szCs w:val="18"/>
                <w:lang w:val="en-US"/>
              </w:rPr>
            </w:pPr>
            <w:r w:rsidRPr="00C91977">
              <w:rPr>
                <w:rFonts w:cs="Arial"/>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C91977">
              <w:rPr>
                <w:rFonts w:cs="Arial"/>
                <w:i/>
                <w:iCs/>
                <w:sz w:val="18"/>
                <w:szCs w:val="18"/>
                <w:lang w:val="en-US"/>
              </w:rPr>
              <w:t>provide for the application of the</w:t>
            </w:r>
            <w:r w:rsidR="009512F6">
              <w:rPr>
                <w:rFonts w:cs="Arial"/>
                <w:i/>
                <w:iCs/>
                <w:sz w:val="18"/>
                <w:szCs w:val="18"/>
                <w:lang w:val="en-US"/>
              </w:rPr>
              <w:t xml:space="preserve"> </w:t>
            </w:r>
            <w:r w:rsidR="003F7FCB">
              <w:rPr>
                <w:i/>
                <w:iCs/>
                <w:sz w:val="18"/>
                <w:szCs w:val="18"/>
                <w:lang w:val="en-US"/>
              </w:rPr>
              <w:t>four-eyes</w:t>
            </w:r>
            <w:r w:rsidR="003F7FCB" w:rsidRPr="006C43BA">
              <w:rPr>
                <w:i/>
                <w:iCs/>
                <w:sz w:val="18"/>
                <w:szCs w:val="18"/>
                <w:lang w:val="en-US"/>
              </w:rPr>
              <w:t xml:space="preserve"> principle </w:t>
            </w:r>
            <w:r w:rsidRPr="00C91977">
              <w:rPr>
                <w:rFonts w:cs="Arial"/>
                <w:i/>
                <w:iCs/>
                <w:sz w:val="18"/>
                <w:szCs w:val="18"/>
                <w:lang w:val="en-US"/>
              </w:rPr>
              <w:t>or the separation of functions for key controls</w:t>
            </w:r>
          </w:p>
          <w:p w14:paraId="4EAE0109" w14:textId="77777777" w:rsidR="00C91977" w:rsidRPr="00C91977" w:rsidRDefault="00C91977" w:rsidP="00C91977">
            <w:pPr>
              <w:pStyle w:val="Listenabsatz"/>
              <w:numPr>
                <w:ilvl w:val="0"/>
                <w:numId w:val="15"/>
              </w:numPr>
              <w:ind w:left="316" w:hanging="316"/>
              <w:jc w:val="both"/>
              <w:rPr>
                <w:rFonts w:cs="Arial"/>
                <w:i/>
                <w:iCs/>
                <w:sz w:val="18"/>
                <w:szCs w:val="18"/>
                <w:lang w:val="en-US"/>
              </w:rPr>
            </w:pPr>
            <w:r w:rsidRPr="00C91977">
              <w:rPr>
                <w:rFonts w:cs="Arial"/>
                <w:i/>
                <w:iCs/>
                <w:sz w:val="18"/>
                <w:szCs w:val="18"/>
                <w:lang w:val="en-US"/>
              </w:rPr>
              <w:t>Data quality assurance controls are defined</w:t>
            </w:r>
          </w:p>
          <w:p w14:paraId="046AA0D2" w14:textId="4774BA7D" w:rsidR="00C91977" w:rsidRPr="00C91977" w:rsidRDefault="00C91977" w:rsidP="00C91977">
            <w:pPr>
              <w:pStyle w:val="Listenabsatz"/>
              <w:numPr>
                <w:ilvl w:val="0"/>
                <w:numId w:val="15"/>
              </w:numPr>
              <w:ind w:left="316" w:hanging="316"/>
              <w:jc w:val="both"/>
              <w:rPr>
                <w:rFonts w:cs="Arial"/>
                <w:i/>
                <w:iCs/>
                <w:sz w:val="18"/>
                <w:szCs w:val="18"/>
                <w:lang w:val="en-US"/>
              </w:rPr>
            </w:pPr>
            <w:r w:rsidRPr="00C91977">
              <w:rPr>
                <w:rFonts w:cs="Arial"/>
                <w:i/>
                <w:iCs/>
                <w:sz w:val="18"/>
                <w:szCs w:val="18"/>
                <w:lang w:val="en-US"/>
              </w:rPr>
              <w:t>A communication strategy is defined, includ</w:t>
            </w:r>
            <w:r w:rsidR="009512F6">
              <w:rPr>
                <w:rFonts w:cs="Arial"/>
                <w:i/>
                <w:iCs/>
                <w:sz w:val="18"/>
                <w:szCs w:val="18"/>
                <w:lang w:val="en-US"/>
              </w:rPr>
              <w:t>ing</w:t>
            </w:r>
            <w:r w:rsidRPr="00C91977">
              <w:rPr>
                <w:rFonts w:cs="Arial"/>
                <w:i/>
                <w:iCs/>
                <w:sz w:val="18"/>
                <w:szCs w:val="18"/>
                <w:lang w:val="en-US"/>
              </w:rPr>
              <w:t xml:space="preserve"> internal and external communication </w:t>
            </w:r>
            <w:r w:rsidR="009512F6">
              <w:rPr>
                <w:rFonts w:cs="Arial"/>
                <w:i/>
                <w:iCs/>
                <w:sz w:val="18"/>
                <w:szCs w:val="18"/>
                <w:lang w:val="en-US"/>
              </w:rPr>
              <w:t xml:space="preserve">measures before and during resolution </w:t>
            </w:r>
          </w:p>
          <w:p w14:paraId="09A85702" w14:textId="64233017" w:rsidR="00C91977" w:rsidRPr="00C91977" w:rsidRDefault="00C91977" w:rsidP="00C91977">
            <w:pPr>
              <w:pStyle w:val="Listenabsatz"/>
              <w:numPr>
                <w:ilvl w:val="0"/>
                <w:numId w:val="15"/>
              </w:numPr>
              <w:ind w:left="316" w:hanging="316"/>
              <w:jc w:val="both"/>
              <w:rPr>
                <w:rFonts w:cs="Arial"/>
                <w:i/>
                <w:iCs/>
                <w:sz w:val="18"/>
                <w:szCs w:val="18"/>
                <w:lang w:val="en-US"/>
              </w:rPr>
            </w:pPr>
            <w:r w:rsidRPr="00C91977">
              <w:rPr>
                <w:rFonts w:cs="Arial"/>
                <w:i/>
                <w:iCs/>
                <w:sz w:val="18"/>
                <w:szCs w:val="18"/>
                <w:lang w:val="en-US"/>
              </w:rPr>
              <w:t xml:space="preserve">Procedures for identifying </w:t>
            </w:r>
            <w:r w:rsidR="009512F6">
              <w:rPr>
                <w:rFonts w:cs="Arial"/>
                <w:i/>
                <w:iCs/>
                <w:sz w:val="18"/>
                <w:szCs w:val="18"/>
                <w:lang w:val="en-US"/>
              </w:rPr>
              <w:t xml:space="preserve">impediments to resolvability </w:t>
            </w:r>
            <w:r w:rsidRPr="00C91977">
              <w:rPr>
                <w:rFonts w:cs="Arial"/>
                <w:i/>
                <w:iCs/>
                <w:sz w:val="18"/>
                <w:szCs w:val="18"/>
                <w:lang w:val="en-US"/>
              </w:rPr>
              <w:t>are defined</w:t>
            </w:r>
          </w:p>
          <w:p w14:paraId="6CF8EBE7" w14:textId="247EFF38" w:rsidR="003D3B4D" w:rsidRPr="003D3B4D" w:rsidRDefault="00C91977" w:rsidP="00C91977">
            <w:pPr>
              <w:pStyle w:val="Listenabsatz"/>
              <w:numPr>
                <w:ilvl w:val="0"/>
                <w:numId w:val="15"/>
              </w:numPr>
              <w:ind w:left="316" w:hanging="316"/>
              <w:jc w:val="both"/>
              <w:rPr>
                <w:i/>
                <w:iCs/>
                <w:sz w:val="18"/>
                <w:szCs w:val="18"/>
                <w:lang w:val="en-US"/>
              </w:rPr>
            </w:pPr>
            <w:r w:rsidRPr="00C91977">
              <w:rPr>
                <w:rFonts w:cs="Arial"/>
                <w:i/>
                <w:iCs/>
                <w:sz w:val="18"/>
                <w:szCs w:val="18"/>
                <w:lang w:val="en-US"/>
              </w:rPr>
              <w:t xml:space="preserve">In the case of </w:t>
            </w:r>
            <w:r w:rsidR="009512F6">
              <w:rPr>
                <w:rFonts w:cs="Arial"/>
                <w:i/>
                <w:iCs/>
                <w:sz w:val="18"/>
                <w:szCs w:val="18"/>
                <w:lang w:val="en-US"/>
              </w:rPr>
              <w:t>impediments to resolvab</w:t>
            </w:r>
            <w:r w:rsidR="003D3B4D">
              <w:rPr>
                <w:rFonts w:cs="Arial"/>
                <w:i/>
                <w:iCs/>
                <w:sz w:val="18"/>
                <w:szCs w:val="18"/>
                <w:lang w:val="en-US"/>
              </w:rPr>
              <w:t>i</w:t>
            </w:r>
            <w:r w:rsidR="009512F6">
              <w:rPr>
                <w:rFonts w:cs="Arial"/>
                <w:i/>
                <w:iCs/>
                <w:sz w:val="18"/>
                <w:szCs w:val="18"/>
                <w:lang w:val="en-US"/>
              </w:rPr>
              <w:t>lity</w:t>
            </w:r>
            <w:r w:rsidRPr="00C91977">
              <w:rPr>
                <w:rFonts w:cs="Arial"/>
                <w:i/>
                <w:iCs/>
                <w:sz w:val="18"/>
                <w:szCs w:val="18"/>
                <w:lang w:val="en-US"/>
              </w:rPr>
              <w:t xml:space="preserve"> identified in the reporting year,</w:t>
            </w:r>
            <w:r w:rsidR="009512F6">
              <w:rPr>
                <w:rFonts w:cs="Arial"/>
                <w:i/>
                <w:iCs/>
                <w:sz w:val="18"/>
                <w:szCs w:val="18"/>
                <w:lang w:val="en-US"/>
              </w:rPr>
              <w:t xml:space="preserve"> the resolution authority was informed in a timely manner. </w:t>
            </w:r>
          </w:p>
          <w:p w14:paraId="104CAE1E" w14:textId="67E8E729" w:rsidR="00E74823" w:rsidRPr="00C91977" w:rsidRDefault="00C91977" w:rsidP="00C91977">
            <w:pPr>
              <w:pStyle w:val="Listenabsatz"/>
              <w:numPr>
                <w:ilvl w:val="0"/>
                <w:numId w:val="15"/>
              </w:numPr>
              <w:ind w:left="316" w:hanging="316"/>
              <w:jc w:val="both"/>
              <w:rPr>
                <w:i/>
                <w:iCs/>
                <w:sz w:val="18"/>
                <w:szCs w:val="18"/>
                <w:lang w:val="en-US"/>
              </w:rPr>
            </w:pPr>
            <w:r w:rsidRPr="00C91977">
              <w:rPr>
                <w:rFonts w:cs="Arial"/>
                <w:i/>
                <w:iCs/>
                <w:sz w:val="18"/>
                <w:szCs w:val="18"/>
                <w:lang w:val="en-US"/>
              </w:rPr>
              <w:t xml:space="preserve">Procedures are defined for maintaining a list of financial contracts that contains the information described in the Annex to </w:t>
            </w:r>
            <w:proofErr w:type="spellStart"/>
            <w:r w:rsidRPr="00C91977">
              <w:rPr>
                <w:rFonts w:cs="Arial"/>
                <w:i/>
                <w:iCs/>
                <w:sz w:val="18"/>
                <w:szCs w:val="18"/>
                <w:lang w:val="en-US"/>
              </w:rPr>
              <w:t>delVO</w:t>
            </w:r>
            <w:proofErr w:type="spellEnd"/>
            <w:r w:rsidRPr="00C91977">
              <w:rPr>
                <w:rFonts w:cs="Arial"/>
                <w:i/>
                <w:iCs/>
                <w:sz w:val="18"/>
                <w:szCs w:val="18"/>
                <w:lang w:val="en-US"/>
              </w:rPr>
              <w:t xml:space="preserve"> 2016/1712</w:t>
            </w:r>
          </w:p>
        </w:tc>
      </w:tr>
    </w:tbl>
    <w:p w14:paraId="289F06C0" w14:textId="6852DFE3" w:rsidR="00D27087" w:rsidRPr="00C91977" w:rsidRDefault="00D27087" w:rsidP="61EE8D92">
      <w:pPr>
        <w:pStyle w:val="FINMAGliederungEbene1"/>
        <w:numPr>
          <w:ilvl w:val="0"/>
          <w:numId w:val="0"/>
        </w:numPr>
        <w:rPr>
          <w:lang w:val="en-US"/>
        </w:rPr>
      </w:pPr>
    </w:p>
    <w:p w14:paraId="79C944E6" w14:textId="5A2FDF36" w:rsidR="008F7659" w:rsidRPr="00B50531" w:rsidRDefault="008F7659" w:rsidP="00C37D08">
      <w:pPr>
        <w:pStyle w:val="FINMAGliederungEbene2"/>
        <w:rPr>
          <w:lang w:val="en-US"/>
        </w:rPr>
      </w:pPr>
      <w:bookmarkStart w:id="31" w:name="_Toc145409743"/>
      <w:r w:rsidRPr="00B50531">
        <w:rPr>
          <w:lang w:val="en-US"/>
        </w:rPr>
        <w:t>Management Information System (MIS)</w:t>
      </w:r>
      <w:bookmarkEnd w:id="31"/>
    </w:p>
    <w:p w14:paraId="68B6FC5A" w14:textId="77777777" w:rsidR="008F7659" w:rsidRPr="00B50531" w:rsidRDefault="008F7659" w:rsidP="008F7659">
      <w:pPr>
        <w:pStyle w:val="FINMAGliederungEbene2"/>
        <w:numPr>
          <w:ilvl w:val="0"/>
          <w:numId w:val="0"/>
        </w:numPr>
        <w:ind w:left="576"/>
        <w:rPr>
          <w:lang w:val="en-US"/>
        </w:rPr>
      </w:pPr>
    </w:p>
    <w:tbl>
      <w:tblPr>
        <w:tblStyle w:val="Tabellenraster"/>
        <w:tblpPr w:leftFromText="141" w:rightFromText="141" w:vertAnchor="text" w:tblpY="1"/>
        <w:tblOverlap w:val="never"/>
        <w:tblW w:w="0" w:type="auto"/>
        <w:tblLook w:val="04A0" w:firstRow="1" w:lastRow="0" w:firstColumn="1" w:lastColumn="0" w:noHBand="0" w:noVBand="1"/>
      </w:tblPr>
      <w:tblGrid>
        <w:gridCol w:w="417"/>
        <w:gridCol w:w="1653"/>
        <w:gridCol w:w="2145"/>
        <w:gridCol w:w="1721"/>
        <w:gridCol w:w="822"/>
        <w:gridCol w:w="2560"/>
      </w:tblGrid>
      <w:tr w:rsidR="00780FEC" w:rsidRPr="00AC2079" w14:paraId="4E3F2017" w14:textId="77777777" w:rsidTr="00272756">
        <w:trPr>
          <w:trHeight w:val="563"/>
        </w:trPr>
        <w:tc>
          <w:tcPr>
            <w:tcW w:w="2070" w:type="dxa"/>
            <w:gridSpan w:val="2"/>
            <w:shd w:val="clear" w:color="auto" w:fill="DBE5F1" w:themeFill="accent1" w:themeFillTint="33"/>
          </w:tcPr>
          <w:p w14:paraId="4EFBE861" w14:textId="562BAA6C"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145" w:type="dxa"/>
            <w:shd w:val="clear" w:color="auto" w:fill="DBE5F1" w:themeFill="accent1" w:themeFillTint="33"/>
          </w:tcPr>
          <w:p w14:paraId="310EA95B" w14:textId="010C8EF0"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103" w:type="dxa"/>
            <w:gridSpan w:val="3"/>
            <w:shd w:val="clear" w:color="auto" w:fill="DBE5F1" w:themeFill="accent1" w:themeFillTint="33"/>
          </w:tcPr>
          <w:p w14:paraId="1A83D2EA" w14:textId="1BF55F7E"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5E3896A7" w14:textId="77777777" w:rsidTr="00272756">
        <w:trPr>
          <w:trHeight w:val="698"/>
        </w:trPr>
        <w:tc>
          <w:tcPr>
            <w:tcW w:w="2070" w:type="dxa"/>
            <w:gridSpan w:val="2"/>
            <w:shd w:val="clear" w:color="auto" w:fill="DBE5F1" w:themeFill="accent1" w:themeFillTint="33"/>
          </w:tcPr>
          <w:p w14:paraId="66BEFE53" w14:textId="42368C89"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482FAC8A" w14:textId="1FBDC826"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67FB03AC" w14:textId="70034B92"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6686D8D0" w14:textId="7881AEB0"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r>
      <w:tr w:rsidR="008F7659" w:rsidRPr="00AC2079" w14:paraId="5197AA3A" w14:textId="77777777" w:rsidTr="00272756">
        <w:trPr>
          <w:trHeight w:val="636"/>
        </w:trPr>
        <w:tc>
          <w:tcPr>
            <w:tcW w:w="9318" w:type="dxa"/>
            <w:gridSpan w:val="6"/>
            <w:shd w:val="clear" w:color="auto" w:fill="DBE5F1" w:themeFill="accent1" w:themeFillTint="33"/>
          </w:tcPr>
          <w:p w14:paraId="08472184" w14:textId="77777777" w:rsidR="00780FEC"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183E6176" w14:textId="74CFB94B" w:rsidR="004E065F" w:rsidRPr="004E065F" w:rsidRDefault="00814D13" w:rsidP="00DA033C">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B2497B">
              <w:rPr>
                <w:rFonts w:cs="Arial"/>
                <w:sz w:val="18"/>
                <w:szCs w:val="18"/>
                <w:lang w:val="en-US"/>
              </w:rPr>
              <w:t xml:space="preserve">Delegated Regulation </w:t>
            </w:r>
            <w:r w:rsidR="004E065F" w:rsidRPr="004E065F">
              <w:rPr>
                <w:rFonts w:cs="Arial"/>
                <w:sz w:val="18"/>
                <w:szCs w:val="18"/>
                <w:lang w:val="en-US"/>
              </w:rPr>
              <w:t>(EU) 2016/1401 with regard to regulatory technical standards for methodologies and principles on the valuation of liabilities arising from derivative</w:t>
            </w:r>
          </w:p>
          <w:p w14:paraId="210D6C96" w14:textId="26BE4AE8" w:rsidR="00425256" w:rsidRPr="00E8775E" w:rsidRDefault="00814D13" w:rsidP="001812B4">
            <w:pPr>
              <w:pStyle w:val="Listenabsatz"/>
              <w:numPr>
                <w:ilvl w:val="0"/>
                <w:numId w:val="9"/>
              </w:numPr>
              <w:ind w:left="308"/>
              <w:jc w:val="both"/>
              <w:rPr>
                <w:rFonts w:cs="Arial"/>
                <w:sz w:val="18"/>
                <w:szCs w:val="18"/>
                <w:lang w:val="en-GB"/>
              </w:rPr>
            </w:pPr>
            <w:r>
              <w:rPr>
                <w:rFonts w:cs="Arial"/>
                <w:sz w:val="18"/>
                <w:szCs w:val="18"/>
                <w:lang w:val="en-US"/>
              </w:rPr>
              <w:t xml:space="preserve">Commission </w:t>
            </w:r>
            <w:r w:rsidR="00B2497B">
              <w:rPr>
                <w:rFonts w:cs="Arial"/>
                <w:sz w:val="18"/>
                <w:szCs w:val="18"/>
                <w:lang w:val="en-US"/>
              </w:rPr>
              <w:t xml:space="preserve">Delegated Regulation </w:t>
            </w:r>
            <w:r w:rsidR="00425256" w:rsidRPr="00425256">
              <w:rPr>
                <w:rFonts w:cs="Arial"/>
                <w:sz w:val="18"/>
                <w:szCs w:val="18"/>
                <w:lang w:val="en-US"/>
              </w:rPr>
              <w:t>(EU) 2018/344 of 14 November 2017 supplementing Directive 2014/59/EU of the European Parliament and of the Council with regard to regulatory technical standards specifying the criteria relating to the methodologies for valuation of difference in treatment in resolution</w:t>
            </w:r>
          </w:p>
          <w:p w14:paraId="78B74AF9" w14:textId="2860B384" w:rsidR="00827926" w:rsidRPr="0013343C" w:rsidRDefault="00814D13" w:rsidP="001812B4">
            <w:pPr>
              <w:pStyle w:val="Listenabsatz"/>
              <w:numPr>
                <w:ilvl w:val="0"/>
                <w:numId w:val="9"/>
              </w:numPr>
              <w:ind w:left="308"/>
              <w:jc w:val="both"/>
              <w:rPr>
                <w:rFonts w:cs="Arial"/>
                <w:sz w:val="18"/>
                <w:szCs w:val="18"/>
                <w:lang w:val="en-US"/>
              </w:rPr>
            </w:pPr>
            <w:r>
              <w:rPr>
                <w:rFonts w:cs="Arial"/>
                <w:sz w:val="18"/>
                <w:szCs w:val="18"/>
                <w:lang w:val="en-US"/>
              </w:rPr>
              <w:t xml:space="preserve">Commission </w:t>
            </w:r>
            <w:r w:rsidR="00B2497B">
              <w:rPr>
                <w:rFonts w:cs="Arial"/>
                <w:sz w:val="18"/>
                <w:szCs w:val="18"/>
                <w:lang w:val="en-US"/>
              </w:rPr>
              <w:t xml:space="preserve">Delegated Regulation </w:t>
            </w:r>
            <w:r w:rsidR="0013343C" w:rsidRPr="0013343C">
              <w:rPr>
                <w:rFonts w:cs="Arial"/>
                <w:sz w:val="18"/>
                <w:szCs w:val="18"/>
                <w:lang w:val="en-US"/>
              </w:rPr>
              <w:t>(EU) 2018/345 of 14 November 2017 supplementing Directive 2014/59/EU of the European Parliament and of the Council with regard to regulatory technical standards specifying the criteria relating to the methodology for assessing the value of assets and liabilities of institutions or entities</w:t>
            </w:r>
          </w:p>
          <w:p w14:paraId="2A4D1E51" w14:textId="71BB2206" w:rsidR="00B03DD6" w:rsidRDefault="008A08AF" w:rsidP="00B03DD6">
            <w:pPr>
              <w:pStyle w:val="Listenabsatz"/>
              <w:numPr>
                <w:ilvl w:val="0"/>
                <w:numId w:val="9"/>
              </w:numPr>
              <w:ind w:left="308"/>
              <w:jc w:val="both"/>
              <w:rPr>
                <w:rFonts w:cs="Arial"/>
                <w:sz w:val="18"/>
                <w:szCs w:val="18"/>
                <w:lang w:val="en-US"/>
              </w:rPr>
            </w:pPr>
            <w:r w:rsidRPr="00B620A2">
              <w:rPr>
                <w:rFonts w:cs="Arial"/>
                <w:sz w:val="18"/>
                <w:szCs w:val="18"/>
                <w:lang w:val="en-US"/>
              </w:rPr>
              <w:t>EBA Guidelines on improving resolvability for institutions and resolution authorities (EBA/GL/2022/01)</w:t>
            </w:r>
          </w:p>
          <w:p w14:paraId="1093A84A" w14:textId="03608EA6" w:rsidR="00827926" w:rsidRPr="00B03DD6" w:rsidRDefault="00827926" w:rsidP="00B03DD6">
            <w:pPr>
              <w:pStyle w:val="Listenabsatz"/>
              <w:numPr>
                <w:ilvl w:val="0"/>
                <w:numId w:val="9"/>
              </w:numPr>
              <w:ind w:left="308"/>
              <w:jc w:val="both"/>
              <w:rPr>
                <w:rFonts w:cs="Arial"/>
                <w:sz w:val="18"/>
                <w:szCs w:val="18"/>
                <w:lang w:val="en-US"/>
              </w:rPr>
            </w:pPr>
            <w:r w:rsidRPr="00B03DD6">
              <w:rPr>
                <w:rFonts w:cs="Arial"/>
                <w:sz w:val="18"/>
                <w:szCs w:val="18"/>
                <w:lang w:val="en-US"/>
              </w:rPr>
              <w:t>EBA Valuation Handbook (“Handbook of valuation for purposes of resolution”)</w:t>
            </w:r>
          </w:p>
          <w:p w14:paraId="4E2DE42E" w14:textId="1421B838" w:rsidR="00E75BEB" w:rsidRPr="00B03DD6" w:rsidRDefault="00432521" w:rsidP="0096765A">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8F7659" w:rsidRPr="00AC2079" w14:paraId="04266C09" w14:textId="77777777" w:rsidTr="00272756">
        <w:trPr>
          <w:trHeight w:val="294"/>
        </w:trPr>
        <w:tc>
          <w:tcPr>
            <w:tcW w:w="9318" w:type="dxa"/>
            <w:gridSpan w:val="6"/>
          </w:tcPr>
          <w:p w14:paraId="426A5407" w14:textId="77777777" w:rsidR="008F7659" w:rsidRPr="00B03DD6" w:rsidRDefault="008F7659" w:rsidP="00A62A63">
            <w:pPr>
              <w:jc w:val="both"/>
              <w:rPr>
                <w:rFonts w:ascii="Arial" w:hAnsi="Arial" w:cs="Arial"/>
                <w:sz w:val="18"/>
                <w:szCs w:val="18"/>
                <w:lang w:val="en-US"/>
              </w:rPr>
            </w:pPr>
          </w:p>
        </w:tc>
      </w:tr>
      <w:tr w:rsidR="00272756" w:rsidRPr="00AC2079" w14:paraId="6E9DC3ED" w14:textId="77777777" w:rsidTr="00272756">
        <w:trPr>
          <w:trHeight w:val="294"/>
        </w:trPr>
        <w:tc>
          <w:tcPr>
            <w:tcW w:w="417" w:type="dxa"/>
          </w:tcPr>
          <w:p w14:paraId="392A5CDF" w14:textId="18C7A323" w:rsidR="00272756" w:rsidRPr="00B50531" w:rsidRDefault="00272756" w:rsidP="00272756">
            <w:pPr>
              <w:jc w:val="both"/>
              <w:rPr>
                <w:rFonts w:ascii="Arial" w:hAnsi="Arial" w:cs="Arial"/>
                <w:sz w:val="18"/>
                <w:szCs w:val="18"/>
                <w:lang w:val="en-US"/>
              </w:rPr>
            </w:pPr>
            <w:r w:rsidRPr="00B50531">
              <w:rPr>
                <w:rFonts w:ascii="Arial" w:hAnsi="Arial" w:cs="Arial"/>
                <w:sz w:val="18"/>
                <w:szCs w:val="18"/>
                <w:lang w:val="en-US"/>
              </w:rPr>
              <w:t>1</w:t>
            </w:r>
          </w:p>
        </w:tc>
        <w:tc>
          <w:tcPr>
            <w:tcW w:w="6341" w:type="dxa"/>
            <w:gridSpan w:val="4"/>
          </w:tcPr>
          <w:p w14:paraId="2939B0ED" w14:textId="1B31FC26" w:rsidR="00272756" w:rsidRPr="00B72448" w:rsidRDefault="00B72448" w:rsidP="00272756">
            <w:pPr>
              <w:jc w:val="both"/>
              <w:rPr>
                <w:rFonts w:ascii="Arial" w:hAnsi="Arial" w:cs="Arial"/>
                <w:sz w:val="18"/>
                <w:szCs w:val="18"/>
                <w:lang w:val="en-US"/>
              </w:rPr>
            </w:pPr>
            <w:r w:rsidRPr="00B72448">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72448">
              <w:rPr>
                <w:rFonts w:ascii="Arial" w:hAnsi="Arial" w:cs="Arial"/>
                <w:sz w:val="18"/>
                <w:szCs w:val="18"/>
                <w:lang w:val="en-US"/>
              </w:rPr>
              <w:t>enable an adequate data infrastructure, which contains the necessary information for the implementation of the resolution tools according to EBA/GL/2022/01 (including information about the ownership of assets and infrastructure, pricing, contractual rights and agreements, as well as outsourcing agreements).</w:t>
            </w:r>
          </w:p>
        </w:tc>
        <w:tc>
          <w:tcPr>
            <w:tcW w:w="2560" w:type="dxa"/>
          </w:tcPr>
          <w:p w14:paraId="25454CBD" w14:textId="59A6BF06" w:rsidR="00272756" w:rsidRPr="00780FEC" w:rsidRDefault="00665CEC" w:rsidP="00272756">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7800CF" w:rsidRPr="00AC2079" w14:paraId="6811CA1F" w14:textId="77777777" w:rsidTr="00272756">
        <w:trPr>
          <w:trHeight w:val="294"/>
        </w:trPr>
        <w:tc>
          <w:tcPr>
            <w:tcW w:w="417" w:type="dxa"/>
          </w:tcPr>
          <w:p w14:paraId="141EA8DB" w14:textId="01C5CB93" w:rsidR="00272756" w:rsidRPr="00780FEC" w:rsidRDefault="00272756" w:rsidP="00272756">
            <w:pPr>
              <w:jc w:val="both"/>
              <w:rPr>
                <w:rFonts w:ascii="Arial" w:hAnsi="Arial" w:cs="Arial"/>
                <w:sz w:val="18"/>
                <w:szCs w:val="18"/>
                <w:lang w:val="en-US"/>
              </w:rPr>
            </w:pPr>
          </w:p>
          <w:p w14:paraId="0E9837B7" w14:textId="7740889C" w:rsidR="007800CF" w:rsidRPr="00B50531" w:rsidRDefault="00272756" w:rsidP="00A62A63">
            <w:pPr>
              <w:jc w:val="both"/>
              <w:rPr>
                <w:rFonts w:ascii="Arial" w:hAnsi="Arial" w:cs="Arial"/>
                <w:sz w:val="18"/>
                <w:szCs w:val="18"/>
                <w:lang w:val="en-US"/>
              </w:rPr>
            </w:pPr>
            <w:r w:rsidRPr="00B50531">
              <w:rPr>
                <w:rFonts w:ascii="Arial" w:hAnsi="Arial" w:cs="Arial"/>
                <w:sz w:val="18"/>
                <w:szCs w:val="18"/>
                <w:lang w:val="en-US"/>
              </w:rPr>
              <w:t>2</w:t>
            </w:r>
          </w:p>
        </w:tc>
        <w:tc>
          <w:tcPr>
            <w:tcW w:w="6341" w:type="dxa"/>
            <w:gridSpan w:val="4"/>
          </w:tcPr>
          <w:p w14:paraId="009E2E4B" w14:textId="740EA64C" w:rsidR="007800CF" w:rsidRPr="00B72448" w:rsidRDefault="00B72448" w:rsidP="00A62A63">
            <w:pPr>
              <w:jc w:val="both"/>
              <w:rPr>
                <w:rFonts w:ascii="Arial" w:hAnsi="Arial" w:cs="Arial"/>
                <w:sz w:val="18"/>
                <w:szCs w:val="18"/>
                <w:lang w:val="en-US"/>
              </w:rPr>
            </w:pPr>
            <w:r w:rsidRPr="00B72448">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72448">
              <w:rPr>
                <w:rFonts w:ascii="Arial" w:hAnsi="Arial" w:cs="Arial"/>
                <w:sz w:val="18"/>
                <w:szCs w:val="18"/>
                <w:lang w:val="en-US"/>
              </w:rPr>
              <w:t xml:space="preserve">enable an appropriate Management Information System (MIS) even in times of crisis, </w:t>
            </w:r>
            <w:r w:rsidR="006856EB">
              <w:rPr>
                <w:rFonts w:ascii="Arial" w:hAnsi="Arial" w:cs="Arial"/>
                <w:sz w:val="18"/>
                <w:szCs w:val="18"/>
                <w:lang w:val="en-US"/>
              </w:rPr>
              <w:t>providing</w:t>
            </w:r>
            <w:r w:rsidRPr="00B72448">
              <w:rPr>
                <w:rFonts w:ascii="Arial" w:hAnsi="Arial" w:cs="Arial"/>
                <w:sz w:val="18"/>
                <w:szCs w:val="18"/>
                <w:lang w:val="en-US"/>
              </w:rPr>
              <w:t xml:space="preserve"> the resolution authority with relevant information (including information about the ownership of assets and infrastructure, pricing, contractual rights and agreements, as well as outsourcing agreements) </w:t>
            </w:r>
            <w:r w:rsidR="006856EB">
              <w:rPr>
                <w:rFonts w:ascii="Arial" w:hAnsi="Arial" w:cs="Arial"/>
                <w:sz w:val="18"/>
                <w:szCs w:val="18"/>
                <w:lang w:val="en-US"/>
              </w:rPr>
              <w:t xml:space="preserve">in a timely manner </w:t>
            </w:r>
            <w:r w:rsidRPr="00B72448">
              <w:rPr>
                <w:rFonts w:ascii="Arial" w:hAnsi="Arial" w:cs="Arial"/>
                <w:sz w:val="18"/>
                <w:szCs w:val="18"/>
                <w:lang w:val="en-US"/>
              </w:rPr>
              <w:t xml:space="preserve">before and during </w:t>
            </w:r>
            <w:r w:rsidR="006856EB">
              <w:rPr>
                <w:rFonts w:ascii="Arial" w:hAnsi="Arial" w:cs="Arial"/>
                <w:sz w:val="18"/>
                <w:szCs w:val="18"/>
                <w:lang w:val="en-US"/>
              </w:rPr>
              <w:t>resolution</w:t>
            </w:r>
            <w:r w:rsidRPr="00B72448">
              <w:rPr>
                <w:rFonts w:ascii="Arial" w:hAnsi="Arial" w:cs="Arial"/>
                <w:sz w:val="18"/>
                <w:szCs w:val="18"/>
                <w:lang w:val="en-US"/>
              </w:rPr>
              <w:t>.</w:t>
            </w:r>
          </w:p>
        </w:tc>
        <w:tc>
          <w:tcPr>
            <w:tcW w:w="2560" w:type="dxa"/>
          </w:tcPr>
          <w:p w14:paraId="506FB223" w14:textId="1A96279B" w:rsidR="007800CF" w:rsidRPr="00780FEC" w:rsidRDefault="00665CEC" w:rsidP="00A62A63">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4F6ADA38" w14:textId="77777777" w:rsidR="008F7659" w:rsidRPr="00780FEC" w:rsidRDefault="008F7659" w:rsidP="009A53E3">
      <w:pPr>
        <w:pStyle w:val="FINMAGliederungEbene2"/>
        <w:numPr>
          <w:ilvl w:val="1"/>
          <w:numId w:val="0"/>
        </w:numPr>
        <w:rPr>
          <w:lang w:val="en-US"/>
        </w:rPr>
      </w:pPr>
    </w:p>
    <w:tbl>
      <w:tblPr>
        <w:tblStyle w:val="Tabellenraster"/>
        <w:tblW w:w="0" w:type="auto"/>
        <w:tblLook w:val="04A0" w:firstRow="1" w:lastRow="0" w:firstColumn="1" w:lastColumn="0" w:noHBand="0" w:noVBand="1"/>
      </w:tblPr>
      <w:tblGrid>
        <w:gridCol w:w="1980"/>
        <w:gridCol w:w="7371"/>
      </w:tblGrid>
      <w:tr w:rsidR="009A53E3" w:rsidRPr="00B50531" w14:paraId="6F564BF9" w14:textId="77777777" w:rsidTr="5BDDCDE6">
        <w:trPr>
          <w:trHeight w:val="300"/>
        </w:trPr>
        <w:tc>
          <w:tcPr>
            <w:tcW w:w="1980" w:type="dxa"/>
          </w:tcPr>
          <w:p w14:paraId="6198AC12" w14:textId="4DEA11FA" w:rsidR="009A53E3" w:rsidRPr="00B50531" w:rsidRDefault="00B72448" w:rsidP="00387D17">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371" w:type="dxa"/>
          </w:tcPr>
          <w:p w14:paraId="390E2961" w14:textId="02A51E43" w:rsidR="009A53E3" w:rsidRPr="00B50531" w:rsidRDefault="00B72448" w:rsidP="00387D17">
            <w:pPr>
              <w:jc w:val="both"/>
              <w:rPr>
                <w:rFonts w:ascii="Arial" w:hAnsi="Arial" w:cs="Arial"/>
                <w:b/>
                <w:bCs/>
                <w:i/>
                <w:iCs/>
                <w:sz w:val="18"/>
                <w:szCs w:val="18"/>
                <w:lang w:val="en-US"/>
              </w:rPr>
            </w:pPr>
            <w:r>
              <w:rPr>
                <w:rFonts w:ascii="Arial" w:hAnsi="Arial" w:cs="Arial"/>
                <w:b/>
                <w:bCs/>
                <w:i/>
                <w:iCs/>
                <w:sz w:val="18"/>
                <w:szCs w:val="18"/>
                <w:lang w:val="en-US"/>
              </w:rPr>
              <w:t>Minimum audit contents</w:t>
            </w:r>
            <w:r w:rsidR="0087018F">
              <w:rPr>
                <w:rFonts w:ascii="Arial" w:hAnsi="Arial" w:cs="Arial"/>
                <w:b/>
                <w:bCs/>
                <w:i/>
                <w:iCs/>
                <w:sz w:val="18"/>
                <w:szCs w:val="18"/>
                <w:lang w:val="en-US"/>
              </w:rPr>
              <w:t xml:space="preserve"> </w:t>
            </w:r>
            <w:r w:rsidR="0087018F">
              <w:rPr>
                <w:rFonts w:ascii="Arial" w:eastAsia="Arial" w:hAnsi="Arial" w:cs="Arial"/>
                <w:b/>
                <w:bCs/>
                <w:i/>
                <w:iCs/>
                <w:sz w:val="18"/>
                <w:szCs w:val="18"/>
                <w:lang w:val="en-US"/>
              </w:rPr>
              <w:t>(“Sample”)</w:t>
            </w:r>
          </w:p>
        </w:tc>
      </w:tr>
      <w:tr w:rsidR="00E922A6" w:rsidRPr="00AC2079" w14:paraId="4D42BD49" w14:textId="77777777" w:rsidTr="5BDDCDE6">
        <w:trPr>
          <w:trHeight w:val="300"/>
        </w:trPr>
        <w:tc>
          <w:tcPr>
            <w:tcW w:w="1980" w:type="dxa"/>
          </w:tcPr>
          <w:p w14:paraId="57505F35" w14:textId="6AE27813" w:rsidR="00E922A6" w:rsidRPr="00B50531" w:rsidRDefault="00B72448" w:rsidP="00387D17">
            <w:pPr>
              <w:spacing w:line="259" w:lineRule="auto"/>
              <w:jc w:val="both"/>
              <w:rPr>
                <w:rFonts w:ascii="Arial" w:hAnsi="Arial" w:cs="Arial"/>
                <w:i/>
                <w:iCs/>
                <w:sz w:val="18"/>
                <w:szCs w:val="18"/>
                <w:lang w:val="en-US"/>
              </w:rPr>
            </w:pPr>
            <w:r>
              <w:rPr>
                <w:rFonts w:ascii="Arial" w:hAnsi="Arial" w:cs="Arial"/>
                <w:i/>
                <w:iCs/>
                <w:sz w:val="18"/>
                <w:szCs w:val="18"/>
                <w:lang w:val="en-US"/>
              </w:rPr>
              <w:t xml:space="preserve">Internal </w:t>
            </w:r>
            <w:proofErr w:type="spellStart"/>
            <w:r>
              <w:rPr>
                <w:rFonts w:ascii="Arial" w:hAnsi="Arial" w:cs="Arial"/>
                <w:i/>
                <w:iCs/>
                <w:sz w:val="18"/>
                <w:szCs w:val="18"/>
                <w:lang w:val="en-US"/>
              </w:rPr>
              <w:t>organisation</w:t>
            </w:r>
            <w:proofErr w:type="spellEnd"/>
          </w:p>
        </w:tc>
        <w:tc>
          <w:tcPr>
            <w:tcW w:w="7371" w:type="dxa"/>
          </w:tcPr>
          <w:p w14:paraId="037BEF69" w14:textId="20634534" w:rsidR="00B72448" w:rsidRPr="00B72448" w:rsidRDefault="00B72448" w:rsidP="00B72448">
            <w:pPr>
              <w:pStyle w:val="Listenabsatz"/>
              <w:numPr>
                <w:ilvl w:val="1"/>
                <w:numId w:val="6"/>
              </w:numPr>
              <w:spacing w:line="259" w:lineRule="auto"/>
              <w:ind w:left="316" w:hanging="316"/>
              <w:jc w:val="both"/>
              <w:rPr>
                <w:rFonts w:cs="Arial"/>
                <w:i/>
                <w:iCs/>
                <w:sz w:val="18"/>
                <w:szCs w:val="18"/>
                <w:lang w:val="en-US"/>
              </w:rPr>
            </w:pPr>
            <w:r w:rsidRPr="00B72448">
              <w:rPr>
                <w:rFonts w:cs="Arial"/>
                <w:i/>
                <w:iCs/>
                <w:sz w:val="18"/>
                <w:szCs w:val="18"/>
                <w:lang w:val="en-US"/>
              </w:rPr>
              <w:t xml:space="preserve">The internal </w:t>
            </w:r>
            <w:proofErr w:type="spellStart"/>
            <w:r w:rsidRPr="00B72448">
              <w:rPr>
                <w:rFonts w:cs="Arial"/>
                <w:i/>
                <w:iCs/>
                <w:sz w:val="18"/>
                <w:szCs w:val="18"/>
                <w:lang w:val="en-US"/>
              </w:rPr>
              <w:t>organi</w:t>
            </w:r>
            <w:r w:rsidR="00D4040A">
              <w:rPr>
                <w:rFonts w:cs="Arial"/>
                <w:i/>
                <w:iCs/>
                <w:sz w:val="18"/>
                <w:szCs w:val="18"/>
                <w:lang w:val="en-US"/>
              </w:rPr>
              <w:t>s</w:t>
            </w:r>
            <w:r w:rsidRPr="00B72448">
              <w:rPr>
                <w:rFonts w:cs="Arial"/>
                <w:i/>
                <w:iCs/>
                <w:sz w:val="18"/>
                <w:szCs w:val="18"/>
                <w:lang w:val="en-US"/>
              </w:rPr>
              <w:t>ational</w:t>
            </w:r>
            <w:proofErr w:type="spellEnd"/>
            <w:r w:rsidRPr="00B72448">
              <w:rPr>
                <w:rFonts w:cs="Arial"/>
                <w:i/>
                <w:iCs/>
                <w:sz w:val="18"/>
                <w:szCs w:val="18"/>
                <w:lang w:val="en-US"/>
              </w:rPr>
              <w:t xml:space="preserve"> structure (e.g. technical, human and professional resources as well as IT systems) ensures the continuous functioning of an appropriate MIS, even during </w:t>
            </w:r>
            <w:r w:rsidR="00D4040A">
              <w:rPr>
                <w:rFonts w:cs="Arial"/>
                <w:i/>
                <w:iCs/>
                <w:sz w:val="18"/>
                <w:szCs w:val="18"/>
                <w:lang w:val="en-US"/>
              </w:rPr>
              <w:t>resolution</w:t>
            </w:r>
          </w:p>
          <w:p w14:paraId="41614FE4" w14:textId="03B0694A" w:rsidR="00827926" w:rsidRPr="00B72448" w:rsidRDefault="00B72448" w:rsidP="00B72448">
            <w:pPr>
              <w:pStyle w:val="Listenabsatz"/>
              <w:numPr>
                <w:ilvl w:val="1"/>
                <w:numId w:val="6"/>
              </w:numPr>
              <w:spacing w:line="259" w:lineRule="auto"/>
              <w:ind w:left="316" w:hanging="316"/>
              <w:jc w:val="both"/>
              <w:rPr>
                <w:rFonts w:cs="Arial"/>
                <w:i/>
                <w:iCs/>
                <w:sz w:val="18"/>
                <w:szCs w:val="18"/>
                <w:lang w:val="en-US"/>
              </w:rPr>
            </w:pPr>
            <w:r w:rsidRPr="00B72448">
              <w:rPr>
                <w:rFonts w:cs="Arial"/>
                <w:i/>
                <w:iCs/>
                <w:sz w:val="18"/>
                <w:szCs w:val="18"/>
                <w:lang w:val="en-US"/>
              </w:rPr>
              <w:t xml:space="preserve">There is an appropriate data infrastructure, which contains </w:t>
            </w:r>
            <w:r w:rsidR="00D4040A">
              <w:rPr>
                <w:rFonts w:cs="Arial"/>
                <w:i/>
                <w:iCs/>
                <w:sz w:val="18"/>
                <w:szCs w:val="18"/>
                <w:lang w:val="en-US"/>
              </w:rPr>
              <w:t>inter alia</w:t>
            </w:r>
            <w:r w:rsidRPr="00B72448">
              <w:rPr>
                <w:rFonts w:cs="Arial"/>
                <w:i/>
                <w:iCs/>
                <w:sz w:val="18"/>
                <w:szCs w:val="18"/>
                <w:lang w:val="en-US"/>
              </w:rPr>
              <w:t xml:space="preserve"> information about the services provided, ownership of assets and infrastructure, pricing, contractual rights and agreements as well as outsourcing agreements (</w:t>
            </w:r>
            <w:r w:rsidR="003D3B4D">
              <w:rPr>
                <w:rFonts w:cs="Arial"/>
                <w:i/>
                <w:iCs/>
                <w:sz w:val="18"/>
                <w:szCs w:val="18"/>
                <w:lang w:val="en-US"/>
              </w:rPr>
              <w:t>“</w:t>
            </w:r>
            <w:r w:rsidR="00101378">
              <w:rPr>
                <w:rFonts w:cs="Arial"/>
                <w:i/>
                <w:iCs/>
                <w:sz w:val="18"/>
                <w:szCs w:val="18"/>
                <w:lang w:val="en-US"/>
              </w:rPr>
              <w:t>s</w:t>
            </w:r>
            <w:r w:rsidRPr="00B72448">
              <w:rPr>
                <w:rFonts w:cs="Arial"/>
                <w:i/>
                <w:iCs/>
                <w:sz w:val="18"/>
                <w:szCs w:val="18"/>
                <w:lang w:val="en-US"/>
              </w:rPr>
              <w:t xml:space="preserve">ervice </w:t>
            </w:r>
            <w:r w:rsidR="00101378">
              <w:rPr>
                <w:rFonts w:cs="Arial"/>
                <w:i/>
                <w:iCs/>
                <w:sz w:val="18"/>
                <w:szCs w:val="18"/>
                <w:lang w:val="en-US"/>
              </w:rPr>
              <w:t>c</w:t>
            </w:r>
            <w:r w:rsidRPr="00B72448">
              <w:rPr>
                <w:rFonts w:cs="Arial"/>
                <w:i/>
                <w:iCs/>
                <w:sz w:val="18"/>
                <w:szCs w:val="18"/>
                <w:lang w:val="en-US"/>
              </w:rPr>
              <w:t>atalogue</w:t>
            </w:r>
            <w:r w:rsidR="003D3B4D">
              <w:rPr>
                <w:rFonts w:cs="Arial"/>
                <w:i/>
                <w:iCs/>
                <w:sz w:val="18"/>
                <w:szCs w:val="18"/>
                <w:lang w:val="en-US"/>
              </w:rPr>
              <w:t>”</w:t>
            </w:r>
            <w:r w:rsidRPr="00B72448">
              <w:rPr>
                <w:rFonts w:cs="Arial"/>
                <w:i/>
                <w:iCs/>
                <w:sz w:val="18"/>
                <w:szCs w:val="18"/>
                <w:lang w:val="en-US"/>
              </w:rPr>
              <w:t>)</w:t>
            </w:r>
          </w:p>
        </w:tc>
      </w:tr>
      <w:tr w:rsidR="00E922A6" w:rsidRPr="00AC2079" w14:paraId="291AD886" w14:textId="77777777" w:rsidTr="5BDDCDE6">
        <w:trPr>
          <w:trHeight w:val="300"/>
        </w:trPr>
        <w:tc>
          <w:tcPr>
            <w:tcW w:w="1980" w:type="dxa"/>
          </w:tcPr>
          <w:p w14:paraId="4945011B" w14:textId="2C62177B" w:rsidR="00E922A6" w:rsidRPr="00B50531" w:rsidRDefault="00B72448" w:rsidP="00387D17">
            <w:pPr>
              <w:spacing w:line="259" w:lineRule="auto"/>
              <w:jc w:val="both"/>
              <w:rPr>
                <w:rFonts w:ascii="Arial" w:hAnsi="Arial" w:cs="Arial"/>
                <w:i/>
                <w:iCs/>
                <w:sz w:val="18"/>
                <w:szCs w:val="18"/>
                <w:lang w:val="en-US"/>
              </w:rPr>
            </w:pPr>
            <w:r>
              <w:rPr>
                <w:rFonts w:ascii="Arial" w:hAnsi="Arial" w:cs="Arial"/>
                <w:i/>
                <w:iCs/>
                <w:sz w:val="18"/>
                <w:szCs w:val="18"/>
                <w:lang w:val="en-US"/>
              </w:rPr>
              <w:t>Internal controls</w:t>
            </w:r>
            <w:r w:rsidR="00266A05" w:rsidRPr="00B50531">
              <w:rPr>
                <w:rFonts w:ascii="Arial" w:hAnsi="Arial" w:cs="Arial"/>
                <w:i/>
                <w:iCs/>
                <w:sz w:val="18"/>
                <w:szCs w:val="18"/>
                <w:lang w:val="en-US"/>
              </w:rPr>
              <w:t xml:space="preserve"> </w:t>
            </w:r>
          </w:p>
        </w:tc>
        <w:tc>
          <w:tcPr>
            <w:tcW w:w="7371" w:type="dxa"/>
          </w:tcPr>
          <w:p w14:paraId="24BAA627" w14:textId="73C6FACB" w:rsidR="00B72448" w:rsidRPr="00B72448" w:rsidRDefault="00B72448" w:rsidP="00B72448">
            <w:pPr>
              <w:pStyle w:val="Listenabsatz"/>
              <w:numPr>
                <w:ilvl w:val="1"/>
                <w:numId w:val="10"/>
              </w:numPr>
              <w:spacing w:line="259" w:lineRule="auto"/>
              <w:jc w:val="both"/>
              <w:rPr>
                <w:i/>
                <w:iCs/>
                <w:sz w:val="18"/>
                <w:szCs w:val="18"/>
                <w:lang w:val="en-US"/>
              </w:rPr>
            </w:pPr>
            <w:r w:rsidRPr="00B72448">
              <w:rPr>
                <w:i/>
                <w:iCs/>
                <w:sz w:val="18"/>
                <w:szCs w:val="18"/>
                <w:lang w:val="en-US"/>
              </w:rPr>
              <w:t>The IT systems enable extraction of relevant information (including information about ownership of assets and infrastructure, pricing, contractual rights and agreements, and outsourcing agreements) within a reasonable period of time</w:t>
            </w:r>
          </w:p>
          <w:p w14:paraId="2784FA9D" w14:textId="57CBD825" w:rsidR="00B72448" w:rsidRPr="00B72448" w:rsidRDefault="00B72448" w:rsidP="00B72448">
            <w:pPr>
              <w:pStyle w:val="Listenabsatz"/>
              <w:numPr>
                <w:ilvl w:val="1"/>
                <w:numId w:val="10"/>
              </w:numPr>
              <w:spacing w:line="259" w:lineRule="auto"/>
              <w:jc w:val="both"/>
              <w:rPr>
                <w:i/>
                <w:iCs/>
                <w:sz w:val="18"/>
                <w:szCs w:val="18"/>
                <w:lang w:val="en-US"/>
              </w:rPr>
            </w:pPr>
            <w:r w:rsidRPr="00B72448">
              <w:rPr>
                <w:i/>
                <w:iCs/>
                <w:sz w:val="18"/>
                <w:szCs w:val="18"/>
                <w:lang w:val="en-US"/>
              </w:rPr>
              <w:lastRenderedPageBreak/>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B72448">
              <w:rPr>
                <w:i/>
                <w:iCs/>
                <w:sz w:val="18"/>
                <w:szCs w:val="18"/>
                <w:lang w:val="en-US"/>
              </w:rPr>
              <w:t>ensure appropriate documentation and archiving</w:t>
            </w:r>
          </w:p>
          <w:p w14:paraId="77483B60" w14:textId="1B68DAFC" w:rsidR="00BF5173" w:rsidRPr="00B72448" w:rsidRDefault="00B72448" w:rsidP="00B72448">
            <w:pPr>
              <w:pStyle w:val="Listenabsatz"/>
              <w:numPr>
                <w:ilvl w:val="1"/>
                <w:numId w:val="10"/>
              </w:numPr>
              <w:spacing w:line="259" w:lineRule="auto"/>
              <w:jc w:val="both"/>
              <w:rPr>
                <w:rFonts w:cs="Arial"/>
                <w:i/>
                <w:iCs/>
                <w:sz w:val="18"/>
                <w:szCs w:val="18"/>
                <w:lang w:val="en-US"/>
              </w:rPr>
            </w:pPr>
            <w:r w:rsidRPr="00B72448">
              <w:rPr>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B72448">
              <w:rPr>
                <w:i/>
                <w:iCs/>
                <w:sz w:val="18"/>
                <w:szCs w:val="18"/>
                <w:lang w:val="en-US"/>
              </w:rPr>
              <w:t xml:space="preserve">provide for the application of the </w:t>
            </w:r>
            <w:r w:rsidR="003F7FCB">
              <w:rPr>
                <w:i/>
                <w:iCs/>
                <w:sz w:val="18"/>
                <w:szCs w:val="18"/>
                <w:lang w:val="en-US"/>
              </w:rPr>
              <w:t>four-eyes</w:t>
            </w:r>
            <w:r w:rsidR="003F7FCB" w:rsidRPr="006C43BA">
              <w:rPr>
                <w:i/>
                <w:iCs/>
                <w:sz w:val="18"/>
                <w:szCs w:val="18"/>
                <w:lang w:val="en-US"/>
              </w:rPr>
              <w:t xml:space="preserve"> principle </w:t>
            </w:r>
            <w:r w:rsidRPr="00B72448">
              <w:rPr>
                <w:i/>
                <w:iCs/>
                <w:sz w:val="18"/>
                <w:szCs w:val="18"/>
                <w:lang w:val="en-US"/>
              </w:rPr>
              <w:t>or the separation of functions for key controls</w:t>
            </w:r>
          </w:p>
        </w:tc>
      </w:tr>
    </w:tbl>
    <w:p w14:paraId="35136BB9" w14:textId="664D7FF3" w:rsidR="61EE8D92" w:rsidRPr="00B72448" w:rsidRDefault="61EE8D92" w:rsidP="61EE8D92">
      <w:pPr>
        <w:pStyle w:val="FINMAGliederungEbene2"/>
        <w:numPr>
          <w:ilvl w:val="1"/>
          <w:numId w:val="0"/>
        </w:numPr>
        <w:rPr>
          <w:lang w:val="en-US"/>
        </w:rPr>
      </w:pPr>
    </w:p>
    <w:p w14:paraId="0EBB309A" w14:textId="00DCDE1D" w:rsidR="009C13AD" w:rsidRPr="00B50531" w:rsidRDefault="00C93758" w:rsidP="00C37D08">
      <w:pPr>
        <w:pStyle w:val="FINMAGliederungEbene2"/>
        <w:rPr>
          <w:lang w:val="en-US"/>
        </w:rPr>
      </w:pPr>
      <w:bookmarkStart w:id="32" w:name="_Toc145409744"/>
      <w:r>
        <w:rPr>
          <w:lang w:val="en-US"/>
        </w:rPr>
        <w:t>Operational Continuity</w:t>
      </w:r>
      <w:bookmarkEnd w:id="32"/>
    </w:p>
    <w:p w14:paraId="409F0E54" w14:textId="77777777" w:rsidR="009C13AD" w:rsidRPr="00B50531" w:rsidRDefault="009C13AD" w:rsidP="009C13AD">
      <w:pPr>
        <w:pStyle w:val="FINMAGliederungEbene2"/>
        <w:numPr>
          <w:ilvl w:val="0"/>
          <w:numId w:val="0"/>
        </w:numPr>
        <w:ind w:left="576"/>
        <w:rPr>
          <w:lang w:val="en-US"/>
        </w:rPr>
      </w:pPr>
    </w:p>
    <w:tbl>
      <w:tblPr>
        <w:tblStyle w:val="Tabellenraster"/>
        <w:tblpPr w:leftFromText="141" w:rightFromText="141" w:vertAnchor="text" w:tblpY="1"/>
        <w:tblOverlap w:val="never"/>
        <w:tblW w:w="0" w:type="auto"/>
        <w:tblLook w:val="04A0" w:firstRow="1" w:lastRow="0" w:firstColumn="1" w:lastColumn="0" w:noHBand="0" w:noVBand="1"/>
      </w:tblPr>
      <w:tblGrid>
        <w:gridCol w:w="417"/>
        <w:gridCol w:w="1653"/>
        <w:gridCol w:w="2145"/>
        <w:gridCol w:w="1721"/>
        <w:gridCol w:w="860"/>
        <w:gridCol w:w="2522"/>
      </w:tblGrid>
      <w:tr w:rsidR="00780FEC" w:rsidRPr="00AC2079" w14:paraId="14F1B752" w14:textId="77777777" w:rsidTr="001F28F8">
        <w:trPr>
          <w:trHeight w:val="563"/>
        </w:trPr>
        <w:tc>
          <w:tcPr>
            <w:tcW w:w="2070" w:type="dxa"/>
            <w:gridSpan w:val="2"/>
            <w:shd w:val="clear" w:color="auto" w:fill="DBE5F1" w:themeFill="accent1" w:themeFillTint="33"/>
          </w:tcPr>
          <w:p w14:paraId="7D47FBA1" w14:textId="0B84B42B"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145" w:type="dxa"/>
            <w:shd w:val="clear" w:color="auto" w:fill="DBE5F1" w:themeFill="accent1" w:themeFillTint="33"/>
          </w:tcPr>
          <w:p w14:paraId="4D8D5AEE" w14:textId="1AEB5AFC"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103" w:type="dxa"/>
            <w:gridSpan w:val="3"/>
            <w:shd w:val="clear" w:color="auto" w:fill="DBE5F1" w:themeFill="accent1" w:themeFillTint="33"/>
          </w:tcPr>
          <w:p w14:paraId="42E637A6" w14:textId="05FF9190"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242E8D57" w14:textId="77777777" w:rsidTr="001F28F8">
        <w:trPr>
          <w:trHeight w:val="698"/>
        </w:trPr>
        <w:tc>
          <w:tcPr>
            <w:tcW w:w="2070" w:type="dxa"/>
            <w:gridSpan w:val="2"/>
            <w:shd w:val="clear" w:color="auto" w:fill="DBE5F1" w:themeFill="accent1" w:themeFillTint="33"/>
          </w:tcPr>
          <w:p w14:paraId="18127A5E" w14:textId="1183A6FD"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17ED16C2" w14:textId="4CDD3972"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7D8EC333" w14:textId="1A653839"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79E3688B" w14:textId="5501388C"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r>
      <w:tr w:rsidR="009C13AD" w:rsidRPr="00AC2079" w14:paraId="133A4C2A" w14:textId="77777777" w:rsidTr="001F28F8">
        <w:trPr>
          <w:trHeight w:val="636"/>
        </w:trPr>
        <w:tc>
          <w:tcPr>
            <w:tcW w:w="9318" w:type="dxa"/>
            <w:gridSpan w:val="6"/>
            <w:shd w:val="clear" w:color="auto" w:fill="DBE5F1" w:themeFill="accent1" w:themeFillTint="33"/>
          </w:tcPr>
          <w:p w14:paraId="2BDD6D6A" w14:textId="77777777" w:rsidR="00780FEC"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4321ED11" w14:textId="7B14746E" w:rsidR="00B615BC" w:rsidRPr="00432521" w:rsidRDefault="00C93758" w:rsidP="00200C79">
            <w:pPr>
              <w:pStyle w:val="Listenabsatz"/>
              <w:numPr>
                <w:ilvl w:val="0"/>
                <w:numId w:val="9"/>
              </w:numPr>
              <w:ind w:left="308"/>
              <w:jc w:val="both"/>
              <w:rPr>
                <w:rFonts w:cs="Arial"/>
                <w:sz w:val="18"/>
                <w:szCs w:val="18"/>
                <w:lang w:val="en-US"/>
              </w:rPr>
            </w:pPr>
            <w:r w:rsidRPr="00432521">
              <w:rPr>
                <w:rFonts w:cs="Arial"/>
                <w:sz w:val="18"/>
                <w:szCs w:val="18"/>
                <w:lang w:val="en-US"/>
              </w:rPr>
              <w:t xml:space="preserve">Commission Delegated Regulation (EU) 2016/778 </w:t>
            </w:r>
            <w:r w:rsidR="00451CBB" w:rsidRPr="00432521">
              <w:rPr>
                <w:rFonts w:cs="Arial"/>
                <w:sz w:val="18"/>
                <w:szCs w:val="18"/>
                <w:lang w:val="en-US"/>
              </w:rPr>
              <w:t>with regard</w:t>
            </w:r>
            <w:r w:rsidR="005B59C4" w:rsidRPr="00432521">
              <w:rPr>
                <w:rFonts w:cs="Arial"/>
                <w:sz w:val="18"/>
                <w:szCs w:val="18"/>
                <w:lang w:val="en-US"/>
              </w:rPr>
              <w:t xml:space="preserve"> </w:t>
            </w:r>
            <w:r w:rsidR="00451CBB" w:rsidRPr="00432521">
              <w:rPr>
                <w:rFonts w:cs="Arial"/>
                <w:sz w:val="18"/>
                <w:szCs w:val="18"/>
                <w:lang w:val="en-US"/>
              </w:rPr>
              <w:t>on the criteria for the determination of the activities, services and operations with regard to critical functions, and for the determination of the business lines and associated services with regard to core business lines</w:t>
            </w:r>
            <w:r w:rsidR="00451CBB" w:rsidRPr="00432521">
              <w:rPr>
                <w:lang w:val="en-US"/>
              </w:rPr>
              <w:t xml:space="preserve"> </w:t>
            </w:r>
            <w:r w:rsidR="00451CBB" w:rsidRPr="00432521">
              <w:rPr>
                <w:rFonts w:cs="Arial"/>
                <w:sz w:val="18"/>
                <w:szCs w:val="18"/>
                <w:lang w:val="en-US"/>
              </w:rPr>
              <w:t>in conjunction with the core business areas Commission Implementing Regulation (EU) 2018/1624</w:t>
            </w:r>
          </w:p>
          <w:p w14:paraId="4717CA98" w14:textId="48875C6E" w:rsidR="00AD0D3F" w:rsidRPr="00432521" w:rsidRDefault="00B2497B" w:rsidP="00AD0D3F">
            <w:pPr>
              <w:pStyle w:val="Listenabsatz"/>
              <w:numPr>
                <w:ilvl w:val="0"/>
                <w:numId w:val="9"/>
              </w:numPr>
              <w:ind w:left="308"/>
              <w:jc w:val="both"/>
              <w:rPr>
                <w:rFonts w:cs="Arial"/>
                <w:sz w:val="18"/>
                <w:szCs w:val="18"/>
                <w:lang w:val="en-US"/>
              </w:rPr>
            </w:pPr>
            <w:r w:rsidRPr="00432521">
              <w:rPr>
                <w:rFonts w:cs="Arial"/>
                <w:sz w:val="18"/>
                <w:szCs w:val="18"/>
                <w:lang w:val="en-US"/>
              </w:rPr>
              <w:t xml:space="preserve">EBA </w:t>
            </w:r>
            <w:r w:rsidR="009562D9" w:rsidRPr="00432521">
              <w:rPr>
                <w:rFonts w:cs="Arial"/>
                <w:sz w:val="18"/>
                <w:szCs w:val="18"/>
                <w:lang w:val="en-US"/>
              </w:rPr>
              <w:t xml:space="preserve">Guidelines on improving resolvability for institutions and resolution authorities </w:t>
            </w:r>
            <w:r w:rsidRPr="00432521">
              <w:rPr>
                <w:rFonts w:cs="Arial"/>
                <w:sz w:val="18"/>
                <w:szCs w:val="18"/>
                <w:lang w:val="en-US"/>
              </w:rPr>
              <w:t>(EBA/GL/2022/01)</w:t>
            </w:r>
          </w:p>
          <w:p w14:paraId="79EA690C" w14:textId="36D5E750" w:rsidR="0003219D" w:rsidRPr="00AD0D3F" w:rsidRDefault="0003219D" w:rsidP="00AD0D3F">
            <w:pPr>
              <w:pStyle w:val="Listenabsatz"/>
              <w:numPr>
                <w:ilvl w:val="0"/>
                <w:numId w:val="9"/>
              </w:numPr>
              <w:ind w:left="308"/>
              <w:jc w:val="both"/>
              <w:rPr>
                <w:rFonts w:cs="Arial"/>
                <w:sz w:val="18"/>
                <w:szCs w:val="18"/>
                <w:lang w:val="en-US"/>
              </w:rPr>
            </w:pPr>
            <w:r w:rsidRPr="00AD0D3F">
              <w:rPr>
                <w:rFonts w:cs="Arial"/>
                <w:sz w:val="18"/>
                <w:szCs w:val="18"/>
                <w:lang w:val="en-US"/>
              </w:rPr>
              <w:t xml:space="preserve">EBA </w:t>
            </w:r>
            <w:r w:rsidR="009562D9" w:rsidRPr="00AD0D3F">
              <w:rPr>
                <w:rFonts w:cs="Arial"/>
                <w:sz w:val="18"/>
                <w:szCs w:val="18"/>
                <w:lang w:val="en-US"/>
              </w:rPr>
              <w:t>Guidelines</w:t>
            </w:r>
            <w:r w:rsidR="009562D9" w:rsidRPr="00AD0D3F">
              <w:rPr>
                <w:rFonts w:ascii="Times New Roman" w:hAnsi="Times New Roman"/>
                <w:sz w:val="24"/>
                <w:lang w:val="en-US"/>
              </w:rPr>
              <w:t xml:space="preserve"> </w:t>
            </w:r>
            <w:r w:rsidR="009562D9" w:rsidRPr="00AD0D3F">
              <w:rPr>
                <w:rFonts w:cs="Arial"/>
                <w:sz w:val="18"/>
                <w:szCs w:val="18"/>
                <w:lang w:val="en-US"/>
              </w:rPr>
              <w:t xml:space="preserve">on the minimum list of services or facilities that are necessary to enable a recipient to operate a business transferred to it under Article 65(5) of Directive 2014/59/EU </w:t>
            </w:r>
            <w:r w:rsidRPr="00AD0D3F">
              <w:rPr>
                <w:rFonts w:cs="Arial"/>
                <w:sz w:val="18"/>
                <w:szCs w:val="18"/>
                <w:lang w:val="en-US"/>
              </w:rPr>
              <w:t>(EBA/GL/2015/06)</w:t>
            </w:r>
          </w:p>
          <w:p w14:paraId="21DF6BE1" w14:textId="2E42E9A2" w:rsidR="00E75BEB" w:rsidRPr="00856F04" w:rsidRDefault="00432521" w:rsidP="0096765A">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9C13AD" w:rsidRPr="00AC2079" w14:paraId="1C932E38" w14:textId="77777777" w:rsidTr="001F28F8">
        <w:trPr>
          <w:trHeight w:val="294"/>
        </w:trPr>
        <w:tc>
          <w:tcPr>
            <w:tcW w:w="9318" w:type="dxa"/>
            <w:gridSpan w:val="6"/>
          </w:tcPr>
          <w:p w14:paraId="3E88AE4A" w14:textId="77777777" w:rsidR="009C13AD" w:rsidRPr="00856F04" w:rsidRDefault="009C13AD" w:rsidP="00592FF4">
            <w:pPr>
              <w:jc w:val="both"/>
              <w:rPr>
                <w:rFonts w:ascii="Arial" w:hAnsi="Arial" w:cs="Arial"/>
                <w:sz w:val="18"/>
                <w:szCs w:val="18"/>
                <w:lang w:val="en-US"/>
              </w:rPr>
            </w:pPr>
          </w:p>
        </w:tc>
      </w:tr>
      <w:tr w:rsidR="00F53A6F" w:rsidRPr="00AC2079" w14:paraId="1FFF00AB" w14:textId="77777777" w:rsidTr="0096765A">
        <w:trPr>
          <w:trHeight w:val="294"/>
        </w:trPr>
        <w:tc>
          <w:tcPr>
            <w:tcW w:w="417" w:type="dxa"/>
          </w:tcPr>
          <w:p w14:paraId="73F2F4C6" w14:textId="38E78D62" w:rsidR="00F53A6F" w:rsidRPr="00B50531" w:rsidRDefault="00F53A6F" w:rsidP="00592FF4">
            <w:pPr>
              <w:jc w:val="both"/>
              <w:rPr>
                <w:rFonts w:ascii="Arial" w:hAnsi="Arial" w:cs="Arial"/>
                <w:sz w:val="18"/>
                <w:szCs w:val="18"/>
                <w:lang w:val="en-US"/>
              </w:rPr>
            </w:pPr>
            <w:r w:rsidRPr="00B50531">
              <w:rPr>
                <w:rFonts w:ascii="Arial" w:hAnsi="Arial" w:cs="Arial"/>
                <w:sz w:val="18"/>
                <w:szCs w:val="18"/>
                <w:lang w:val="en-US"/>
              </w:rPr>
              <w:t>1</w:t>
            </w:r>
          </w:p>
        </w:tc>
        <w:tc>
          <w:tcPr>
            <w:tcW w:w="6379" w:type="dxa"/>
            <w:gridSpan w:val="4"/>
          </w:tcPr>
          <w:p w14:paraId="4AA53528" w14:textId="12AD6AAD" w:rsidR="00F53A6F" w:rsidRPr="001D6EF9" w:rsidRDefault="00B945BA" w:rsidP="0077334D">
            <w:pPr>
              <w:jc w:val="both"/>
              <w:rPr>
                <w:rFonts w:ascii="Arial" w:hAnsi="Arial" w:cs="Arial"/>
                <w:sz w:val="18"/>
                <w:szCs w:val="18"/>
                <w:lang w:val="en-US"/>
              </w:rPr>
            </w:pPr>
            <w:r w:rsidRPr="00E8775E">
              <w:rPr>
                <w:rFonts w:ascii="Arial" w:hAnsi="Arial" w:cs="Arial"/>
                <w:sz w:val="18"/>
                <w:szCs w:val="18"/>
                <w:lang w:val="en-GB"/>
              </w:rPr>
              <w:t xml:space="preserve">Confirmation </w:t>
            </w:r>
            <w:r w:rsidR="009E488B" w:rsidRPr="00E8775E">
              <w:rPr>
                <w:rFonts w:ascii="Arial" w:hAnsi="Arial" w:cs="Arial"/>
                <w:sz w:val="18"/>
                <w:szCs w:val="18"/>
                <w:lang w:val="en-GB"/>
              </w:rPr>
              <w:t xml:space="preserve">that </w:t>
            </w:r>
            <w:r w:rsidR="00A93284">
              <w:rPr>
                <w:rFonts w:ascii="Arial" w:hAnsi="Arial" w:cs="Arial"/>
                <w:sz w:val="18"/>
                <w:szCs w:val="18"/>
                <w:lang w:val="en-GB"/>
              </w:rPr>
              <w:t xml:space="preserve">the entity has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009E488B" w:rsidRPr="00E8775E">
              <w:rPr>
                <w:rFonts w:ascii="Arial" w:hAnsi="Arial" w:cs="Arial"/>
                <w:sz w:val="18"/>
                <w:szCs w:val="18"/>
                <w:lang w:val="en-GB"/>
              </w:rPr>
              <w:t xml:space="preserve">in place to maintain the operation of critical functions before and during resolution and that these are designed </w:t>
            </w:r>
            <w:r w:rsidR="00A5295A">
              <w:rPr>
                <w:rFonts w:ascii="Arial" w:hAnsi="Arial" w:cs="Arial"/>
                <w:sz w:val="18"/>
                <w:szCs w:val="18"/>
                <w:lang w:val="en-GB"/>
              </w:rPr>
              <w:t xml:space="preserve">in a </w:t>
            </w:r>
            <w:r w:rsidR="009E488B" w:rsidRPr="00E8775E">
              <w:rPr>
                <w:rFonts w:ascii="Arial" w:hAnsi="Arial" w:cs="Arial"/>
                <w:sz w:val="18"/>
                <w:szCs w:val="18"/>
                <w:lang w:val="en-GB"/>
              </w:rPr>
              <w:t>coherent and/or complementary</w:t>
            </w:r>
            <w:r w:rsidR="00A5295A">
              <w:rPr>
                <w:rFonts w:ascii="Arial" w:hAnsi="Arial" w:cs="Arial"/>
                <w:sz w:val="18"/>
                <w:szCs w:val="18"/>
                <w:lang w:val="en-GB"/>
              </w:rPr>
              <w:t xml:space="preserve"> manner</w:t>
            </w:r>
            <w:r w:rsidR="009E488B" w:rsidRPr="00E8775E">
              <w:rPr>
                <w:rFonts w:ascii="Arial" w:hAnsi="Arial" w:cs="Arial"/>
                <w:sz w:val="18"/>
                <w:szCs w:val="18"/>
                <w:lang w:val="en-GB"/>
              </w:rPr>
              <w:t xml:space="preserve"> to the Business Continuity Management (BCM) according to the EBA/GL/2022/01, 4.1.1.</w:t>
            </w:r>
          </w:p>
        </w:tc>
        <w:tc>
          <w:tcPr>
            <w:tcW w:w="2522" w:type="dxa"/>
          </w:tcPr>
          <w:p w14:paraId="797887CF" w14:textId="6A73F979" w:rsidR="00F53A6F" w:rsidRPr="00780FEC" w:rsidRDefault="00665CEC" w:rsidP="00592FF4">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B615BC" w:rsidRPr="00AC2079" w14:paraId="17E18CD2" w14:textId="0FCEB927" w:rsidTr="001F28F8">
        <w:trPr>
          <w:trHeight w:val="294"/>
        </w:trPr>
        <w:tc>
          <w:tcPr>
            <w:tcW w:w="417" w:type="dxa"/>
          </w:tcPr>
          <w:p w14:paraId="1E8AB3BC" w14:textId="066D8C0B" w:rsidR="00B615BC" w:rsidRPr="00B50531" w:rsidRDefault="00B615BC" w:rsidP="00592FF4">
            <w:pPr>
              <w:jc w:val="both"/>
              <w:rPr>
                <w:rFonts w:ascii="Arial" w:hAnsi="Arial" w:cs="Arial"/>
                <w:sz w:val="18"/>
                <w:szCs w:val="18"/>
                <w:lang w:val="en-US"/>
              </w:rPr>
            </w:pPr>
            <w:r w:rsidRPr="00B50531">
              <w:rPr>
                <w:rFonts w:ascii="Arial" w:hAnsi="Arial" w:cs="Arial"/>
                <w:sz w:val="18"/>
                <w:szCs w:val="18"/>
                <w:lang w:val="en-US"/>
              </w:rPr>
              <w:t>2</w:t>
            </w:r>
          </w:p>
        </w:tc>
        <w:tc>
          <w:tcPr>
            <w:tcW w:w="6379" w:type="dxa"/>
            <w:gridSpan w:val="4"/>
          </w:tcPr>
          <w:p w14:paraId="4A1E0498" w14:textId="7D11C763" w:rsidR="00B615BC" w:rsidRPr="00B945BA" w:rsidRDefault="00B945BA" w:rsidP="00592FF4">
            <w:pPr>
              <w:jc w:val="both"/>
              <w:rPr>
                <w:rFonts w:ascii="Arial" w:hAnsi="Arial" w:cs="Arial"/>
                <w:sz w:val="18"/>
                <w:szCs w:val="18"/>
                <w:lang w:val="en-US"/>
              </w:rPr>
            </w:pPr>
            <w:r w:rsidRPr="00B945BA">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945BA">
              <w:rPr>
                <w:rFonts w:ascii="Arial" w:hAnsi="Arial" w:cs="Arial"/>
                <w:sz w:val="18"/>
                <w:szCs w:val="18"/>
                <w:lang w:val="en-US"/>
              </w:rPr>
              <w:t xml:space="preserve">enable a correct </w:t>
            </w:r>
            <w:r w:rsidR="00BC633C">
              <w:rPr>
                <w:rFonts w:ascii="Arial" w:hAnsi="Arial" w:cs="Arial"/>
                <w:sz w:val="18"/>
                <w:szCs w:val="18"/>
                <w:lang w:val="en-US"/>
              </w:rPr>
              <w:t>mapping</w:t>
            </w:r>
            <w:r w:rsidRPr="00B945BA">
              <w:rPr>
                <w:rFonts w:ascii="Arial" w:hAnsi="Arial" w:cs="Arial"/>
                <w:sz w:val="18"/>
                <w:szCs w:val="18"/>
                <w:lang w:val="en-US"/>
              </w:rPr>
              <w:t xml:space="preserve"> of core business areas and critical functions in accordance with the Implementing Regulation (EU) 2018/1624 in conjunction with </w:t>
            </w:r>
            <w:r w:rsidR="00347590">
              <w:rPr>
                <w:rFonts w:ascii="Arial" w:hAnsi="Arial" w:cs="Arial"/>
                <w:sz w:val="18"/>
                <w:szCs w:val="18"/>
                <w:lang w:val="en-US"/>
              </w:rPr>
              <w:t>SAG</w:t>
            </w:r>
            <w:r w:rsidRPr="00B945BA">
              <w:rPr>
                <w:rFonts w:ascii="Arial" w:hAnsi="Arial" w:cs="Arial"/>
                <w:sz w:val="18"/>
                <w:szCs w:val="18"/>
                <w:lang w:val="en-US"/>
              </w:rPr>
              <w:t xml:space="preserve"> Annexes 2 and 3.</w:t>
            </w:r>
          </w:p>
        </w:tc>
        <w:tc>
          <w:tcPr>
            <w:tcW w:w="2522" w:type="dxa"/>
          </w:tcPr>
          <w:p w14:paraId="7CA31820" w14:textId="3A263BB7" w:rsidR="00B615BC" w:rsidRPr="00780FEC" w:rsidRDefault="00665CEC" w:rsidP="00592FF4">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0C39CF" w:rsidRPr="00AC2079" w14:paraId="45C66B1D" w14:textId="77777777" w:rsidTr="001F28F8">
        <w:trPr>
          <w:trHeight w:val="294"/>
        </w:trPr>
        <w:tc>
          <w:tcPr>
            <w:tcW w:w="417" w:type="dxa"/>
          </w:tcPr>
          <w:p w14:paraId="234ED1E0" w14:textId="5C01FB09" w:rsidR="000C39CF" w:rsidRPr="00B50531" w:rsidRDefault="00B615BC" w:rsidP="000C39CF">
            <w:pPr>
              <w:jc w:val="both"/>
              <w:rPr>
                <w:rFonts w:ascii="Arial" w:hAnsi="Arial" w:cs="Arial"/>
                <w:sz w:val="18"/>
                <w:szCs w:val="18"/>
                <w:lang w:val="en-US"/>
              </w:rPr>
            </w:pPr>
            <w:r w:rsidRPr="00B50531">
              <w:rPr>
                <w:rFonts w:ascii="Arial" w:hAnsi="Arial" w:cs="Arial"/>
                <w:sz w:val="18"/>
                <w:szCs w:val="18"/>
                <w:lang w:val="en-US"/>
              </w:rPr>
              <w:t>3</w:t>
            </w:r>
          </w:p>
        </w:tc>
        <w:tc>
          <w:tcPr>
            <w:tcW w:w="6379" w:type="dxa"/>
            <w:gridSpan w:val="4"/>
          </w:tcPr>
          <w:p w14:paraId="21D647BB" w14:textId="61EB3F55" w:rsidR="000C39CF" w:rsidRPr="00B945BA" w:rsidRDefault="00B945BA" w:rsidP="000C39CF">
            <w:pPr>
              <w:jc w:val="both"/>
              <w:rPr>
                <w:rFonts w:ascii="Arial" w:hAnsi="Arial" w:cs="Arial"/>
                <w:sz w:val="18"/>
                <w:szCs w:val="18"/>
                <w:lang w:val="en-US"/>
              </w:rPr>
            </w:pPr>
            <w:r w:rsidRPr="00B945BA">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945BA">
              <w:rPr>
                <w:rFonts w:ascii="Arial" w:hAnsi="Arial" w:cs="Arial"/>
                <w:sz w:val="18"/>
                <w:szCs w:val="18"/>
                <w:lang w:val="en-US"/>
              </w:rPr>
              <w:t xml:space="preserve">enable the maintenance of an appropriate level of staffing in the event of a </w:t>
            </w:r>
            <w:r w:rsidR="00BC633C">
              <w:rPr>
                <w:rFonts w:ascii="Arial" w:hAnsi="Arial" w:cs="Arial"/>
                <w:sz w:val="18"/>
                <w:szCs w:val="18"/>
                <w:lang w:val="en-US"/>
              </w:rPr>
              <w:t>resolution</w:t>
            </w:r>
            <w:r w:rsidRPr="00B945BA">
              <w:rPr>
                <w:rFonts w:ascii="Arial" w:hAnsi="Arial" w:cs="Arial"/>
                <w:sz w:val="18"/>
                <w:szCs w:val="18"/>
                <w:lang w:val="en-US"/>
              </w:rPr>
              <w:t xml:space="preserve"> and access to operationally necessary assets and resources (“operational assets” such as real estate, trademark rights, patents, IT systems and applications, software databases) at all times.</w:t>
            </w:r>
          </w:p>
        </w:tc>
        <w:tc>
          <w:tcPr>
            <w:tcW w:w="2522" w:type="dxa"/>
          </w:tcPr>
          <w:p w14:paraId="348AA41B" w14:textId="2D4829D1" w:rsidR="000C39CF" w:rsidRPr="00780FEC" w:rsidRDefault="00665CEC" w:rsidP="000C39CF">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0C39CF" w:rsidRPr="00AC2079" w14:paraId="33936041" w14:textId="77777777" w:rsidTr="001F28F8">
        <w:trPr>
          <w:trHeight w:val="294"/>
        </w:trPr>
        <w:tc>
          <w:tcPr>
            <w:tcW w:w="417" w:type="dxa"/>
          </w:tcPr>
          <w:p w14:paraId="6FAC1628" w14:textId="61315186" w:rsidR="000C39CF" w:rsidRPr="008C4897" w:rsidRDefault="00B615BC" w:rsidP="000C39CF">
            <w:pPr>
              <w:jc w:val="both"/>
              <w:rPr>
                <w:rFonts w:ascii="Arial" w:hAnsi="Arial" w:cs="Arial"/>
                <w:sz w:val="18"/>
                <w:szCs w:val="18"/>
                <w:lang w:val="en-US"/>
              </w:rPr>
            </w:pPr>
            <w:r w:rsidRPr="008C4897">
              <w:rPr>
                <w:rFonts w:ascii="Arial" w:hAnsi="Arial" w:cs="Arial"/>
                <w:sz w:val="18"/>
                <w:szCs w:val="18"/>
                <w:lang w:val="en-US"/>
              </w:rPr>
              <w:t>4</w:t>
            </w:r>
          </w:p>
        </w:tc>
        <w:tc>
          <w:tcPr>
            <w:tcW w:w="6379" w:type="dxa"/>
            <w:gridSpan w:val="4"/>
          </w:tcPr>
          <w:p w14:paraId="37DAEF19" w14:textId="51B864F4" w:rsidR="000C39CF" w:rsidRPr="00E8775E" w:rsidRDefault="00A5295A" w:rsidP="000C39CF">
            <w:pPr>
              <w:jc w:val="both"/>
              <w:rPr>
                <w:rFonts w:ascii="Arial" w:hAnsi="Arial" w:cs="Arial"/>
                <w:sz w:val="18"/>
                <w:szCs w:val="18"/>
                <w:lang w:val="en-US"/>
              </w:rPr>
            </w:pPr>
            <w:r w:rsidRPr="00E8775E">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E8775E">
              <w:rPr>
                <w:rFonts w:ascii="Arial" w:hAnsi="Arial" w:cs="Arial"/>
                <w:sz w:val="18"/>
                <w:szCs w:val="18"/>
                <w:lang w:val="en-US"/>
              </w:rPr>
              <w:t>enable an appropriate assessment of service contracts (e.g. service</w:t>
            </w:r>
            <w:r w:rsidR="003D3B4D">
              <w:rPr>
                <w:rFonts w:ascii="Arial" w:hAnsi="Arial" w:cs="Arial"/>
                <w:sz w:val="18"/>
                <w:szCs w:val="18"/>
                <w:lang w:val="en-US"/>
              </w:rPr>
              <w:t>-</w:t>
            </w:r>
            <w:r w:rsidRPr="00E8775E">
              <w:rPr>
                <w:rFonts w:ascii="Arial" w:hAnsi="Arial" w:cs="Arial"/>
                <w:sz w:val="18"/>
                <w:szCs w:val="18"/>
                <w:lang w:val="en-US"/>
              </w:rPr>
              <w:t>level agreements) with regard to their liquidation</w:t>
            </w:r>
            <w:r w:rsidR="008C4897">
              <w:rPr>
                <w:rFonts w:ascii="Arial" w:hAnsi="Arial" w:cs="Arial"/>
                <w:sz w:val="18"/>
                <w:szCs w:val="18"/>
                <w:lang w:val="en-US"/>
              </w:rPr>
              <w:t>-</w:t>
            </w:r>
            <w:r w:rsidRPr="00E8775E">
              <w:rPr>
                <w:rFonts w:ascii="Arial" w:hAnsi="Arial" w:cs="Arial"/>
                <w:sz w:val="18"/>
                <w:szCs w:val="18"/>
                <w:lang w:val="en-US"/>
              </w:rPr>
              <w:t xml:space="preserve"> and resolution-resilienc</w:t>
            </w:r>
            <w:r w:rsidR="003D3B4D">
              <w:rPr>
                <w:rFonts w:ascii="Arial" w:hAnsi="Arial" w:cs="Arial"/>
                <w:sz w:val="18"/>
                <w:szCs w:val="18"/>
                <w:lang w:val="en-US"/>
              </w:rPr>
              <w:t>e</w:t>
            </w:r>
            <w:r w:rsidRPr="00E8775E">
              <w:rPr>
                <w:rFonts w:ascii="Arial" w:hAnsi="Arial" w:cs="Arial"/>
                <w:sz w:val="18"/>
                <w:szCs w:val="18"/>
                <w:lang w:val="en-US"/>
              </w:rPr>
              <w:t xml:space="preserve"> (“BRRD-robust” according to EBA/GL/2022/01, point 17ctd.) </w:t>
            </w:r>
          </w:p>
        </w:tc>
        <w:tc>
          <w:tcPr>
            <w:tcW w:w="2522" w:type="dxa"/>
          </w:tcPr>
          <w:p w14:paraId="65136194" w14:textId="0A321173" w:rsidR="000C39CF" w:rsidRPr="00E8775E" w:rsidRDefault="00665CEC" w:rsidP="000C39CF">
            <w:pPr>
              <w:jc w:val="both"/>
              <w:rPr>
                <w:rFonts w:ascii="Arial" w:hAnsi="Arial" w:cs="Arial"/>
                <w:i/>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0C39CF" w:rsidRPr="00AC2079" w14:paraId="07CD0891" w14:textId="77777777" w:rsidTr="0096765A">
        <w:trPr>
          <w:trHeight w:val="294"/>
        </w:trPr>
        <w:tc>
          <w:tcPr>
            <w:tcW w:w="417" w:type="dxa"/>
          </w:tcPr>
          <w:p w14:paraId="46719E76" w14:textId="42553C50" w:rsidR="000C39CF" w:rsidRPr="008C4897" w:rsidRDefault="00201E84" w:rsidP="000C39CF">
            <w:pPr>
              <w:jc w:val="both"/>
              <w:rPr>
                <w:rFonts w:ascii="Arial" w:hAnsi="Arial" w:cs="Arial"/>
                <w:sz w:val="18"/>
                <w:szCs w:val="18"/>
                <w:lang w:val="en-US"/>
              </w:rPr>
            </w:pPr>
            <w:r w:rsidRPr="008C4897">
              <w:rPr>
                <w:rFonts w:ascii="Arial" w:hAnsi="Arial" w:cs="Arial"/>
                <w:sz w:val="18"/>
                <w:szCs w:val="18"/>
                <w:lang w:val="en-US"/>
              </w:rPr>
              <w:t>5</w:t>
            </w:r>
          </w:p>
        </w:tc>
        <w:tc>
          <w:tcPr>
            <w:tcW w:w="6379" w:type="dxa"/>
            <w:gridSpan w:val="4"/>
          </w:tcPr>
          <w:p w14:paraId="0FD8E618" w14:textId="38E22C6F" w:rsidR="000C39CF" w:rsidRPr="008C4897" w:rsidRDefault="00B945BA" w:rsidP="000C39CF">
            <w:pPr>
              <w:jc w:val="both"/>
              <w:rPr>
                <w:rFonts w:ascii="Arial" w:hAnsi="Arial" w:cs="Arial"/>
                <w:sz w:val="18"/>
                <w:szCs w:val="18"/>
                <w:lang w:val="en-US"/>
              </w:rPr>
            </w:pPr>
            <w:r w:rsidRPr="008C4897">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8C4897">
              <w:rPr>
                <w:rFonts w:ascii="Arial" w:hAnsi="Arial" w:cs="Arial"/>
                <w:sz w:val="18"/>
                <w:szCs w:val="18"/>
                <w:lang w:val="en-US"/>
              </w:rPr>
              <w:t>enable the provision of services and facilities within the group in accordance with Art. 84</w:t>
            </w:r>
            <w:r w:rsidR="008C4897">
              <w:rPr>
                <w:rFonts w:ascii="Arial" w:hAnsi="Arial" w:cs="Arial"/>
                <w:sz w:val="18"/>
                <w:szCs w:val="18"/>
                <w:lang w:val="en-US"/>
              </w:rPr>
              <w:t xml:space="preserve"> </w:t>
            </w:r>
            <w:r w:rsidR="00347590">
              <w:rPr>
                <w:rFonts w:ascii="Arial" w:hAnsi="Arial" w:cs="Arial"/>
                <w:sz w:val="18"/>
                <w:szCs w:val="18"/>
                <w:lang w:val="en-US"/>
              </w:rPr>
              <w:t>SAG</w:t>
            </w:r>
            <w:r w:rsidRPr="008C4897">
              <w:rPr>
                <w:rFonts w:ascii="Arial" w:hAnsi="Arial" w:cs="Arial"/>
                <w:sz w:val="18"/>
                <w:szCs w:val="18"/>
                <w:lang w:val="en-US"/>
              </w:rPr>
              <w:t xml:space="preserve"> both actively (</w:t>
            </w:r>
            <w:r w:rsidR="008C4897">
              <w:rPr>
                <w:rFonts w:ascii="Arial" w:hAnsi="Arial" w:cs="Arial"/>
                <w:sz w:val="18"/>
                <w:szCs w:val="18"/>
                <w:lang w:val="en-US"/>
              </w:rPr>
              <w:t>resolution entity</w:t>
            </w:r>
            <w:r w:rsidRPr="008C4897">
              <w:rPr>
                <w:rFonts w:ascii="Arial" w:hAnsi="Arial" w:cs="Arial"/>
                <w:sz w:val="18"/>
                <w:szCs w:val="18"/>
                <w:lang w:val="en-US"/>
              </w:rPr>
              <w:t xml:space="preserve"> as service provider) and passively (</w:t>
            </w:r>
            <w:r w:rsidR="008C4897">
              <w:rPr>
                <w:rFonts w:ascii="Arial" w:hAnsi="Arial" w:cs="Arial"/>
                <w:sz w:val="18"/>
                <w:szCs w:val="18"/>
                <w:lang w:val="en-US"/>
              </w:rPr>
              <w:t>resolution entity</w:t>
            </w:r>
            <w:r w:rsidRPr="008C4897">
              <w:rPr>
                <w:rFonts w:ascii="Arial" w:hAnsi="Arial" w:cs="Arial"/>
                <w:sz w:val="18"/>
                <w:szCs w:val="18"/>
                <w:lang w:val="en-US"/>
              </w:rPr>
              <w:t xml:space="preserve"> as service recipient).</w:t>
            </w:r>
          </w:p>
        </w:tc>
        <w:tc>
          <w:tcPr>
            <w:tcW w:w="2522" w:type="dxa"/>
          </w:tcPr>
          <w:p w14:paraId="0EFFD64D" w14:textId="398F2989" w:rsidR="000C39CF" w:rsidRPr="00E8775E" w:rsidRDefault="00665CEC" w:rsidP="000C39CF">
            <w:pPr>
              <w:jc w:val="both"/>
              <w:rPr>
                <w:rFonts w:ascii="Arial" w:hAnsi="Arial" w:cs="Arial"/>
                <w:i/>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64285581" w14:textId="40C0390D" w:rsidR="4A737A38" w:rsidRPr="00780FEC" w:rsidRDefault="4A737A38" w:rsidP="4A737A38">
      <w:pPr>
        <w:pStyle w:val="FINMAGliederungEbene1"/>
        <w:numPr>
          <w:ilvl w:val="0"/>
          <w:numId w:val="0"/>
        </w:numPr>
        <w:rPr>
          <w:lang w:val="en-US"/>
        </w:rPr>
      </w:pPr>
    </w:p>
    <w:tbl>
      <w:tblPr>
        <w:tblStyle w:val="Tabellenraster"/>
        <w:tblW w:w="0" w:type="auto"/>
        <w:tblLook w:val="04A0" w:firstRow="1" w:lastRow="0" w:firstColumn="1" w:lastColumn="0" w:noHBand="0" w:noVBand="1"/>
      </w:tblPr>
      <w:tblGrid>
        <w:gridCol w:w="1980"/>
        <w:gridCol w:w="7371"/>
      </w:tblGrid>
      <w:tr w:rsidR="00343BBB" w:rsidRPr="00B50531" w14:paraId="2933306E" w14:textId="77777777" w:rsidTr="0096765A">
        <w:trPr>
          <w:trHeight w:val="300"/>
        </w:trPr>
        <w:tc>
          <w:tcPr>
            <w:tcW w:w="1980" w:type="dxa"/>
          </w:tcPr>
          <w:p w14:paraId="4FD1AF0C" w14:textId="06999955" w:rsidR="00343BBB" w:rsidRPr="00B50531" w:rsidRDefault="00026DE1">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371" w:type="dxa"/>
          </w:tcPr>
          <w:p w14:paraId="3A3548B6" w14:textId="2FF379D7" w:rsidR="00343BBB" w:rsidRPr="00B50531" w:rsidRDefault="00026DE1">
            <w:pPr>
              <w:jc w:val="both"/>
              <w:rPr>
                <w:rFonts w:ascii="Arial" w:hAnsi="Arial" w:cs="Arial"/>
                <w:b/>
                <w:bCs/>
                <w:i/>
                <w:iCs/>
                <w:sz w:val="18"/>
                <w:szCs w:val="18"/>
                <w:lang w:val="en-US"/>
              </w:rPr>
            </w:pPr>
            <w:r>
              <w:rPr>
                <w:rFonts w:ascii="Arial" w:hAnsi="Arial" w:cs="Arial"/>
                <w:b/>
                <w:bCs/>
                <w:i/>
                <w:iCs/>
                <w:sz w:val="18"/>
                <w:szCs w:val="18"/>
                <w:lang w:val="en-US"/>
              </w:rPr>
              <w:t>Minimum audit contents</w:t>
            </w:r>
            <w:r w:rsidR="0087018F">
              <w:rPr>
                <w:rFonts w:ascii="Arial" w:hAnsi="Arial" w:cs="Arial"/>
                <w:b/>
                <w:bCs/>
                <w:i/>
                <w:iCs/>
                <w:sz w:val="18"/>
                <w:szCs w:val="18"/>
                <w:lang w:val="en-US"/>
              </w:rPr>
              <w:t xml:space="preserve"> </w:t>
            </w:r>
            <w:r w:rsidR="0087018F">
              <w:rPr>
                <w:rFonts w:ascii="Arial" w:eastAsia="Arial" w:hAnsi="Arial" w:cs="Arial"/>
                <w:b/>
                <w:bCs/>
                <w:i/>
                <w:iCs/>
                <w:sz w:val="18"/>
                <w:szCs w:val="18"/>
                <w:lang w:val="en-US"/>
              </w:rPr>
              <w:t>(“Sample”)</w:t>
            </w:r>
          </w:p>
        </w:tc>
      </w:tr>
      <w:tr w:rsidR="00343BBB" w:rsidRPr="00AC2079" w14:paraId="73B9ABB7" w14:textId="77777777" w:rsidTr="0096765A">
        <w:trPr>
          <w:trHeight w:val="300"/>
        </w:trPr>
        <w:tc>
          <w:tcPr>
            <w:tcW w:w="1980" w:type="dxa"/>
          </w:tcPr>
          <w:p w14:paraId="2BD5BC49" w14:textId="443944A9" w:rsidR="00343BBB" w:rsidRPr="00B50531" w:rsidRDefault="00026DE1">
            <w:pPr>
              <w:spacing w:line="259" w:lineRule="auto"/>
              <w:jc w:val="both"/>
              <w:rPr>
                <w:rFonts w:ascii="Arial" w:hAnsi="Arial" w:cs="Arial"/>
                <w:i/>
                <w:iCs/>
                <w:sz w:val="18"/>
                <w:szCs w:val="18"/>
                <w:lang w:val="en-US"/>
              </w:rPr>
            </w:pPr>
            <w:r>
              <w:rPr>
                <w:rFonts w:ascii="Arial" w:eastAsia="Arial" w:hAnsi="Arial" w:cs="Arial"/>
                <w:i/>
                <w:iCs/>
                <w:sz w:val="18"/>
                <w:szCs w:val="18"/>
                <w:lang w:val="en-US"/>
              </w:rPr>
              <w:t xml:space="preserve">Internal </w:t>
            </w:r>
            <w:proofErr w:type="spellStart"/>
            <w:r>
              <w:rPr>
                <w:rFonts w:ascii="Arial" w:eastAsia="Arial" w:hAnsi="Arial" w:cs="Arial"/>
                <w:i/>
                <w:iCs/>
                <w:sz w:val="18"/>
                <w:szCs w:val="18"/>
                <w:lang w:val="en-US"/>
              </w:rPr>
              <w:t>organisation</w:t>
            </w:r>
            <w:proofErr w:type="spellEnd"/>
          </w:p>
        </w:tc>
        <w:tc>
          <w:tcPr>
            <w:tcW w:w="7371" w:type="dxa"/>
          </w:tcPr>
          <w:p w14:paraId="41A50B92" w14:textId="4AB742EA" w:rsidR="00343BBB" w:rsidRPr="00750A53" w:rsidRDefault="00750A53">
            <w:pPr>
              <w:pStyle w:val="Listenabsatz"/>
              <w:numPr>
                <w:ilvl w:val="1"/>
                <w:numId w:val="10"/>
              </w:numPr>
              <w:spacing w:line="259" w:lineRule="auto"/>
              <w:ind w:left="317" w:hanging="283"/>
              <w:jc w:val="both"/>
              <w:rPr>
                <w:rFonts w:cs="Arial"/>
                <w:i/>
                <w:iCs/>
                <w:sz w:val="18"/>
                <w:szCs w:val="18"/>
                <w:lang w:val="en-US"/>
              </w:rPr>
            </w:pPr>
            <w:r w:rsidRPr="00750A53">
              <w:rPr>
                <w:rFonts w:cs="Arial"/>
                <w:i/>
                <w:iCs/>
                <w:sz w:val="18"/>
                <w:szCs w:val="18"/>
                <w:lang w:val="en-US"/>
              </w:rPr>
              <w:t xml:space="preserve">The internal </w:t>
            </w:r>
            <w:proofErr w:type="spellStart"/>
            <w:r w:rsidRPr="00750A53">
              <w:rPr>
                <w:rFonts w:cs="Arial"/>
                <w:i/>
                <w:iCs/>
                <w:sz w:val="18"/>
                <w:szCs w:val="18"/>
                <w:lang w:val="en-US"/>
              </w:rPr>
              <w:t>organi</w:t>
            </w:r>
            <w:r w:rsidR="00293F9B">
              <w:rPr>
                <w:rFonts w:cs="Arial"/>
                <w:i/>
                <w:iCs/>
                <w:sz w:val="18"/>
                <w:szCs w:val="18"/>
                <w:lang w:val="en-US"/>
              </w:rPr>
              <w:t>s</w:t>
            </w:r>
            <w:r w:rsidRPr="00750A53">
              <w:rPr>
                <w:rFonts w:cs="Arial"/>
                <w:i/>
                <w:iCs/>
                <w:sz w:val="18"/>
                <w:szCs w:val="18"/>
                <w:lang w:val="en-US"/>
              </w:rPr>
              <w:t>ational</w:t>
            </w:r>
            <w:proofErr w:type="spellEnd"/>
            <w:r w:rsidRPr="00750A53">
              <w:rPr>
                <w:rFonts w:cs="Arial"/>
                <w:i/>
                <w:iCs/>
                <w:sz w:val="18"/>
                <w:szCs w:val="18"/>
                <w:lang w:val="en-US"/>
              </w:rPr>
              <w:t xml:space="preserve"> structure (e.g. directives, technical, human and professional resources) </w:t>
            </w:r>
            <w:r w:rsidR="000F44C0">
              <w:rPr>
                <w:rFonts w:cs="Arial"/>
                <w:i/>
                <w:iCs/>
                <w:sz w:val="18"/>
                <w:szCs w:val="18"/>
                <w:lang w:val="en-US"/>
              </w:rPr>
              <w:t>entails</w:t>
            </w:r>
            <w:r w:rsidRPr="00750A53">
              <w:rPr>
                <w:rFonts w:cs="Arial"/>
                <w:i/>
                <w:iCs/>
                <w:sz w:val="18"/>
                <w:szCs w:val="18"/>
                <w:lang w:val="en-US"/>
              </w:rPr>
              <w:t xml:space="preserve"> procedures which enable the resolution plan to be implemented if necessary</w:t>
            </w:r>
          </w:p>
        </w:tc>
      </w:tr>
      <w:tr w:rsidR="00343BBB" w:rsidRPr="00AC2079" w14:paraId="3AE494DD" w14:textId="77777777" w:rsidTr="0096765A">
        <w:trPr>
          <w:trHeight w:val="300"/>
        </w:trPr>
        <w:tc>
          <w:tcPr>
            <w:tcW w:w="1980" w:type="dxa"/>
          </w:tcPr>
          <w:p w14:paraId="34FD76DB" w14:textId="5678FC93" w:rsidR="00343BBB" w:rsidRPr="00527600" w:rsidRDefault="00527600">
            <w:pPr>
              <w:spacing w:line="259" w:lineRule="auto"/>
              <w:jc w:val="both"/>
              <w:rPr>
                <w:rFonts w:ascii="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7371" w:type="dxa"/>
          </w:tcPr>
          <w:p w14:paraId="13A3EE4C" w14:textId="523E4AFF"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The</w:t>
            </w:r>
            <w:r w:rsidR="003F7FCB">
              <w:rPr>
                <w:rFonts w:cs="Arial"/>
                <w:i/>
                <w:iCs/>
                <w:sz w:val="18"/>
                <w:szCs w:val="18"/>
                <w:lang w:val="en-US"/>
              </w:rPr>
              <w:t xml:space="preserv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E612DC">
              <w:rPr>
                <w:rFonts w:cs="Arial"/>
                <w:i/>
                <w:iCs/>
                <w:sz w:val="18"/>
                <w:szCs w:val="18"/>
                <w:lang w:val="en-US"/>
              </w:rPr>
              <w:t xml:space="preserve">provide for the application of the </w:t>
            </w:r>
            <w:r w:rsidR="003F7FCB">
              <w:rPr>
                <w:i/>
                <w:iCs/>
                <w:sz w:val="18"/>
                <w:szCs w:val="18"/>
                <w:lang w:val="en-US"/>
              </w:rPr>
              <w:t>four-eyes</w:t>
            </w:r>
            <w:r w:rsidR="003F7FCB" w:rsidRPr="006C43BA">
              <w:rPr>
                <w:i/>
                <w:iCs/>
                <w:sz w:val="18"/>
                <w:szCs w:val="18"/>
                <w:lang w:val="en-US"/>
              </w:rPr>
              <w:t xml:space="preserve"> principle </w:t>
            </w:r>
            <w:r w:rsidRPr="00E612DC">
              <w:rPr>
                <w:rFonts w:cs="Arial"/>
                <w:i/>
                <w:iCs/>
                <w:sz w:val="18"/>
                <w:szCs w:val="18"/>
                <w:lang w:val="en-US"/>
              </w:rPr>
              <w:t>or the separation of functions for key controls</w:t>
            </w:r>
          </w:p>
          <w:p w14:paraId="12F99E79" w14:textId="59142748"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E612DC">
              <w:rPr>
                <w:rFonts w:cs="Arial"/>
                <w:i/>
                <w:iCs/>
                <w:sz w:val="18"/>
                <w:szCs w:val="18"/>
                <w:lang w:val="en-US"/>
              </w:rPr>
              <w:t>for maintaining critical functions are in line with the BCM</w:t>
            </w:r>
          </w:p>
          <w:p w14:paraId="0D4138AA" w14:textId="73A9D876"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 xml:space="preserve">Procedures for </w:t>
            </w:r>
            <w:r w:rsidR="000F44C0">
              <w:rPr>
                <w:rFonts w:cs="Arial"/>
                <w:i/>
                <w:iCs/>
                <w:sz w:val="18"/>
                <w:szCs w:val="18"/>
                <w:lang w:val="en-US"/>
              </w:rPr>
              <w:t>mapping of</w:t>
            </w:r>
            <w:r w:rsidRPr="00E612DC">
              <w:rPr>
                <w:rFonts w:cs="Arial"/>
                <w:i/>
                <w:iCs/>
                <w:sz w:val="18"/>
                <w:szCs w:val="18"/>
                <w:lang w:val="en-US"/>
              </w:rPr>
              <w:t xml:space="preserve"> core business areas and critical functions to legal entities are defined</w:t>
            </w:r>
          </w:p>
          <w:p w14:paraId="1A2787C9" w14:textId="3742FB9C"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lastRenderedPageBreak/>
              <w:t>Procedures are defined for maintaining an appropriate level of staff and resources in the event of resolution</w:t>
            </w:r>
          </w:p>
          <w:p w14:paraId="7990DC12" w14:textId="710B57F2"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Procedures are defined for access to operationally necessary assets at any time</w:t>
            </w:r>
          </w:p>
          <w:p w14:paraId="45578544" w14:textId="55E217DC" w:rsidR="00E612DC"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Procedures for evaluating service contracts with regard to their liquidation</w:t>
            </w:r>
            <w:r w:rsidR="00B824B3">
              <w:rPr>
                <w:rFonts w:cs="Arial"/>
                <w:i/>
                <w:iCs/>
                <w:sz w:val="18"/>
                <w:szCs w:val="18"/>
                <w:lang w:val="en-US"/>
              </w:rPr>
              <w:t>-</w:t>
            </w:r>
            <w:r w:rsidRPr="00E612DC">
              <w:rPr>
                <w:rFonts w:cs="Arial"/>
                <w:i/>
                <w:iCs/>
                <w:sz w:val="18"/>
                <w:szCs w:val="18"/>
                <w:lang w:val="en-US"/>
              </w:rPr>
              <w:t xml:space="preserve"> and </w:t>
            </w:r>
            <w:r w:rsidR="00B824B3">
              <w:rPr>
                <w:rFonts w:cs="Arial"/>
                <w:i/>
                <w:iCs/>
                <w:sz w:val="18"/>
                <w:szCs w:val="18"/>
                <w:lang w:val="en-US"/>
              </w:rPr>
              <w:t>resolution-</w:t>
            </w:r>
            <w:r w:rsidRPr="00E612DC">
              <w:rPr>
                <w:rFonts w:cs="Arial"/>
                <w:i/>
                <w:iCs/>
                <w:sz w:val="18"/>
                <w:szCs w:val="18"/>
                <w:lang w:val="en-US"/>
              </w:rPr>
              <w:t>resilience are defined</w:t>
            </w:r>
          </w:p>
          <w:p w14:paraId="05D797BB" w14:textId="5DBA2976" w:rsidR="00343BBB" w:rsidRPr="00E612DC" w:rsidRDefault="00E612DC" w:rsidP="00E612DC">
            <w:pPr>
              <w:pStyle w:val="Listenabsatz"/>
              <w:numPr>
                <w:ilvl w:val="0"/>
                <w:numId w:val="14"/>
              </w:numPr>
              <w:spacing w:line="259" w:lineRule="auto"/>
              <w:ind w:left="316" w:hanging="316"/>
              <w:jc w:val="both"/>
              <w:rPr>
                <w:rFonts w:cs="Arial"/>
                <w:i/>
                <w:iCs/>
                <w:sz w:val="18"/>
                <w:szCs w:val="18"/>
                <w:lang w:val="en-US"/>
              </w:rPr>
            </w:pPr>
            <w:r w:rsidRPr="00E612DC">
              <w:rPr>
                <w:rFonts w:cs="Arial"/>
                <w:i/>
                <w:iCs/>
                <w:sz w:val="18"/>
                <w:szCs w:val="18"/>
                <w:lang w:val="en-US"/>
              </w:rPr>
              <w:t>Procedures are defined for the group-internal provision of services and facilities in the event of a</w:t>
            </w:r>
            <w:r w:rsidR="00B824B3">
              <w:rPr>
                <w:rFonts w:cs="Arial"/>
                <w:i/>
                <w:iCs/>
                <w:sz w:val="18"/>
                <w:szCs w:val="18"/>
                <w:lang w:val="en-US"/>
              </w:rPr>
              <w:t xml:space="preserve"> resolution</w:t>
            </w:r>
          </w:p>
        </w:tc>
      </w:tr>
    </w:tbl>
    <w:p w14:paraId="0DB2AE16" w14:textId="6D4853EA" w:rsidR="009C13AD" w:rsidRPr="00E612DC" w:rsidRDefault="009C13AD" w:rsidP="4A737A38">
      <w:pPr>
        <w:pStyle w:val="FINMAGliederungEbene1"/>
        <w:numPr>
          <w:ilvl w:val="0"/>
          <w:numId w:val="0"/>
        </w:numPr>
        <w:rPr>
          <w:lang w:val="en-US"/>
        </w:rPr>
      </w:pPr>
    </w:p>
    <w:p w14:paraId="727E7955" w14:textId="69131C08" w:rsidR="00321DB7" w:rsidRPr="00EC1C5F" w:rsidRDefault="00EC1C5F" w:rsidP="00C37D08">
      <w:pPr>
        <w:pStyle w:val="FINMAGliederungEbene2"/>
      </w:pPr>
      <w:bookmarkStart w:id="33" w:name="_Toc140849827"/>
      <w:bookmarkStart w:id="34" w:name="_Toc141095446"/>
      <w:bookmarkStart w:id="35" w:name="_Toc141284984"/>
      <w:bookmarkStart w:id="36" w:name="_Toc140849849"/>
      <w:bookmarkStart w:id="37" w:name="_Toc141095468"/>
      <w:bookmarkStart w:id="38" w:name="_Toc141285006"/>
      <w:bookmarkStart w:id="39" w:name="_Toc140849871"/>
      <w:bookmarkStart w:id="40" w:name="_Toc141095490"/>
      <w:bookmarkStart w:id="41" w:name="_Toc141285028"/>
      <w:bookmarkStart w:id="42" w:name="_Toc140849872"/>
      <w:bookmarkStart w:id="43" w:name="_Toc141095491"/>
      <w:bookmarkStart w:id="44" w:name="_Toc141285029"/>
      <w:bookmarkStart w:id="45" w:name="_Toc140849883"/>
      <w:bookmarkStart w:id="46" w:name="_Toc141095502"/>
      <w:bookmarkStart w:id="47" w:name="_Toc141285040"/>
      <w:bookmarkStart w:id="48" w:name="_Toc140849884"/>
      <w:bookmarkStart w:id="49" w:name="_Toc141095503"/>
      <w:bookmarkStart w:id="50" w:name="_Toc141285041"/>
      <w:bookmarkStart w:id="51" w:name="_Toc140849885"/>
      <w:bookmarkStart w:id="52" w:name="_Toc141095504"/>
      <w:bookmarkStart w:id="53" w:name="_Toc141285042"/>
      <w:bookmarkStart w:id="54" w:name="_Toc140849886"/>
      <w:bookmarkStart w:id="55" w:name="_Toc141095505"/>
      <w:bookmarkStart w:id="56" w:name="_Toc141285043"/>
      <w:bookmarkStart w:id="57" w:name="_Toc139361778"/>
      <w:bookmarkStart w:id="58" w:name="_Toc139361821"/>
      <w:bookmarkStart w:id="59" w:name="_Toc14540974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C1C5F">
        <w:t xml:space="preserve">Loss Absorption and </w:t>
      </w:r>
      <w:proofErr w:type="spellStart"/>
      <w:r w:rsidRPr="00EC1C5F">
        <w:t>Recapitalization</w:t>
      </w:r>
      <w:bookmarkEnd w:id="59"/>
      <w:proofErr w:type="spellEnd"/>
    </w:p>
    <w:p w14:paraId="09527E16" w14:textId="77777777" w:rsidR="00A63A2D" w:rsidRPr="00EC1C5F" w:rsidRDefault="00A63A2D" w:rsidP="00A63A2D">
      <w:pPr>
        <w:jc w:val="both"/>
      </w:pPr>
    </w:p>
    <w:tbl>
      <w:tblPr>
        <w:tblStyle w:val="Tabellenraster"/>
        <w:tblW w:w="0" w:type="auto"/>
        <w:tblLook w:val="04A0" w:firstRow="1" w:lastRow="0" w:firstColumn="1" w:lastColumn="0" w:noHBand="0" w:noVBand="1"/>
      </w:tblPr>
      <w:tblGrid>
        <w:gridCol w:w="317"/>
        <w:gridCol w:w="1653"/>
        <w:gridCol w:w="2145"/>
        <w:gridCol w:w="1721"/>
        <w:gridCol w:w="860"/>
        <w:gridCol w:w="2522"/>
      </w:tblGrid>
      <w:tr w:rsidR="00780FEC" w:rsidRPr="00AC2079" w14:paraId="25CB6F47" w14:textId="77777777" w:rsidTr="5BDDCDE6">
        <w:trPr>
          <w:trHeight w:val="563"/>
        </w:trPr>
        <w:tc>
          <w:tcPr>
            <w:tcW w:w="1970" w:type="dxa"/>
            <w:gridSpan w:val="2"/>
            <w:shd w:val="clear" w:color="auto" w:fill="DBE5F1" w:themeFill="accent1" w:themeFillTint="33"/>
          </w:tcPr>
          <w:p w14:paraId="3CBBCE76" w14:textId="25CA71D1"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145" w:type="dxa"/>
            <w:shd w:val="clear" w:color="auto" w:fill="DBE5F1" w:themeFill="accent1" w:themeFillTint="33"/>
          </w:tcPr>
          <w:p w14:paraId="0BEC4EC0" w14:textId="758AD051"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103" w:type="dxa"/>
            <w:gridSpan w:val="3"/>
            <w:shd w:val="clear" w:color="auto" w:fill="DBE5F1" w:themeFill="accent1" w:themeFillTint="33"/>
          </w:tcPr>
          <w:p w14:paraId="0395D2FA" w14:textId="207075CB"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703CD951" w14:textId="77777777" w:rsidTr="5BDDCDE6">
        <w:trPr>
          <w:trHeight w:val="698"/>
        </w:trPr>
        <w:tc>
          <w:tcPr>
            <w:tcW w:w="1970" w:type="dxa"/>
            <w:gridSpan w:val="2"/>
            <w:shd w:val="clear" w:color="auto" w:fill="DBE5F1" w:themeFill="accent1" w:themeFillTint="33"/>
          </w:tcPr>
          <w:p w14:paraId="0878C1F3" w14:textId="185BBBFF"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1BB541E0" w14:textId="6B0D4BEF"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13ACE381" w14:textId="0D84CF88"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2902ECA2" w14:textId="7C1BE590"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r>
      <w:tr w:rsidR="00A63A2D" w:rsidRPr="00AC2079" w14:paraId="1F2DC44B" w14:textId="77777777" w:rsidTr="5BDDCDE6">
        <w:trPr>
          <w:trHeight w:val="636"/>
        </w:trPr>
        <w:tc>
          <w:tcPr>
            <w:tcW w:w="9218" w:type="dxa"/>
            <w:gridSpan w:val="6"/>
            <w:shd w:val="clear" w:color="auto" w:fill="DBE5F1" w:themeFill="accent1" w:themeFillTint="33"/>
          </w:tcPr>
          <w:p w14:paraId="68BB58A4" w14:textId="77777777" w:rsidR="00780FEC"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1D90828B" w14:textId="4DD0DC83" w:rsidR="00B56AC5" w:rsidRPr="00B50531" w:rsidRDefault="00B56AC5" w:rsidP="005A78D2">
            <w:pPr>
              <w:pStyle w:val="Listenabsatz"/>
              <w:numPr>
                <w:ilvl w:val="0"/>
                <w:numId w:val="9"/>
              </w:numPr>
              <w:ind w:left="308"/>
              <w:jc w:val="both"/>
              <w:rPr>
                <w:rFonts w:cs="Arial"/>
                <w:sz w:val="18"/>
                <w:szCs w:val="18"/>
                <w:lang w:val="en-US"/>
              </w:rPr>
            </w:pPr>
            <w:r w:rsidRPr="00B50531">
              <w:rPr>
                <w:rFonts w:cs="Arial"/>
                <w:sz w:val="18"/>
                <w:szCs w:val="18"/>
                <w:lang w:val="en-US"/>
              </w:rPr>
              <w:t xml:space="preserve">Art. 55 </w:t>
            </w:r>
            <w:r w:rsidR="00E612DC">
              <w:rPr>
                <w:rFonts w:cs="Arial"/>
                <w:sz w:val="18"/>
                <w:szCs w:val="18"/>
                <w:lang w:val="en-US"/>
              </w:rPr>
              <w:t>and</w:t>
            </w:r>
            <w:r w:rsidRPr="00B50531">
              <w:rPr>
                <w:rFonts w:cs="Arial"/>
                <w:sz w:val="18"/>
                <w:szCs w:val="18"/>
                <w:lang w:val="en-US"/>
              </w:rPr>
              <w:t xml:space="preserve"> 78 </w:t>
            </w:r>
            <w:r w:rsidR="00347590">
              <w:rPr>
                <w:rFonts w:cs="Arial"/>
                <w:sz w:val="18"/>
                <w:szCs w:val="18"/>
                <w:lang w:val="en-US"/>
              </w:rPr>
              <w:t>SAG</w:t>
            </w:r>
          </w:p>
          <w:p w14:paraId="1B15DCAE" w14:textId="77777777" w:rsidR="00443CAB" w:rsidRPr="00E8775E" w:rsidRDefault="00443CAB" w:rsidP="00C37D08">
            <w:pPr>
              <w:pStyle w:val="Listenabsatz"/>
              <w:numPr>
                <w:ilvl w:val="0"/>
                <w:numId w:val="9"/>
              </w:numPr>
              <w:ind w:left="308"/>
              <w:jc w:val="both"/>
              <w:rPr>
                <w:rFonts w:cs="Arial"/>
                <w:sz w:val="18"/>
                <w:szCs w:val="18"/>
                <w:lang w:val="en-GB"/>
              </w:rPr>
            </w:pPr>
            <w:r w:rsidRPr="00443CAB">
              <w:rPr>
                <w:rFonts w:cs="Arial"/>
                <w:sz w:val="18"/>
                <w:szCs w:val="18"/>
                <w:lang w:val="en-US"/>
              </w:rPr>
              <w:t>Regulation (EU) No 575/2013 of the European Parliament and of the Council of 26 June 2013 on prudential requirements for credit institutions and investment firms and amending Regulation</w:t>
            </w:r>
          </w:p>
          <w:p w14:paraId="1FFAD2F2" w14:textId="77777777" w:rsidR="00443CAB" w:rsidRPr="00E8775E" w:rsidRDefault="00443CAB" w:rsidP="00C37D08">
            <w:pPr>
              <w:pStyle w:val="Listenabsatz"/>
              <w:numPr>
                <w:ilvl w:val="0"/>
                <w:numId w:val="9"/>
              </w:numPr>
              <w:ind w:left="308"/>
              <w:jc w:val="both"/>
              <w:rPr>
                <w:rFonts w:cs="Arial"/>
                <w:sz w:val="18"/>
                <w:szCs w:val="18"/>
                <w:lang w:val="en-GB"/>
              </w:rPr>
            </w:pPr>
            <w:r w:rsidRPr="00443CAB">
              <w:rPr>
                <w:rFonts w:cs="Arial"/>
                <w:sz w:val="18"/>
                <w:szCs w:val="18"/>
                <w:lang w:val="en-US"/>
              </w:rPr>
              <w:t>Commission Delegated Regulation (EU) 2016/860 of 4 February 2016 specifying further the circumstances where exclusion from the application of write-down or conversion powers is necessary under Article 44(3) of Directive 2014/59/EU of the European Parliament and of the Council establishing a framework for the recovery and resolution of credit institutions and investment firms</w:t>
            </w:r>
          </w:p>
          <w:p w14:paraId="76341350" w14:textId="77777777" w:rsidR="00443CAB" w:rsidRPr="00E8775E" w:rsidRDefault="00443CAB" w:rsidP="00C37D08">
            <w:pPr>
              <w:pStyle w:val="Listenabsatz"/>
              <w:numPr>
                <w:ilvl w:val="0"/>
                <w:numId w:val="9"/>
              </w:numPr>
              <w:ind w:left="308"/>
              <w:jc w:val="both"/>
              <w:rPr>
                <w:rFonts w:cs="Arial"/>
                <w:sz w:val="18"/>
                <w:szCs w:val="18"/>
                <w:lang w:val="en-GB"/>
              </w:rPr>
            </w:pPr>
            <w:r w:rsidRPr="00E8775E">
              <w:rPr>
                <w:rFonts w:cs="Arial"/>
                <w:sz w:val="18"/>
                <w:szCs w:val="18"/>
                <w:lang w:val="en-GB"/>
              </w:rPr>
              <w:t>Commission Delegated Regulation (EU) No 241/2014 of 7 January 2014 supplementing Regulation (EU) No 575/2013 of the European Parliament and of the Council with regard to regulatory technical standards for Own Funds requirements for institutions Text with EEA relevance</w:t>
            </w:r>
          </w:p>
          <w:p w14:paraId="36DE7D18" w14:textId="4F637DAE" w:rsidR="00443CAB" w:rsidRPr="00443CAB" w:rsidRDefault="00443CAB" w:rsidP="00C37D08">
            <w:pPr>
              <w:pStyle w:val="Listenabsatz"/>
              <w:numPr>
                <w:ilvl w:val="0"/>
                <w:numId w:val="9"/>
              </w:numPr>
              <w:ind w:left="308"/>
              <w:jc w:val="both"/>
              <w:rPr>
                <w:rFonts w:cs="Arial"/>
                <w:sz w:val="18"/>
                <w:szCs w:val="18"/>
                <w:lang w:val="en-US"/>
              </w:rPr>
            </w:pPr>
            <w:r w:rsidRPr="00443CAB">
              <w:rPr>
                <w:rFonts w:cs="Arial"/>
                <w:sz w:val="18"/>
                <w:szCs w:val="18"/>
                <w:lang w:val="en-US"/>
              </w:rPr>
              <w:t>Commission Delegated Regulation (EU) 2021/1340 determining the content of the contractual terms on recognition of resolution stay powers</w:t>
            </w:r>
          </w:p>
          <w:p w14:paraId="68D66453" w14:textId="04D73F34" w:rsidR="00AD0D3F" w:rsidRDefault="00AD71E4" w:rsidP="00AD0D3F">
            <w:pPr>
              <w:pStyle w:val="Listenabsatz"/>
              <w:numPr>
                <w:ilvl w:val="0"/>
                <w:numId w:val="9"/>
              </w:numPr>
              <w:ind w:left="308"/>
              <w:jc w:val="both"/>
              <w:rPr>
                <w:rFonts w:cs="Arial"/>
                <w:sz w:val="18"/>
                <w:szCs w:val="18"/>
                <w:lang w:val="en-US"/>
              </w:rPr>
            </w:pPr>
            <w:r w:rsidRPr="00432521">
              <w:rPr>
                <w:rFonts w:cs="Arial"/>
                <w:sz w:val="18"/>
                <w:szCs w:val="18"/>
                <w:lang w:val="en-US"/>
              </w:rPr>
              <w:t>EBA Guidelines on improving resolvability for institutions and resolution authorities (EBA/GL/2022/01)</w:t>
            </w:r>
          </w:p>
          <w:p w14:paraId="304DD86E" w14:textId="16AC3A1B" w:rsidR="00AD0D3F" w:rsidRPr="00AD0D3F" w:rsidRDefault="00A132CB" w:rsidP="0096765A">
            <w:pPr>
              <w:pStyle w:val="Listenabsatz"/>
              <w:numPr>
                <w:ilvl w:val="0"/>
                <w:numId w:val="9"/>
              </w:numPr>
              <w:ind w:left="308"/>
              <w:jc w:val="both"/>
              <w:rPr>
                <w:rFonts w:cs="Arial"/>
                <w:sz w:val="18"/>
                <w:szCs w:val="18"/>
                <w:lang w:val="en-US"/>
              </w:rPr>
            </w:pPr>
            <w:r>
              <w:rPr>
                <w:rFonts w:cs="Arial"/>
                <w:sz w:val="18"/>
                <w:szCs w:val="18"/>
                <w:lang w:val="en-US"/>
              </w:rPr>
              <w:t xml:space="preserve">EBA </w:t>
            </w:r>
            <w:r w:rsidR="00AD0D3F" w:rsidRPr="00AD0D3F">
              <w:rPr>
                <w:rFonts w:cs="Arial"/>
                <w:sz w:val="18"/>
                <w:szCs w:val="18"/>
                <w:lang w:val="en-US"/>
              </w:rPr>
              <w:t xml:space="preserve">Guidelines on the rate of </w:t>
            </w:r>
            <w:r w:rsidR="00AD0D3F" w:rsidRPr="00D01858">
              <w:rPr>
                <w:rFonts w:cs="Arial"/>
                <w:sz w:val="18"/>
                <w:szCs w:val="18"/>
                <w:lang w:val="en-US"/>
              </w:rPr>
              <w:t>conversion (EBA-GL-2017-03</w:t>
            </w:r>
            <w:r w:rsidR="005625E5" w:rsidRPr="00D01858">
              <w:rPr>
                <w:rFonts w:cs="Arial"/>
                <w:sz w:val="18"/>
                <w:szCs w:val="18"/>
                <w:lang w:val="en-US"/>
              </w:rPr>
              <w:t>)</w:t>
            </w:r>
          </w:p>
          <w:p w14:paraId="2D0475F3" w14:textId="3DE001BF" w:rsidR="00E75BEB" w:rsidRPr="00AD0D3F" w:rsidRDefault="00432521" w:rsidP="0096765A">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A63A2D" w:rsidRPr="00AC2079" w14:paraId="05A6EAA3" w14:textId="77777777" w:rsidTr="5BDDCDE6">
        <w:trPr>
          <w:trHeight w:val="294"/>
        </w:trPr>
        <w:tc>
          <w:tcPr>
            <w:tcW w:w="9218" w:type="dxa"/>
            <w:gridSpan w:val="6"/>
          </w:tcPr>
          <w:p w14:paraId="39D042FE" w14:textId="77777777" w:rsidR="00A63A2D" w:rsidRPr="00AD0D3F" w:rsidRDefault="00A63A2D" w:rsidP="00C747F0">
            <w:pPr>
              <w:jc w:val="both"/>
              <w:rPr>
                <w:rFonts w:ascii="Arial" w:hAnsi="Arial" w:cs="Arial"/>
                <w:sz w:val="18"/>
                <w:szCs w:val="18"/>
                <w:lang w:val="en-US"/>
              </w:rPr>
            </w:pPr>
          </w:p>
        </w:tc>
      </w:tr>
      <w:tr w:rsidR="00306DAC" w:rsidRPr="00AC2079" w14:paraId="2DFAABDD" w14:textId="77777777" w:rsidTr="5BDDCDE6">
        <w:trPr>
          <w:trHeight w:val="294"/>
        </w:trPr>
        <w:tc>
          <w:tcPr>
            <w:tcW w:w="317" w:type="dxa"/>
          </w:tcPr>
          <w:p w14:paraId="6A598C0C" w14:textId="72E03ABB" w:rsidR="00306DAC" w:rsidRPr="00B50531" w:rsidRDefault="00306DAC" w:rsidP="00306DAC">
            <w:pPr>
              <w:jc w:val="both"/>
              <w:rPr>
                <w:rFonts w:ascii="Arial" w:hAnsi="Arial" w:cs="Arial"/>
                <w:sz w:val="18"/>
                <w:szCs w:val="18"/>
                <w:lang w:val="en-US"/>
              </w:rPr>
            </w:pPr>
            <w:r w:rsidRPr="00B50531">
              <w:rPr>
                <w:rFonts w:ascii="Arial" w:hAnsi="Arial" w:cs="Arial"/>
                <w:sz w:val="18"/>
                <w:szCs w:val="18"/>
                <w:lang w:val="en-US"/>
              </w:rPr>
              <w:t>1</w:t>
            </w:r>
          </w:p>
        </w:tc>
        <w:tc>
          <w:tcPr>
            <w:tcW w:w="6379" w:type="dxa"/>
            <w:gridSpan w:val="4"/>
          </w:tcPr>
          <w:p w14:paraId="085E9695" w14:textId="6067D4FF" w:rsidR="00306DAC" w:rsidRPr="00527600" w:rsidRDefault="00527600" w:rsidP="00306DAC">
            <w:pPr>
              <w:jc w:val="both"/>
              <w:rPr>
                <w:rFonts w:ascii="Arial" w:hAnsi="Arial" w:cs="Arial"/>
                <w:sz w:val="18"/>
                <w:szCs w:val="18"/>
                <w:lang w:val="en-US"/>
              </w:rPr>
            </w:pPr>
            <w:r w:rsidRPr="00527600">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00C06933">
              <w:rPr>
                <w:rFonts w:ascii="Arial" w:hAnsi="Arial" w:cs="Arial"/>
                <w:sz w:val="18"/>
                <w:szCs w:val="18"/>
                <w:lang w:val="en-US"/>
              </w:rPr>
              <w:t xml:space="preserve">enable </w:t>
            </w:r>
            <w:r w:rsidR="0044465E">
              <w:rPr>
                <w:rFonts w:ascii="Arial" w:hAnsi="Arial" w:cs="Arial"/>
                <w:sz w:val="18"/>
                <w:szCs w:val="18"/>
                <w:lang w:val="en-US"/>
              </w:rPr>
              <w:t>the</w:t>
            </w:r>
            <w:r w:rsidRPr="00527600">
              <w:rPr>
                <w:rFonts w:ascii="Arial" w:hAnsi="Arial" w:cs="Arial"/>
                <w:sz w:val="18"/>
                <w:szCs w:val="18"/>
                <w:lang w:val="en-US"/>
              </w:rPr>
              <w:t xml:space="preserve"> quantif</w:t>
            </w:r>
            <w:r w:rsidR="0044465E">
              <w:rPr>
                <w:rFonts w:ascii="Arial" w:hAnsi="Arial" w:cs="Arial"/>
                <w:sz w:val="18"/>
                <w:szCs w:val="18"/>
                <w:lang w:val="en-US"/>
              </w:rPr>
              <w:t>ication</w:t>
            </w:r>
            <w:r w:rsidRPr="00527600">
              <w:rPr>
                <w:rFonts w:ascii="Arial" w:hAnsi="Arial" w:cs="Arial"/>
                <w:sz w:val="18"/>
                <w:szCs w:val="18"/>
                <w:lang w:val="en-US"/>
              </w:rPr>
              <w:t xml:space="preserve"> </w:t>
            </w:r>
            <w:r w:rsidR="0044465E">
              <w:rPr>
                <w:rFonts w:ascii="Arial" w:hAnsi="Arial" w:cs="Arial"/>
                <w:sz w:val="18"/>
                <w:szCs w:val="18"/>
                <w:lang w:val="en-US"/>
              </w:rPr>
              <w:t xml:space="preserve">of </w:t>
            </w:r>
            <w:r w:rsidRPr="00527600">
              <w:rPr>
                <w:rFonts w:ascii="Arial" w:hAnsi="Arial" w:cs="Arial"/>
                <w:sz w:val="18"/>
                <w:szCs w:val="18"/>
                <w:lang w:val="en-US"/>
              </w:rPr>
              <w:t xml:space="preserve">the </w:t>
            </w:r>
            <w:r w:rsidR="005625E5">
              <w:rPr>
                <w:rFonts w:ascii="Arial" w:hAnsi="Arial" w:cs="Arial"/>
                <w:sz w:val="18"/>
                <w:szCs w:val="18"/>
                <w:lang w:val="en-US"/>
              </w:rPr>
              <w:t xml:space="preserve">capacity of </w:t>
            </w:r>
            <w:r w:rsidRPr="00527600">
              <w:rPr>
                <w:rFonts w:ascii="Arial" w:hAnsi="Arial" w:cs="Arial"/>
                <w:sz w:val="18"/>
                <w:szCs w:val="18"/>
                <w:lang w:val="en-US"/>
              </w:rPr>
              <w:t>eligible liabilities in accordance with Part 2 Chapter 5a CRR and to allocate it to individual creditors</w:t>
            </w:r>
            <w:r w:rsidR="005625E5">
              <w:rPr>
                <w:rFonts w:ascii="Arial" w:hAnsi="Arial" w:cs="Arial"/>
                <w:sz w:val="18"/>
                <w:szCs w:val="18"/>
                <w:lang w:val="en-US"/>
              </w:rPr>
              <w:t xml:space="preserve"> at any time</w:t>
            </w:r>
            <w:r w:rsidRPr="00527600">
              <w:rPr>
                <w:rFonts w:ascii="Arial" w:hAnsi="Arial" w:cs="Arial"/>
                <w:sz w:val="18"/>
                <w:szCs w:val="18"/>
                <w:lang w:val="en-US"/>
              </w:rPr>
              <w:t>.</w:t>
            </w:r>
          </w:p>
        </w:tc>
        <w:tc>
          <w:tcPr>
            <w:tcW w:w="2522" w:type="dxa"/>
          </w:tcPr>
          <w:p w14:paraId="0FD9B4D3" w14:textId="33D44DC9" w:rsidR="00306DAC" w:rsidRPr="00780FEC" w:rsidRDefault="00665CEC" w:rsidP="00306DAC">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306DAC" w:rsidRPr="00AC2079" w14:paraId="30E24A88" w14:textId="77777777" w:rsidTr="5BDDCDE6">
        <w:trPr>
          <w:trHeight w:val="294"/>
        </w:trPr>
        <w:tc>
          <w:tcPr>
            <w:tcW w:w="317" w:type="dxa"/>
          </w:tcPr>
          <w:p w14:paraId="33913627" w14:textId="1F39FF7D" w:rsidR="00306DAC" w:rsidRPr="00B50531" w:rsidRDefault="00306DAC" w:rsidP="00306DAC">
            <w:pPr>
              <w:jc w:val="both"/>
              <w:rPr>
                <w:rFonts w:ascii="Arial" w:hAnsi="Arial" w:cs="Arial"/>
                <w:sz w:val="18"/>
                <w:szCs w:val="18"/>
                <w:lang w:val="en-US"/>
              </w:rPr>
            </w:pPr>
            <w:r w:rsidRPr="00B50531">
              <w:rPr>
                <w:rFonts w:ascii="Arial" w:hAnsi="Arial" w:cs="Arial"/>
                <w:sz w:val="18"/>
                <w:szCs w:val="18"/>
                <w:lang w:val="en-US"/>
              </w:rPr>
              <w:t>2</w:t>
            </w:r>
          </w:p>
        </w:tc>
        <w:tc>
          <w:tcPr>
            <w:tcW w:w="6379" w:type="dxa"/>
            <w:gridSpan w:val="4"/>
          </w:tcPr>
          <w:p w14:paraId="64D740DF" w14:textId="29124C3B" w:rsidR="00306DAC" w:rsidRPr="0044465E" w:rsidRDefault="00527600" w:rsidP="00306DAC">
            <w:pPr>
              <w:jc w:val="both"/>
              <w:rPr>
                <w:rFonts w:ascii="Arial" w:hAnsi="Arial" w:cs="Arial"/>
                <w:sz w:val="18"/>
                <w:szCs w:val="18"/>
                <w:lang w:val="en-US"/>
              </w:rPr>
            </w:pPr>
            <w:r w:rsidRPr="0044465E">
              <w:rPr>
                <w:rFonts w:ascii="Arial" w:hAnsi="Arial" w:cs="Arial"/>
                <w:sz w:val="18"/>
                <w:szCs w:val="18"/>
                <w:lang w:val="en-US"/>
              </w:rPr>
              <w:t>Confirmation that the</w:t>
            </w:r>
            <w:r w:rsidR="003F7FCB">
              <w:rPr>
                <w:rFonts w:ascii="Arial" w:hAnsi="Arial" w:cs="Arial"/>
                <w:sz w:val="18"/>
                <w:szCs w:val="18"/>
                <w:lang w:val="en-US"/>
              </w:rPr>
              <w:t xml:space="preserve"> internal procedures</w:t>
            </w:r>
            <w:r w:rsidR="003F7FCB" w:rsidRPr="00DD5261">
              <w:rPr>
                <w:rFonts w:ascii="Arial" w:hAnsi="Arial" w:cs="Arial"/>
                <w:sz w:val="18"/>
                <w:szCs w:val="18"/>
                <w:lang w:val="en-US"/>
              </w:rPr>
              <w:t xml:space="preserve"> </w:t>
            </w:r>
            <w:r w:rsidRPr="0044465E">
              <w:rPr>
                <w:rFonts w:ascii="Arial" w:hAnsi="Arial" w:cs="Arial"/>
                <w:sz w:val="18"/>
                <w:szCs w:val="18"/>
                <w:lang w:val="en-US"/>
              </w:rPr>
              <w:t xml:space="preserve">enable </w:t>
            </w:r>
            <w:r w:rsidR="005625E5" w:rsidRPr="0044465E">
              <w:rPr>
                <w:rFonts w:ascii="Arial" w:hAnsi="Arial" w:cs="Arial"/>
                <w:sz w:val="18"/>
                <w:szCs w:val="18"/>
                <w:lang w:val="en-US"/>
              </w:rPr>
              <w:t>the implementation and quantification</w:t>
            </w:r>
            <w:r w:rsidR="005625E5" w:rsidRPr="00AD71E4">
              <w:rPr>
                <w:rFonts w:ascii="Arial" w:hAnsi="Arial" w:cs="Arial"/>
                <w:sz w:val="18"/>
                <w:szCs w:val="18"/>
                <w:lang w:val="en-US"/>
              </w:rPr>
              <w:t xml:space="preserve"> of</w:t>
            </w:r>
            <w:r w:rsidRPr="00AD71E4">
              <w:rPr>
                <w:rFonts w:ascii="Arial" w:hAnsi="Arial" w:cs="Arial"/>
                <w:sz w:val="18"/>
                <w:szCs w:val="18"/>
                <w:lang w:val="en-US"/>
              </w:rPr>
              <w:t xml:space="preserve"> the</w:t>
            </w:r>
            <w:r w:rsidRPr="0044465E">
              <w:rPr>
                <w:rFonts w:ascii="Arial" w:hAnsi="Arial" w:cs="Arial"/>
                <w:sz w:val="18"/>
                <w:szCs w:val="18"/>
                <w:lang w:val="en-US"/>
              </w:rPr>
              <w:t xml:space="preserve"> full write-down and conversion of capital instruments and eligible liabilities</w:t>
            </w:r>
            <w:r w:rsidR="005625E5" w:rsidRPr="0044465E">
              <w:rPr>
                <w:rFonts w:ascii="Arial" w:hAnsi="Arial" w:cs="Arial"/>
                <w:sz w:val="18"/>
                <w:szCs w:val="18"/>
                <w:lang w:val="en-US"/>
              </w:rPr>
              <w:t xml:space="preserve"> (“write-down and conversion”)</w:t>
            </w:r>
            <w:r w:rsidRPr="0044465E">
              <w:rPr>
                <w:rFonts w:ascii="Arial" w:hAnsi="Arial" w:cs="Arial"/>
                <w:sz w:val="18"/>
                <w:szCs w:val="18"/>
                <w:lang w:val="en-US"/>
              </w:rPr>
              <w:t xml:space="preserve"> in accordance with Article 78 </w:t>
            </w:r>
            <w:r w:rsidRPr="00AD71E4">
              <w:rPr>
                <w:rFonts w:ascii="Arial" w:hAnsi="Arial" w:cs="Arial"/>
                <w:sz w:val="18"/>
                <w:szCs w:val="18"/>
                <w:lang w:val="en-US"/>
              </w:rPr>
              <w:t>(3</w:t>
            </w:r>
            <w:r w:rsidRPr="0044465E">
              <w:rPr>
                <w:rFonts w:ascii="Arial" w:hAnsi="Arial" w:cs="Arial"/>
                <w:sz w:val="18"/>
                <w:szCs w:val="18"/>
                <w:lang w:val="en-US"/>
              </w:rPr>
              <w:t xml:space="preserve">) CRR in conjunction with Article 49 </w:t>
            </w:r>
            <w:r w:rsidRPr="00AD71E4">
              <w:rPr>
                <w:rFonts w:ascii="Arial" w:hAnsi="Arial" w:cs="Arial"/>
                <w:sz w:val="18"/>
                <w:szCs w:val="18"/>
                <w:lang w:val="en-US"/>
              </w:rPr>
              <w:t>(2)</w:t>
            </w:r>
            <w:r w:rsidRPr="0044465E">
              <w:rPr>
                <w:rFonts w:ascii="Arial" w:hAnsi="Arial" w:cs="Arial"/>
                <w:sz w:val="18"/>
                <w:szCs w:val="18"/>
                <w:lang w:val="en-US"/>
              </w:rPr>
              <w:t xml:space="preserve"> </w:t>
            </w:r>
            <w:r w:rsidR="00347590" w:rsidRPr="0044465E">
              <w:rPr>
                <w:rFonts w:ascii="Arial" w:hAnsi="Arial" w:cs="Arial"/>
                <w:sz w:val="18"/>
                <w:szCs w:val="18"/>
                <w:lang w:val="en-US"/>
              </w:rPr>
              <w:t>SAG</w:t>
            </w:r>
            <w:r w:rsidRPr="0044465E">
              <w:rPr>
                <w:rFonts w:ascii="Arial" w:hAnsi="Arial" w:cs="Arial"/>
                <w:sz w:val="18"/>
                <w:szCs w:val="18"/>
                <w:lang w:val="en-US"/>
              </w:rPr>
              <w:t>.</w:t>
            </w:r>
          </w:p>
        </w:tc>
        <w:tc>
          <w:tcPr>
            <w:tcW w:w="2522" w:type="dxa"/>
          </w:tcPr>
          <w:p w14:paraId="30E08886" w14:textId="15705A52" w:rsidR="00306DAC" w:rsidRPr="00780FEC" w:rsidRDefault="00665CEC" w:rsidP="00306DAC">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14645E" w:rsidRPr="00AC2079" w14:paraId="39991EE8" w14:textId="77777777" w:rsidTr="5BDDCDE6">
        <w:trPr>
          <w:trHeight w:val="294"/>
        </w:trPr>
        <w:tc>
          <w:tcPr>
            <w:tcW w:w="317" w:type="dxa"/>
          </w:tcPr>
          <w:p w14:paraId="45B9038C" w14:textId="42437D9A" w:rsidR="0014645E" w:rsidRPr="00B50531" w:rsidRDefault="0014645E" w:rsidP="00306DAC">
            <w:pPr>
              <w:jc w:val="both"/>
              <w:rPr>
                <w:rFonts w:ascii="Arial" w:hAnsi="Arial" w:cs="Arial"/>
                <w:sz w:val="18"/>
                <w:szCs w:val="18"/>
                <w:lang w:val="en-US"/>
              </w:rPr>
            </w:pPr>
            <w:r w:rsidRPr="00B50531">
              <w:rPr>
                <w:rFonts w:ascii="Arial" w:hAnsi="Arial" w:cs="Arial"/>
                <w:sz w:val="18"/>
                <w:szCs w:val="18"/>
                <w:lang w:val="en-US"/>
              </w:rPr>
              <w:t>3</w:t>
            </w:r>
          </w:p>
        </w:tc>
        <w:tc>
          <w:tcPr>
            <w:tcW w:w="6379" w:type="dxa"/>
            <w:gridSpan w:val="4"/>
          </w:tcPr>
          <w:p w14:paraId="65C9F92F" w14:textId="219F44E7" w:rsidR="0014645E" w:rsidRPr="00527600" w:rsidRDefault="00527600" w:rsidP="00306DAC">
            <w:pPr>
              <w:jc w:val="both"/>
              <w:rPr>
                <w:rFonts w:ascii="Arial" w:hAnsi="Arial" w:cs="Arial"/>
                <w:sz w:val="18"/>
                <w:szCs w:val="18"/>
                <w:lang w:val="en-US"/>
              </w:rPr>
            </w:pPr>
            <w:r w:rsidRPr="00527600">
              <w:rPr>
                <w:rFonts w:ascii="Arial" w:hAnsi="Arial" w:cs="Arial"/>
                <w:sz w:val="18"/>
                <w:szCs w:val="18"/>
                <w:lang w:val="en-US"/>
              </w:rPr>
              <w:t>Confirmation that no indications of restrictions on the use of the bail-in tool have been identified.</w:t>
            </w:r>
          </w:p>
        </w:tc>
        <w:tc>
          <w:tcPr>
            <w:tcW w:w="2522" w:type="dxa"/>
          </w:tcPr>
          <w:p w14:paraId="10697ACF" w14:textId="1F3819CC" w:rsidR="0014645E" w:rsidRPr="00780FEC" w:rsidRDefault="00665CEC" w:rsidP="00306DAC">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0C39CF" w:rsidRPr="00AC2079" w14:paraId="191CB35F" w14:textId="77777777" w:rsidTr="5BDDCDE6">
        <w:trPr>
          <w:trHeight w:val="294"/>
        </w:trPr>
        <w:tc>
          <w:tcPr>
            <w:tcW w:w="317" w:type="dxa"/>
          </w:tcPr>
          <w:p w14:paraId="46D6F429" w14:textId="191C6863" w:rsidR="000C39CF" w:rsidRPr="00B50531" w:rsidRDefault="0014645E" w:rsidP="000C39CF">
            <w:pPr>
              <w:jc w:val="both"/>
              <w:rPr>
                <w:rFonts w:ascii="Arial" w:hAnsi="Arial" w:cs="Arial"/>
                <w:sz w:val="18"/>
                <w:szCs w:val="18"/>
                <w:lang w:val="en-US"/>
              </w:rPr>
            </w:pPr>
            <w:r w:rsidRPr="00B50531">
              <w:rPr>
                <w:rFonts w:ascii="Arial" w:hAnsi="Arial" w:cs="Arial"/>
                <w:sz w:val="18"/>
                <w:szCs w:val="18"/>
                <w:lang w:val="en-US"/>
              </w:rPr>
              <w:t>4</w:t>
            </w:r>
          </w:p>
        </w:tc>
        <w:tc>
          <w:tcPr>
            <w:tcW w:w="6379" w:type="dxa"/>
            <w:gridSpan w:val="4"/>
          </w:tcPr>
          <w:p w14:paraId="3F61B551" w14:textId="4642581D" w:rsidR="000C39CF" w:rsidRPr="00527600" w:rsidRDefault="00527600" w:rsidP="000C39CF">
            <w:pPr>
              <w:jc w:val="both"/>
              <w:rPr>
                <w:rFonts w:ascii="Arial" w:hAnsi="Arial" w:cs="Arial"/>
                <w:sz w:val="18"/>
                <w:szCs w:val="18"/>
                <w:lang w:val="en-US"/>
              </w:rPr>
            </w:pPr>
            <w:r w:rsidRPr="00527600">
              <w:rPr>
                <w:rFonts w:ascii="Arial" w:hAnsi="Arial" w:cs="Arial"/>
                <w:sz w:val="18"/>
                <w:szCs w:val="18"/>
                <w:lang w:val="en-US"/>
              </w:rPr>
              <w:t xml:space="preserve">Confirmation that potential resolution </w:t>
            </w:r>
            <w:r w:rsidR="00430F17">
              <w:rPr>
                <w:rFonts w:ascii="Arial" w:hAnsi="Arial" w:cs="Arial"/>
                <w:sz w:val="18"/>
                <w:szCs w:val="18"/>
                <w:lang w:val="en-US"/>
              </w:rPr>
              <w:t>measures</w:t>
            </w:r>
            <w:r w:rsidRPr="00527600">
              <w:rPr>
                <w:rFonts w:ascii="Arial" w:hAnsi="Arial" w:cs="Arial"/>
                <w:sz w:val="18"/>
                <w:szCs w:val="18"/>
                <w:lang w:val="en-US"/>
              </w:rPr>
              <w:t xml:space="preserve"> are included in relevant banking and/or operational contracts (e.g. write-down and/or transfer of assets and liabilities).</w:t>
            </w:r>
          </w:p>
        </w:tc>
        <w:tc>
          <w:tcPr>
            <w:tcW w:w="2522" w:type="dxa"/>
          </w:tcPr>
          <w:p w14:paraId="2275B7E6" w14:textId="49A4C441" w:rsidR="000C39CF" w:rsidRPr="00780FEC" w:rsidRDefault="00665CEC" w:rsidP="000C39CF">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71C7E951" w14:textId="53282540" w:rsidR="5BDDCDE6" w:rsidRPr="00780FEC" w:rsidRDefault="5BDDCDE6" w:rsidP="5BDDCDE6">
      <w:pPr>
        <w:jc w:val="both"/>
        <w:rPr>
          <w:rFonts w:ascii="Arial" w:hAnsi="Arial" w:cs="Arial"/>
          <w:i/>
          <w:iCs/>
          <w:sz w:val="20"/>
          <w:szCs w:val="20"/>
          <w:highlight w:val="yellow"/>
          <w:lang w:val="en-US"/>
        </w:rPr>
      </w:pPr>
    </w:p>
    <w:tbl>
      <w:tblPr>
        <w:tblStyle w:val="Tabellenraster"/>
        <w:tblW w:w="0" w:type="auto"/>
        <w:tblLook w:val="04A0" w:firstRow="1" w:lastRow="0" w:firstColumn="1" w:lastColumn="0" w:noHBand="0" w:noVBand="1"/>
      </w:tblPr>
      <w:tblGrid>
        <w:gridCol w:w="1980"/>
        <w:gridCol w:w="7229"/>
      </w:tblGrid>
      <w:tr w:rsidR="00343BBB" w:rsidRPr="00B50531" w14:paraId="350DF88C" w14:textId="77777777" w:rsidTr="00A3201A">
        <w:trPr>
          <w:trHeight w:val="300"/>
        </w:trPr>
        <w:tc>
          <w:tcPr>
            <w:tcW w:w="1980" w:type="dxa"/>
          </w:tcPr>
          <w:p w14:paraId="516CD334" w14:textId="425DF790" w:rsidR="00343BBB" w:rsidRPr="00B50531" w:rsidRDefault="00527600">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229" w:type="dxa"/>
          </w:tcPr>
          <w:p w14:paraId="56EF4A9B" w14:textId="13384A5C" w:rsidR="00343BBB" w:rsidRPr="00B50531" w:rsidRDefault="00527600">
            <w:pPr>
              <w:jc w:val="both"/>
              <w:rPr>
                <w:rFonts w:ascii="Arial" w:hAnsi="Arial" w:cs="Arial"/>
                <w:b/>
                <w:bCs/>
                <w:i/>
                <w:iCs/>
                <w:sz w:val="18"/>
                <w:szCs w:val="18"/>
                <w:lang w:val="en-US"/>
              </w:rPr>
            </w:pPr>
            <w:r>
              <w:rPr>
                <w:rFonts w:ascii="Arial" w:hAnsi="Arial" w:cs="Arial"/>
                <w:b/>
                <w:bCs/>
                <w:i/>
                <w:iCs/>
                <w:sz w:val="18"/>
                <w:szCs w:val="18"/>
                <w:lang w:val="en-US"/>
              </w:rPr>
              <w:t>Minimum audit contents</w:t>
            </w:r>
            <w:r w:rsidR="0087018F">
              <w:rPr>
                <w:rFonts w:ascii="Arial" w:hAnsi="Arial" w:cs="Arial"/>
                <w:b/>
                <w:bCs/>
                <w:i/>
                <w:iCs/>
                <w:sz w:val="18"/>
                <w:szCs w:val="18"/>
                <w:lang w:val="en-US"/>
              </w:rPr>
              <w:t xml:space="preserve"> </w:t>
            </w:r>
            <w:r w:rsidR="0087018F">
              <w:rPr>
                <w:rFonts w:ascii="Arial" w:eastAsia="Arial" w:hAnsi="Arial" w:cs="Arial"/>
                <w:b/>
                <w:bCs/>
                <w:i/>
                <w:iCs/>
                <w:sz w:val="18"/>
                <w:szCs w:val="18"/>
                <w:lang w:val="en-US"/>
              </w:rPr>
              <w:t>(“Sample”)</w:t>
            </w:r>
          </w:p>
        </w:tc>
      </w:tr>
      <w:tr w:rsidR="00343BBB" w:rsidRPr="00AC2079" w14:paraId="5A9CC0E8" w14:textId="77777777" w:rsidTr="00A3201A">
        <w:trPr>
          <w:trHeight w:val="300"/>
        </w:trPr>
        <w:tc>
          <w:tcPr>
            <w:tcW w:w="1980" w:type="dxa"/>
          </w:tcPr>
          <w:p w14:paraId="7404DD56" w14:textId="3CA7B8EB" w:rsidR="00343BBB" w:rsidRPr="00B50531" w:rsidRDefault="00527600">
            <w:pPr>
              <w:spacing w:line="259" w:lineRule="auto"/>
              <w:jc w:val="both"/>
              <w:rPr>
                <w:rFonts w:ascii="Arial" w:hAnsi="Arial" w:cs="Arial"/>
                <w:i/>
                <w:iCs/>
                <w:sz w:val="18"/>
                <w:szCs w:val="18"/>
                <w:lang w:val="en-US"/>
              </w:rPr>
            </w:pPr>
            <w:r>
              <w:rPr>
                <w:rFonts w:ascii="Arial" w:eastAsia="Arial" w:hAnsi="Arial" w:cs="Arial"/>
                <w:i/>
                <w:iCs/>
                <w:sz w:val="18"/>
                <w:szCs w:val="18"/>
                <w:lang w:val="en-US"/>
              </w:rPr>
              <w:t>Internal organization</w:t>
            </w:r>
          </w:p>
        </w:tc>
        <w:tc>
          <w:tcPr>
            <w:tcW w:w="7229" w:type="dxa"/>
          </w:tcPr>
          <w:p w14:paraId="79AC1B35" w14:textId="3A33581D" w:rsidR="00343BBB" w:rsidRPr="00527600" w:rsidRDefault="00527600" w:rsidP="009F7995">
            <w:pPr>
              <w:pStyle w:val="Listenabsatz"/>
              <w:numPr>
                <w:ilvl w:val="0"/>
                <w:numId w:val="14"/>
              </w:numPr>
              <w:spacing w:line="259" w:lineRule="auto"/>
              <w:ind w:left="316" w:hanging="283"/>
              <w:jc w:val="both"/>
              <w:rPr>
                <w:rFonts w:cs="Arial"/>
                <w:i/>
                <w:color w:val="FF0000"/>
                <w:sz w:val="18"/>
                <w:szCs w:val="18"/>
                <w:lang w:val="en-US"/>
              </w:rPr>
            </w:pPr>
            <w:r w:rsidRPr="00527600">
              <w:rPr>
                <w:rFonts w:cs="Arial"/>
                <w:i/>
                <w:iCs/>
                <w:sz w:val="18"/>
                <w:szCs w:val="18"/>
                <w:lang w:val="en-US"/>
              </w:rPr>
              <w:t xml:space="preserve">The internal </w:t>
            </w:r>
            <w:proofErr w:type="spellStart"/>
            <w:r w:rsidRPr="00527600">
              <w:rPr>
                <w:rFonts w:cs="Arial"/>
                <w:i/>
                <w:iCs/>
                <w:sz w:val="18"/>
                <w:szCs w:val="18"/>
                <w:lang w:val="en-US"/>
              </w:rPr>
              <w:t>organi</w:t>
            </w:r>
            <w:r w:rsidR="00430F17">
              <w:rPr>
                <w:rFonts w:cs="Arial"/>
                <w:i/>
                <w:iCs/>
                <w:sz w:val="18"/>
                <w:szCs w:val="18"/>
                <w:lang w:val="en-US"/>
              </w:rPr>
              <w:t>s</w:t>
            </w:r>
            <w:r w:rsidRPr="00527600">
              <w:rPr>
                <w:rFonts w:cs="Arial"/>
                <w:i/>
                <w:iCs/>
                <w:sz w:val="18"/>
                <w:szCs w:val="18"/>
                <w:lang w:val="en-US"/>
              </w:rPr>
              <w:t>ational</w:t>
            </w:r>
            <w:proofErr w:type="spellEnd"/>
            <w:r w:rsidRPr="00527600">
              <w:rPr>
                <w:rFonts w:cs="Arial"/>
                <w:i/>
                <w:iCs/>
                <w:sz w:val="18"/>
                <w:szCs w:val="18"/>
                <w:lang w:val="en-US"/>
              </w:rPr>
              <w:t xml:space="preserve"> structure (e.g. directives, technical, human and professional resources) ensures that procedures for</w:t>
            </w:r>
            <w:r w:rsidR="00430F17">
              <w:rPr>
                <w:rFonts w:cs="Arial"/>
                <w:i/>
                <w:iCs/>
                <w:sz w:val="18"/>
                <w:szCs w:val="18"/>
                <w:lang w:val="en-US"/>
              </w:rPr>
              <w:t xml:space="preserve"> the quantification and allocation</w:t>
            </w:r>
            <w:r w:rsidRPr="00527600">
              <w:rPr>
                <w:rFonts w:cs="Arial"/>
                <w:i/>
                <w:iCs/>
                <w:sz w:val="18"/>
                <w:szCs w:val="18"/>
                <w:lang w:val="en-US"/>
              </w:rPr>
              <w:t xml:space="preserve"> </w:t>
            </w:r>
            <w:r w:rsidR="005625E5">
              <w:rPr>
                <w:rFonts w:cs="Arial"/>
                <w:i/>
                <w:iCs/>
                <w:sz w:val="18"/>
                <w:szCs w:val="18"/>
                <w:lang w:val="en-US"/>
              </w:rPr>
              <w:t xml:space="preserve">of </w:t>
            </w:r>
            <w:r w:rsidRPr="00527600">
              <w:rPr>
                <w:rFonts w:cs="Arial"/>
                <w:i/>
                <w:iCs/>
                <w:sz w:val="18"/>
                <w:szCs w:val="18"/>
                <w:lang w:val="en-US"/>
              </w:rPr>
              <w:t>eligible liabilities, for the permissible reduction of liabilities under Article 78a CRR</w:t>
            </w:r>
            <w:r w:rsidR="00430F17">
              <w:rPr>
                <w:rFonts w:cs="Arial"/>
                <w:i/>
                <w:iCs/>
                <w:sz w:val="18"/>
                <w:szCs w:val="18"/>
                <w:lang w:val="en-US"/>
              </w:rPr>
              <w:t xml:space="preserve"> </w:t>
            </w:r>
            <w:r w:rsidRPr="00527600">
              <w:rPr>
                <w:rFonts w:cs="Arial"/>
                <w:i/>
                <w:iCs/>
                <w:sz w:val="18"/>
                <w:szCs w:val="18"/>
                <w:lang w:val="en-US"/>
              </w:rPr>
              <w:t>and for the complete write-down or conversion of capital instruments or liabilities</w:t>
            </w:r>
            <w:r w:rsidR="00430F17">
              <w:rPr>
                <w:rFonts w:cs="Arial"/>
                <w:i/>
                <w:iCs/>
                <w:sz w:val="18"/>
                <w:szCs w:val="18"/>
                <w:lang w:val="en-US"/>
              </w:rPr>
              <w:t xml:space="preserve">, </w:t>
            </w:r>
            <w:r w:rsidRPr="00527600">
              <w:rPr>
                <w:rFonts w:cs="Arial"/>
                <w:i/>
                <w:iCs/>
                <w:sz w:val="18"/>
                <w:szCs w:val="18"/>
                <w:lang w:val="en-US"/>
              </w:rPr>
              <w:t>exist</w:t>
            </w:r>
          </w:p>
        </w:tc>
      </w:tr>
      <w:tr w:rsidR="00343BBB" w:rsidRPr="00AC2079" w14:paraId="1B5C7622" w14:textId="77777777" w:rsidTr="00A3201A">
        <w:trPr>
          <w:trHeight w:val="300"/>
        </w:trPr>
        <w:tc>
          <w:tcPr>
            <w:tcW w:w="1980" w:type="dxa"/>
          </w:tcPr>
          <w:p w14:paraId="4AA15979" w14:textId="5FBBAEFC" w:rsidR="00343BBB" w:rsidRPr="00527600" w:rsidRDefault="00527600">
            <w:pPr>
              <w:spacing w:line="259" w:lineRule="auto"/>
              <w:jc w:val="both"/>
              <w:rPr>
                <w:rFonts w:ascii="Arial" w:hAnsi="Arial" w:cs="Arial"/>
                <w:i/>
                <w:iCs/>
                <w:sz w:val="18"/>
                <w:szCs w:val="18"/>
                <w:lang w:val="en-US"/>
              </w:rPr>
            </w:pPr>
            <w:r w:rsidRPr="006C43BA">
              <w:rPr>
                <w:rFonts w:ascii="Arial" w:eastAsia="Arial" w:hAnsi="Arial" w:cs="Arial"/>
                <w:i/>
                <w:iCs/>
                <w:sz w:val="18"/>
                <w:szCs w:val="18"/>
                <w:lang w:val="en-US"/>
              </w:rPr>
              <w:lastRenderedPageBreak/>
              <w:t>Internal control system, processes a</w:t>
            </w:r>
            <w:r>
              <w:rPr>
                <w:rFonts w:ascii="Arial" w:eastAsia="Arial" w:hAnsi="Arial" w:cs="Arial"/>
                <w:i/>
                <w:iCs/>
                <w:sz w:val="18"/>
                <w:szCs w:val="18"/>
                <w:lang w:val="en-US"/>
              </w:rPr>
              <w:t>nd reporting</w:t>
            </w:r>
          </w:p>
        </w:tc>
        <w:tc>
          <w:tcPr>
            <w:tcW w:w="7229" w:type="dxa"/>
          </w:tcPr>
          <w:p w14:paraId="7403F81F" w14:textId="02383C8D" w:rsidR="00527600" w:rsidRPr="00527600" w:rsidRDefault="00527600" w:rsidP="00527600">
            <w:pPr>
              <w:pStyle w:val="Listenabsatz"/>
              <w:numPr>
                <w:ilvl w:val="0"/>
                <w:numId w:val="14"/>
              </w:numPr>
              <w:spacing w:line="259" w:lineRule="auto"/>
              <w:ind w:left="316" w:hanging="283"/>
              <w:jc w:val="both"/>
              <w:rPr>
                <w:rFonts w:cs="Arial"/>
                <w:i/>
                <w:iCs/>
                <w:sz w:val="18"/>
                <w:szCs w:val="18"/>
                <w:lang w:val="en-US"/>
              </w:rPr>
            </w:pPr>
            <w:r w:rsidRPr="00527600">
              <w:rPr>
                <w:rFonts w:cs="Arial"/>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527600">
              <w:rPr>
                <w:rFonts w:cs="Arial"/>
                <w:i/>
                <w:iCs/>
                <w:sz w:val="18"/>
                <w:szCs w:val="18"/>
                <w:lang w:val="en-US"/>
              </w:rPr>
              <w:t>provide for the application of the</w:t>
            </w:r>
            <w:r w:rsidR="00430F17">
              <w:rPr>
                <w:rFonts w:cs="Arial"/>
                <w:i/>
                <w:iCs/>
                <w:sz w:val="18"/>
                <w:szCs w:val="18"/>
                <w:lang w:val="en-US"/>
              </w:rPr>
              <w:t xml:space="preserve"> </w:t>
            </w:r>
            <w:r w:rsidR="003F7FCB">
              <w:rPr>
                <w:i/>
                <w:iCs/>
                <w:sz w:val="18"/>
                <w:szCs w:val="18"/>
                <w:lang w:val="en-US"/>
              </w:rPr>
              <w:t>four-eyes</w:t>
            </w:r>
            <w:r w:rsidR="003F7FCB" w:rsidRPr="006C43BA">
              <w:rPr>
                <w:i/>
                <w:iCs/>
                <w:sz w:val="18"/>
                <w:szCs w:val="18"/>
                <w:lang w:val="en-US"/>
              </w:rPr>
              <w:t xml:space="preserve"> principle </w:t>
            </w:r>
            <w:r w:rsidRPr="00527600">
              <w:rPr>
                <w:rFonts w:cs="Arial"/>
                <w:i/>
                <w:iCs/>
                <w:sz w:val="18"/>
                <w:szCs w:val="18"/>
                <w:lang w:val="en-US"/>
              </w:rPr>
              <w:t>or the separation of functions for key controls</w:t>
            </w:r>
          </w:p>
          <w:p w14:paraId="5752AA0E" w14:textId="36850F68" w:rsidR="00527600" w:rsidRPr="00527600" w:rsidRDefault="00527600" w:rsidP="00527600">
            <w:pPr>
              <w:pStyle w:val="Listenabsatz"/>
              <w:numPr>
                <w:ilvl w:val="0"/>
                <w:numId w:val="14"/>
              </w:numPr>
              <w:spacing w:line="259" w:lineRule="auto"/>
              <w:ind w:left="316" w:hanging="283"/>
              <w:jc w:val="both"/>
              <w:rPr>
                <w:rFonts w:cs="Arial"/>
                <w:i/>
                <w:iCs/>
                <w:sz w:val="18"/>
                <w:szCs w:val="18"/>
                <w:lang w:val="en-US"/>
              </w:rPr>
            </w:pPr>
            <w:r w:rsidRPr="00527600">
              <w:rPr>
                <w:rFonts w:cs="Arial"/>
                <w:i/>
                <w:iCs/>
                <w:sz w:val="18"/>
                <w:szCs w:val="18"/>
                <w:lang w:val="en-US"/>
              </w:rPr>
              <w:t>Data quality assurance controls are defined</w:t>
            </w:r>
          </w:p>
          <w:p w14:paraId="17EDDDA3" w14:textId="133F9006" w:rsidR="00343BBB" w:rsidRPr="00527600" w:rsidRDefault="00527600" w:rsidP="00527600">
            <w:pPr>
              <w:pStyle w:val="Listenabsatz"/>
              <w:numPr>
                <w:ilvl w:val="0"/>
                <w:numId w:val="14"/>
              </w:numPr>
              <w:spacing w:line="259" w:lineRule="auto"/>
              <w:ind w:left="316" w:hanging="283"/>
              <w:jc w:val="both"/>
              <w:rPr>
                <w:rFonts w:cs="Arial"/>
                <w:i/>
                <w:sz w:val="18"/>
                <w:szCs w:val="18"/>
                <w:lang w:val="en-US"/>
              </w:rPr>
            </w:pPr>
            <w:r w:rsidRPr="00527600">
              <w:rPr>
                <w:rFonts w:cs="Arial"/>
                <w:i/>
                <w:iCs/>
                <w:sz w:val="18"/>
                <w:szCs w:val="18"/>
                <w:lang w:val="en-US"/>
              </w:rPr>
              <w:t xml:space="preserve">Potential </w:t>
            </w:r>
            <w:r w:rsidR="00430F17">
              <w:rPr>
                <w:rFonts w:cs="Arial"/>
                <w:i/>
                <w:iCs/>
                <w:sz w:val="18"/>
                <w:szCs w:val="18"/>
                <w:lang w:val="en-US"/>
              </w:rPr>
              <w:t>resolution</w:t>
            </w:r>
            <w:r w:rsidRPr="00527600">
              <w:rPr>
                <w:rFonts w:cs="Arial"/>
                <w:i/>
                <w:iCs/>
                <w:sz w:val="18"/>
                <w:szCs w:val="18"/>
                <w:lang w:val="en-US"/>
              </w:rPr>
              <w:t xml:space="preserve"> </w:t>
            </w:r>
            <w:r w:rsidR="009A0B12">
              <w:rPr>
                <w:rFonts w:cs="Arial"/>
                <w:i/>
                <w:iCs/>
                <w:sz w:val="18"/>
                <w:szCs w:val="18"/>
                <w:lang w:val="en-US"/>
              </w:rPr>
              <w:t>actions</w:t>
            </w:r>
            <w:r w:rsidR="009A0B12" w:rsidRPr="00527600">
              <w:rPr>
                <w:rFonts w:cs="Arial"/>
                <w:i/>
                <w:iCs/>
                <w:sz w:val="18"/>
                <w:szCs w:val="18"/>
                <w:lang w:val="en-US"/>
              </w:rPr>
              <w:t xml:space="preserve"> </w:t>
            </w:r>
            <w:r w:rsidRPr="00527600">
              <w:rPr>
                <w:rFonts w:cs="Arial"/>
                <w:i/>
                <w:iCs/>
                <w:sz w:val="18"/>
                <w:szCs w:val="18"/>
                <w:lang w:val="en-US"/>
              </w:rPr>
              <w:t>are considered in banking and/or operational contracts</w:t>
            </w:r>
          </w:p>
        </w:tc>
      </w:tr>
    </w:tbl>
    <w:p w14:paraId="3623A09A" w14:textId="6EC11BAC" w:rsidR="5BDDCDE6" w:rsidRPr="00527600" w:rsidRDefault="5BDDCDE6" w:rsidP="5BDDCDE6">
      <w:pPr>
        <w:jc w:val="both"/>
        <w:rPr>
          <w:rFonts w:ascii="Arial" w:hAnsi="Arial" w:cs="Arial"/>
          <w:i/>
          <w:iCs/>
          <w:sz w:val="20"/>
          <w:szCs w:val="20"/>
          <w:highlight w:val="yellow"/>
          <w:lang w:val="en-US"/>
        </w:rPr>
      </w:pPr>
    </w:p>
    <w:p w14:paraId="03FA2994" w14:textId="1F2FF14C" w:rsidR="00C44FE4" w:rsidRPr="00B50531" w:rsidRDefault="00B97FBB" w:rsidP="00C37D08">
      <w:pPr>
        <w:pStyle w:val="FINMAGliederungEbene2"/>
        <w:rPr>
          <w:lang w:val="en-US"/>
        </w:rPr>
      </w:pPr>
      <w:bookmarkStart w:id="60" w:name="_Toc145409746"/>
      <w:r w:rsidRPr="00B97FBB">
        <w:rPr>
          <w:lang w:val="en-US"/>
        </w:rPr>
        <w:t>Liquidity and Funding</w:t>
      </w:r>
      <w:bookmarkEnd w:id="60"/>
    </w:p>
    <w:p w14:paraId="2F19C44B" w14:textId="77777777" w:rsidR="00C44FE4" w:rsidRPr="00B50531" w:rsidRDefault="00C44FE4" w:rsidP="00C44FE4">
      <w:pPr>
        <w:jc w:val="both"/>
        <w:rPr>
          <w:lang w:val="en-US"/>
        </w:rPr>
      </w:pPr>
    </w:p>
    <w:tbl>
      <w:tblPr>
        <w:tblStyle w:val="Tabellenraster"/>
        <w:tblW w:w="0" w:type="auto"/>
        <w:tblLook w:val="04A0" w:firstRow="1" w:lastRow="0" w:firstColumn="1" w:lastColumn="0" w:noHBand="0" w:noVBand="1"/>
      </w:tblPr>
      <w:tblGrid>
        <w:gridCol w:w="417"/>
        <w:gridCol w:w="1653"/>
        <w:gridCol w:w="2145"/>
        <w:gridCol w:w="1721"/>
        <w:gridCol w:w="860"/>
        <w:gridCol w:w="2522"/>
      </w:tblGrid>
      <w:tr w:rsidR="00780FEC" w:rsidRPr="00AC2079" w14:paraId="7D8C39B8" w14:textId="77777777" w:rsidTr="0046461F">
        <w:trPr>
          <w:trHeight w:val="563"/>
        </w:trPr>
        <w:tc>
          <w:tcPr>
            <w:tcW w:w="2070" w:type="dxa"/>
            <w:gridSpan w:val="2"/>
            <w:shd w:val="clear" w:color="auto" w:fill="DBE5F1" w:themeFill="accent1" w:themeFillTint="33"/>
          </w:tcPr>
          <w:p w14:paraId="0A8C4D90" w14:textId="148AEE99"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145" w:type="dxa"/>
            <w:shd w:val="clear" w:color="auto" w:fill="DBE5F1" w:themeFill="accent1" w:themeFillTint="33"/>
          </w:tcPr>
          <w:p w14:paraId="43883865" w14:textId="066683FA"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103" w:type="dxa"/>
            <w:gridSpan w:val="3"/>
            <w:shd w:val="clear" w:color="auto" w:fill="DBE5F1" w:themeFill="accent1" w:themeFillTint="33"/>
          </w:tcPr>
          <w:p w14:paraId="5BE8658A" w14:textId="2AA1AA8E"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30FB6A1C" w14:textId="77777777" w:rsidTr="0046461F">
        <w:trPr>
          <w:trHeight w:val="698"/>
        </w:trPr>
        <w:tc>
          <w:tcPr>
            <w:tcW w:w="2070" w:type="dxa"/>
            <w:gridSpan w:val="2"/>
            <w:shd w:val="clear" w:color="auto" w:fill="DBE5F1" w:themeFill="accent1" w:themeFillTint="33"/>
          </w:tcPr>
          <w:p w14:paraId="078F38D7" w14:textId="48ECC8FF"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low/medium/high</w:t>
            </w:r>
          </w:p>
        </w:tc>
        <w:tc>
          <w:tcPr>
            <w:tcW w:w="2145" w:type="dxa"/>
            <w:shd w:val="clear" w:color="auto" w:fill="DBE5F1" w:themeFill="accent1" w:themeFillTint="33"/>
          </w:tcPr>
          <w:p w14:paraId="1C844049" w14:textId="5C1B40CA" w:rsidR="00780FEC" w:rsidRPr="00432521" w:rsidRDefault="00780FEC" w:rsidP="00780FEC">
            <w:pPr>
              <w:jc w:val="both"/>
              <w:rPr>
                <w:rFonts w:ascii="Arial" w:hAnsi="Arial" w:cs="Arial"/>
                <w:i/>
                <w:sz w:val="18"/>
                <w:szCs w:val="18"/>
                <w:highlight w:val="yellow"/>
                <w:lang w:val="en-US"/>
              </w:rPr>
            </w:pPr>
            <w:r w:rsidRPr="00432521">
              <w:rPr>
                <w:rFonts w:ascii="Arial" w:hAnsi="Arial" w:cs="Arial"/>
                <w:i/>
                <w:sz w:val="18"/>
                <w:szCs w:val="18"/>
                <w:highlight w:val="yellow"/>
                <w:lang w:val="en-US"/>
              </w:rPr>
              <w:t>detailed audit / critical assessment</w:t>
            </w:r>
          </w:p>
        </w:tc>
        <w:tc>
          <w:tcPr>
            <w:tcW w:w="1721" w:type="dxa"/>
            <w:shd w:val="clear" w:color="auto" w:fill="DBE5F1" w:themeFill="accent1" w:themeFillTint="33"/>
          </w:tcPr>
          <w:p w14:paraId="18A3027E" w14:textId="1406D0F4"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c>
          <w:tcPr>
            <w:tcW w:w="3382" w:type="dxa"/>
            <w:gridSpan w:val="2"/>
            <w:shd w:val="clear" w:color="auto" w:fill="DBE5F1" w:themeFill="accent1" w:themeFillTint="33"/>
          </w:tcPr>
          <w:p w14:paraId="58402C96" w14:textId="3F681882"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432521">
              <w:rPr>
                <w:rFonts w:ascii="Arial" w:hAnsi="Arial" w:cs="Arial"/>
                <w:i/>
                <w:sz w:val="18"/>
                <w:szCs w:val="18"/>
                <w:highlight w:val="yellow"/>
                <w:lang w:val="en-US"/>
              </w:rPr>
              <w:t>year</w:t>
            </w:r>
          </w:p>
        </w:tc>
      </w:tr>
      <w:tr w:rsidR="00C44FE4" w:rsidRPr="00AC2079" w14:paraId="10E85CEE" w14:textId="77777777" w:rsidTr="0046461F">
        <w:trPr>
          <w:trHeight w:val="636"/>
        </w:trPr>
        <w:tc>
          <w:tcPr>
            <w:tcW w:w="9318" w:type="dxa"/>
            <w:gridSpan w:val="6"/>
            <w:shd w:val="clear" w:color="auto" w:fill="DBE5F1" w:themeFill="accent1" w:themeFillTint="33"/>
          </w:tcPr>
          <w:p w14:paraId="7644834F" w14:textId="77777777" w:rsidR="00780FEC"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799DF7C8" w14:textId="6D97689D" w:rsidR="00665CEC" w:rsidRDefault="008B4CF9" w:rsidP="0096765A">
            <w:pPr>
              <w:pStyle w:val="Listenabsatz"/>
              <w:numPr>
                <w:ilvl w:val="0"/>
                <w:numId w:val="9"/>
              </w:numPr>
              <w:ind w:left="308"/>
              <w:jc w:val="both"/>
              <w:rPr>
                <w:rFonts w:cs="Arial"/>
                <w:sz w:val="18"/>
                <w:szCs w:val="18"/>
                <w:lang w:val="en-US"/>
              </w:rPr>
            </w:pPr>
            <w:r>
              <w:rPr>
                <w:rFonts w:cs="Arial"/>
                <w:sz w:val="18"/>
                <w:szCs w:val="18"/>
                <w:lang w:val="en-US"/>
              </w:rPr>
              <w:t xml:space="preserve">EBA </w:t>
            </w:r>
            <w:r w:rsidR="00665CEC" w:rsidRPr="00665CEC">
              <w:rPr>
                <w:rFonts w:cs="Arial"/>
                <w:sz w:val="18"/>
                <w:szCs w:val="18"/>
                <w:lang w:val="en-US"/>
              </w:rPr>
              <w:t>Guidelines</w:t>
            </w:r>
            <w:r w:rsidR="00665CEC">
              <w:rPr>
                <w:rFonts w:cs="Arial"/>
                <w:sz w:val="18"/>
                <w:szCs w:val="18"/>
                <w:lang w:val="en-US"/>
              </w:rPr>
              <w:t xml:space="preserve"> </w:t>
            </w:r>
            <w:r w:rsidR="00665CEC" w:rsidRPr="00C22133">
              <w:rPr>
                <w:rFonts w:cs="Arial"/>
                <w:sz w:val="18"/>
                <w:szCs w:val="18"/>
                <w:lang w:val="en-US"/>
              </w:rPr>
              <w:t>on improving resolvability for institutions and resolution authorities under articles 15 and 16 BRRD (</w:t>
            </w:r>
            <w:r w:rsidR="00665CEC" w:rsidRPr="00432521">
              <w:rPr>
                <w:rFonts w:cs="Arial"/>
                <w:sz w:val="18"/>
                <w:szCs w:val="18"/>
                <w:lang w:val="en-US"/>
              </w:rPr>
              <w:t>Resolvability Guidelines</w:t>
            </w:r>
            <w:r w:rsidR="008A08AF">
              <w:rPr>
                <w:rFonts w:cs="Arial"/>
                <w:sz w:val="18"/>
                <w:szCs w:val="18"/>
                <w:lang w:val="en-US"/>
              </w:rPr>
              <w:t xml:space="preserve">; </w:t>
            </w:r>
            <w:r w:rsidR="008A08AF" w:rsidRPr="00B620A2">
              <w:rPr>
                <w:rFonts w:cs="Arial"/>
                <w:sz w:val="18"/>
                <w:szCs w:val="18"/>
                <w:lang w:val="en-US"/>
              </w:rPr>
              <w:t>EBA/GL/2022/01)</w:t>
            </w:r>
          </w:p>
          <w:p w14:paraId="01AE25AF" w14:textId="012623FD" w:rsidR="00E75BEB" w:rsidRPr="00B97FBB" w:rsidRDefault="00432521" w:rsidP="0096765A">
            <w:pPr>
              <w:pStyle w:val="Listenabsatz"/>
              <w:numPr>
                <w:ilvl w:val="0"/>
                <w:numId w:val="9"/>
              </w:numPr>
              <w:ind w:left="308"/>
              <w:jc w:val="both"/>
              <w:rPr>
                <w:rFonts w:cs="Arial"/>
                <w:sz w:val="18"/>
                <w:szCs w:val="18"/>
                <w:lang w:val="en-US"/>
              </w:rPr>
            </w:pPr>
            <w:r w:rsidRPr="007F7EDC">
              <w:rPr>
                <w:rFonts w:cs="Arial"/>
                <w:sz w:val="18"/>
                <w:szCs w:val="18"/>
                <w:lang w:val="en-US"/>
              </w:rPr>
              <w:t xml:space="preserve">FMA Communication 2022/02 – </w:t>
            </w:r>
            <w:r w:rsidRPr="007D6D96">
              <w:rPr>
                <w:rFonts w:cs="Arial"/>
                <w:sz w:val="18"/>
                <w:szCs w:val="18"/>
                <w:lang w:val="en-US"/>
              </w:rPr>
              <w:t>Communication on the determination of the minimum requirement for own funds and eligible liabilities (“MREL”) and corresponding resolution planning interlinkages for banks and investment firms (“MREL Policy”).</w:t>
            </w:r>
          </w:p>
        </w:tc>
      </w:tr>
      <w:tr w:rsidR="00C44FE4" w:rsidRPr="00AC2079" w14:paraId="2048E0BA" w14:textId="77777777" w:rsidTr="0046461F">
        <w:trPr>
          <w:trHeight w:val="294"/>
        </w:trPr>
        <w:tc>
          <w:tcPr>
            <w:tcW w:w="9318" w:type="dxa"/>
            <w:gridSpan w:val="6"/>
          </w:tcPr>
          <w:p w14:paraId="3D41CC56" w14:textId="77777777" w:rsidR="00C44FE4" w:rsidRPr="00B97FBB" w:rsidRDefault="00C44FE4" w:rsidP="00C747F0">
            <w:pPr>
              <w:jc w:val="both"/>
              <w:rPr>
                <w:rFonts w:ascii="Arial" w:hAnsi="Arial" w:cs="Arial"/>
                <w:sz w:val="18"/>
                <w:szCs w:val="18"/>
                <w:lang w:val="en-US"/>
              </w:rPr>
            </w:pPr>
          </w:p>
        </w:tc>
      </w:tr>
      <w:tr w:rsidR="00E43C84" w:rsidRPr="00AC2079" w14:paraId="197C025F" w14:textId="77777777" w:rsidTr="0046461F">
        <w:trPr>
          <w:trHeight w:val="294"/>
        </w:trPr>
        <w:tc>
          <w:tcPr>
            <w:tcW w:w="417" w:type="dxa"/>
          </w:tcPr>
          <w:p w14:paraId="75E070E8" w14:textId="423E0BE2" w:rsidR="00E43C84" w:rsidRPr="00B50531" w:rsidRDefault="00E43C84" w:rsidP="00E43C84">
            <w:pPr>
              <w:jc w:val="both"/>
              <w:rPr>
                <w:rFonts w:ascii="Arial" w:hAnsi="Arial" w:cs="Arial"/>
                <w:sz w:val="18"/>
                <w:szCs w:val="18"/>
                <w:lang w:val="en-US"/>
              </w:rPr>
            </w:pPr>
            <w:r w:rsidRPr="00B50531">
              <w:rPr>
                <w:rFonts w:ascii="Arial" w:hAnsi="Arial" w:cs="Arial"/>
                <w:sz w:val="18"/>
                <w:szCs w:val="18"/>
                <w:lang w:val="en-US"/>
              </w:rPr>
              <w:t>1</w:t>
            </w:r>
          </w:p>
        </w:tc>
        <w:tc>
          <w:tcPr>
            <w:tcW w:w="6379" w:type="dxa"/>
            <w:gridSpan w:val="4"/>
          </w:tcPr>
          <w:p w14:paraId="3E585F0E" w14:textId="03F4F257" w:rsidR="00E43C84" w:rsidRPr="001D7F18" w:rsidRDefault="001D7F18" w:rsidP="00434F04">
            <w:pPr>
              <w:rPr>
                <w:rFonts w:ascii="Arial" w:hAnsi="Arial" w:cs="Arial"/>
                <w:sz w:val="18"/>
                <w:szCs w:val="18"/>
                <w:lang w:val="en-US"/>
              </w:rPr>
            </w:pPr>
            <w:r w:rsidRPr="001D7F18">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1D7F18">
              <w:rPr>
                <w:rFonts w:ascii="Arial" w:hAnsi="Arial" w:cs="Arial"/>
                <w:sz w:val="18"/>
                <w:szCs w:val="18"/>
                <w:lang w:val="en-US"/>
              </w:rPr>
              <w:t xml:space="preserve">enable </w:t>
            </w:r>
            <w:r w:rsidR="009A0B12">
              <w:rPr>
                <w:rFonts w:ascii="Arial" w:hAnsi="Arial" w:cs="Arial"/>
                <w:sz w:val="18"/>
                <w:szCs w:val="18"/>
                <w:lang w:val="en-US"/>
              </w:rPr>
              <w:t xml:space="preserve">the establishment of </w:t>
            </w:r>
            <w:r w:rsidRPr="001D7F18">
              <w:rPr>
                <w:rFonts w:ascii="Arial" w:hAnsi="Arial" w:cs="Arial"/>
                <w:sz w:val="18"/>
                <w:szCs w:val="18"/>
                <w:lang w:val="en-US"/>
              </w:rPr>
              <w:t>a liquidity analysis according to EBA/GL/2022/01 (Chapter 4.2.1).</w:t>
            </w:r>
          </w:p>
        </w:tc>
        <w:tc>
          <w:tcPr>
            <w:tcW w:w="2522" w:type="dxa"/>
          </w:tcPr>
          <w:p w14:paraId="6EB7BA89" w14:textId="76F8A058" w:rsidR="00E43C84" w:rsidRPr="00780FEC" w:rsidRDefault="00665CEC" w:rsidP="00E43C84">
            <w:pPr>
              <w:jc w:val="both"/>
              <w:rPr>
                <w:rFonts w:ascii="Arial" w:hAnsi="Arial" w:cs="Arial"/>
                <w:sz w:val="18"/>
                <w:szCs w:val="18"/>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E43C84" w:rsidRPr="00AC2079" w14:paraId="0FA23F5A" w14:textId="77777777" w:rsidTr="0046461F">
        <w:trPr>
          <w:trHeight w:val="294"/>
        </w:trPr>
        <w:tc>
          <w:tcPr>
            <w:tcW w:w="417" w:type="dxa"/>
          </w:tcPr>
          <w:p w14:paraId="369EC6F5" w14:textId="0C6185B0" w:rsidR="00E43C84" w:rsidRPr="00B50531" w:rsidRDefault="00201E84" w:rsidP="00E43C84">
            <w:pPr>
              <w:jc w:val="both"/>
              <w:rPr>
                <w:rFonts w:ascii="Arial" w:hAnsi="Arial" w:cs="Arial"/>
                <w:sz w:val="18"/>
                <w:szCs w:val="18"/>
                <w:lang w:val="en-US"/>
              </w:rPr>
            </w:pPr>
            <w:r w:rsidRPr="00B50531">
              <w:rPr>
                <w:rFonts w:ascii="Arial" w:hAnsi="Arial" w:cs="Arial"/>
                <w:sz w:val="18"/>
                <w:szCs w:val="18"/>
                <w:lang w:val="en-US"/>
              </w:rPr>
              <w:t>2</w:t>
            </w:r>
          </w:p>
        </w:tc>
        <w:tc>
          <w:tcPr>
            <w:tcW w:w="6379" w:type="dxa"/>
            <w:gridSpan w:val="4"/>
          </w:tcPr>
          <w:p w14:paraId="044387D7" w14:textId="475F2C30" w:rsidR="00E43C84" w:rsidRPr="001D7F18" w:rsidRDefault="001D7F18" w:rsidP="00E43C84">
            <w:pPr>
              <w:jc w:val="both"/>
              <w:rPr>
                <w:rFonts w:ascii="Arial" w:hAnsi="Arial" w:cs="Arial"/>
                <w:sz w:val="18"/>
                <w:szCs w:val="18"/>
                <w:lang w:val="en-US"/>
              </w:rPr>
            </w:pPr>
            <w:r w:rsidRPr="001D7F18">
              <w:rPr>
                <w:rFonts w:ascii="Arial" w:hAnsi="Arial" w:cs="Arial"/>
                <w:sz w:val="18"/>
                <w:szCs w:val="18"/>
                <w:lang w:val="en-US"/>
              </w:rPr>
              <w:t xml:space="preserve">Confirmation that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1D7F18">
              <w:rPr>
                <w:rFonts w:ascii="Arial" w:hAnsi="Arial" w:cs="Arial"/>
                <w:sz w:val="18"/>
                <w:szCs w:val="18"/>
                <w:lang w:val="en-US"/>
              </w:rPr>
              <w:t xml:space="preserve">enable the entity to identify and, if necessary, mobilize any assets or other sources of liquidity, including intra-group guarantee </w:t>
            </w:r>
            <w:r w:rsidR="009936D6">
              <w:rPr>
                <w:rFonts w:ascii="Arial" w:hAnsi="Arial" w:cs="Arial"/>
                <w:sz w:val="18"/>
                <w:szCs w:val="18"/>
                <w:lang w:val="en-US"/>
              </w:rPr>
              <w:t>arrangements</w:t>
            </w:r>
            <w:r w:rsidRPr="001D7F18">
              <w:rPr>
                <w:rFonts w:ascii="Arial" w:hAnsi="Arial" w:cs="Arial"/>
                <w:sz w:val="18"/>
                <w:szCs w:val="18"/>
                <w:lang w:val="en-US"/>
              </w:rPr>
              <w:t>, that can potentially serve as collateral to provide funds in the event of resolution.</w:t>
            </w:r>
          </w:p>
        </w:tc>
        <w:tc>
          <w:tcPr>
            <w:tcW w:w="2522" w:type="dxa"/>
          </w:tcPr>
          <w:p w14:paraId="2DBEE69F" w14:textId="2E0C79BC" w:rsidR="00E43C84" w:rsidRPr="00780FEC" w:rsidRDefault="00665CEC" w:rsidP="00E43C84">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20869455" w14:textId="77777777" w:rsidR="0046461F" w:rsidRPr="00780FEC" w:rsidRDefault="0046461F" w:rsidP="00343BBB">
      <w:pPr>
        <w:pStyle w:val="FINMAGliederungEbene2"/>
        <w:numPr>
          <w:ilvl w:val="1"/>
          <w:numId w:val="0"/>
        </w:numPr>
        <w:rPr>
          <w:lang w:val="en-US"/>
        </w:rPr>
      </w:pPr>
    </w:p>
    <w:tbl>
      <w:tblPr>
        <w:tblStyle w:val="Tabellenraster"/>
        <w:tblW w:w="0" w:type="auto"/>
        <w:tblLook w:val="04A0" w:firstRow="1" w:lastRow="0" w:firstColumn="1" w:lastColumn="0" w:noHBand="0" w:noVBand="1"/>
      </w:tblPr>
      <w:tblGrid>
        <w:gridCol w:w="1980"/>
        <w:gridCol w:w="7371"/>
      </w:tblGrid>
      <w:tr w:rsidR="00343BBB" w:rsidRPr="00B50531" w14:paraId="0156A237" w14:textId="77777777" w:rsidTr="0096765A">
        <w:trPr>
          <w:trHeight w:val="300"/>
        </w:trPr>
        <w:tc>
          <w:tcPr>
            <w:tcW w:w="1980" w:type="dxa"/>
          </w:tcPr>
          <w:p w14:paraId="72B868AB" w14:textId="5F464C5A" w:rsidR="00343BBB" w:rsidRPr="00B50531" w:rsidRDefault="001D7F18">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371" w:type="dxa"/>
          </w:tcPr>
          <w:p w14:paraId="27945A3D" w14:textId="3CC335FE" w:rsidR="00343BBB" w:rsidRPr="00B50531" w:rsidRDefault="001D7F18">
            <w:pPr>
              <w:jc w:val="both"/>
              <w:rPr>
                <w:rFonts w:ascii="Arial" w:hAnsi="Arial" w:cs="Arial"/>
                <w:b/>
                <w:bCs/>
                <w:i/>
                <w:iCs/>
                <w:sz w:val="18"/>
                <w:szCs w:val="18"/>
                <w:lang w:val="en-US"/>
              </w:rPr>
            </w:pPr>
            <w:r>
              <w:rPr>
                <w:rFonts w:ascii="Arial" w:hAnsi="Arial" w:cs="Arial"/>
                <w:b/>
                <w:bCs/>
                <w:i/>
                <w:iCs/>
                <w:sz w:val="18"/>
                <w:szCs w:val="18"/>
                <w:lang w:val="en-US"/>
              </w:rPr>
              <w:t>Minimum audit contents</w:t>
            </w:r>
            <w:r w:rsidR="0087018F">
              <w:rPr>
                <w:rFonts w:ascii="Arial" w:hAnsi="Arial" w:cs="Arial"/>
                <w:b/>
                <w:bCs/>
                <w:i/>
                <w:iCs/>
                <w:sz w:val="18"/>
                <w:szCs w:val="18"/>
                <w:lang w:val="en-US"/>
              </w:rPr>
              <w:t xml:space="preserve"> </w:t>
            </w:r>
            <w:r w:rsidR="0087018F">
              <w:rPr>
                <w:rFonts w:ascii="Arial" w:eastAsia="Arial" w:hAnsi="Arial" w:cs="Arial"/>
                <w:b/>
                <w:bCs/>
                <w:i/>
                <w:iCs/>
                <w:sz w:val="18"/>
                <w:szCs w:val="18"/>
                <w:lang w:val="en-US"/>
              </w:rPr>
              <w:t>(“Sample”)</w:t>
            </w:r>
          </w:p>
        </w:tc>
      </w:tr>
      <w:tr w:rsidR="00343BBB" w:rsidRPr="00AC2079" w14:paraId="478511E8" w14:textId="77777777" w:rsidTr="0096765A">
        <w:trPr>
          <w:trHeight w:val="300"/>
        </w:trPr>
        <w:tc>
          <w:tcPr>
            <w:tcW w:w="1980" w:type="dxa"/>
          </w:tcPr>
          <w:p w14:paraId="7399D977" w14:textId="30BDA7C8" w:rsidR="00343BBB" w:rsidRPr="00B50531" w:rsidRDefault="001D7F18">
            <w:pPr>
              <w:spacing w:line="259" w:lineRule="auto"/>
              <w:jc w:val="both"/>
              <w:rPr>
                <w:rFonts w:ascii="Arial" w:hAnsi="Arial" w:cs="Arial"/>
                <w:i/>
                <w:iCs/>
                <w:sz w:val="18"/>
                <w:szCs w:val="18"/>
                <w:lang w:val="en-US"/>
              </w:rPr>
            </w:pPr>
            <w:r>
              <w:rPr>
                <w:rFonts w:ascii="Arial" w:eastAsia="Arial" w:hAnsi="Arial" w:cs="Arial"/>
                <w:i/>
                <w:iCs/>
                <w:sz w:val="18"/>
                <w:szCs w:val="18"/>
                <w:lang w:val="en-US"/>
              </w:rPr>
              <w:t>Internal organization</w:t>
            </w:r>
          </w:p>
        </w:tc>
        <w:tc>
          <w:tcPr>
            <w:tcW w:w="7371" w:type="dxa"/>
          </w:tcPr>
          <w:p w14:paraId="7038A0FE" w14:textId="54C4866D" w:rsidR="00343BBB" w:rsidRPr="00814D9F" w:rsidRDefault="00814D9F">
            <w:pPr>
              <w:pStyle w:val="Listenabsatz"/>
              <w:numPr>
                <w:ilvl w:val="1"/>
                <w:numId w:val="10"/>
              </w:numPr>
              <w:spacing w:line="259" w:lineRule="auto"/>
              <w:ind w:left="317" w:hanging="283"/>
              <w:jc w:val="both"/>
              <w:rPr>
                <w:lang w:val="en-US"/>
              </w:rPr>
            </w:pPr>
            <w:r w:rsidRPr="00814D9F">
              <w:rPr>
                <w:rFonts w:cs="Arial"/>
                <w:i/>
                <w:iCs/>
                <w:sz w:val="18"/>
                <w:szCs w:val="18"/>
                <w:lang w:val="en-US"/>
              </w:rPr>
              <w:t>The internal organizational structure (e.g. directives, technical, human and professional resources) ensures that procedures exist which enable sources of liquidity to be identified and a liquidity analysis to be carried out</w:t>
            </w:r>
          </w:p>
        </w:tc>
      </w:tr>
      <w:tr w:rsidR="00343BBB" w:rsidRPr="00AC2079" w14:paraId="73D5A37D" w14:textId="77777777" w:rsidTr="0096765A">
        <w:trPr>
          <w:trHeight w:val="300"/>
        </w:trPr>
        <w:tc>
          <w:tcPr>
            <w:tcW w:w="1980" w:type="dxa"/>
          </w:tcPr>
          <w:p w14:paraId="570CBED5" w14:textId="5390692E" w:rsidR="00343BBB" w:rsidRPr="001D7F18" w:rsidRDefault="001D7F18">
            <w:pPr>
              <w:spacing w:line="259" w:lineRule="auto"/>
              <w:jc w:val="both"/>
              <w:rPr>
                <w:rFonts w:ascii="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7371" w:type="dxa"/>
          </w:tcPr>
          <w:p w14:paraId="0EA94983" w14:textId="5D6A3F7B" w:rsidR="00814D9F" w:rsidRPr="00814D9F" w:rsidRDefault="00814D9F" w:rsidP="00814D9F">
            <w:pPr>
              <w:pStyle w:val="Listenabsatz"/>
              <w:numPr>
                <w:ilvl w:val="0"/>
                <w:numId w:val="14"/>
              </w:numPr>
              <w:spacing w:line="259" w:lineRule="auto"/>
              <w:ind w:left="316" w:hanging="283"/>
              <w:jc w:val="both"/>
              <w:rPr>
                <w:i/>
                <w:iCs/>
                <w:sz w:val="18"/>
                <w:szCs w:val="22"/>
                <w:lang w:val="en-US"/>
              </w:rPr>
            </w:pPr>
            <w:r w:rsidRPr="00814D9F">
              <w:rPr>
                <w:i/>
                <w:iCs/>
                <w:sz w:val="18"/>
                <w:szCs w:val="22"/>
                <w:lang w:val="en-US"/>
              </w:rPr>
              <w:t>The liquidity analysis meets the requirements of EBA/GL/2022/01 Chapter 4.2.1</w:t>
            </w:r>
          </w:p>
          <w:p w14:paraId="0F75E383" w14:textId="322BC073" w:rsidR="00814D9F" w:rsidRPr="00814D9F" w:rsidRDefault="00814D9F" w:rsidP="00814D9F">
            <w:pPr>
              <w:pStyle w:val="Listenabsatz"/>
              <w:numPr>
                <w:ilvl w:val="0"/>
                <w:numId w:val="14"/>
              </w:numPr>
              <w:spacing w:line="259" w:lineRule="auto"/>
              <w:ind w:left="316" w:hanging="283"/>
              <w:jc w:val="both"/>
              <w:rPr>
                <w:i/>
                <w:iCs/>
                <w:sz w:val="18"/>
                <w:szCs w:val="22"/>
                <w:lang w:val="en-US"/>
              </w:rPr>
            </w:pPr>
            <w:r w:rsidRPr="00814D9F">
              <w:rPr>
                <w:i/>
                <w:iCs/>
                <w:sz w:val="18"/>
                <w:szCs w:val="22"/>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814D9F">
              <w:rPr>
                <w:i/>
                <w:iCs/>
                <w:sz w:val="18"/>
                <w:szCs w:val="22"/>
                <w:lang w:val="en-US"/>
              </w:rPr>
              <w:t>provide for the application of the</w:t>
            </w:r>
            <w:r w:rsidR="003D35F7">
              <w:rPr>
                <w:i/>
                <w:iCs/>
                <w:sz w:val="18"/>
                <w:szCs w:val="22"/>
                <w:lang w:val="en-US"/>
              </w:rPr>
              <w:t xml:space="preserve"> </w:t>
            </w:r>
            <w:r w:rsidR="003F7FCB">
              <w:rPr>
                <w:i/>
                <w:iCs/>
                <w:sz w:val="18"/>
                <w:szCs w:val="18"/>
                <w:lang w:val="en-US"/>
              </w:rPr>
              <w:t>four-eyes</w:t>
            </w:r>
            <w:r w:rsidR="003F7FCB" w:rsidRPr="006C43BA">
              <w:rPr>
                <w:i/>
                <w:iCs/>
                <w:sz w:val="18"/>
                <w:szCs w:val="18"/>
                <w:lang w:val="en-US"/>
              </w:rPr>
              <w:t xml:space="preserve"> principle </w:t>
            </w:r>
            <w:r w:rsidRPr="00814D9F">
              <w:rPr>
                <w:i/>
                <w:iCs/>
                <w:sz w:val="18"/>
                <w:szCs w:val="22"/>
                <w:lang w:val="en-US"/>
              </w:rPr>
              <w:t>or the separation of functions for key controls</w:t>
            </w:r>
          </w:p>
          <w:p w14:paraId="49C709F4" w14:textId="301D6C1D" w:rsidR="00343BBB" w:rsidRPr="00B50531" w:rsidRDefault="00814D9F" w:rsidP="00814D9F">
            <w:pPr>
              <w:pStyle w:val="Listenabsatz"/>
              <w:numPr>
                <w:ilvl w:val="0"/>
                <w:numId w:val="14"/>
              </w:numPr>
              <w:spacing w:line="259" w:lineRule="auto"/>
              <w:ind w:left="316" w:hanging="283"/>
              <w:jc w:val="both"/>
              <w:rPr>
                <w:rFonts w:cs="Arial"/>
                <w:i/>
                <w:iCs/>
                <w:sz w:val="18"/>
                <w:szCs w:val="18"/>
                <w:lang w:val="en-US"/>
              </w:rPr>
            </w:pPr>
            <w:r w:rsidRPr="00814D9F">
              <w:rPr>
                <w:i/>
                <w:iCs/>
                <w:sz w:val="18"/>
                <w:szCs w:val="22"/>
                <w:lang w:val="en-US"/>
              </w:rPr>
              <w:t>Data quality assurance controls are defined</w:t>
            </w:r>
          </w:p>
        </w:tc>
      </w:tr>
    </w:tbl>
    <w:p w14:paraId="5786FB1A" w14:textId="77777777" w:rsidR="170CE702" w:rsidRPr="00B50531" w:rsidRDefault="170CE702" w:rsidP="170CE702">
      <w:pPr>
        <w:pStyle w:val="FINMAGliederungEbene1"/>
        <w:numPr>
          <w:ilvl w:val="0"/>
          <w:numId w:val="0"/>
        </w:numPr>
        <w:rPr>
          <w:lang w:val="en-US"/>
        </w:rPr>
      </w:pPr>
    </w:p>
    <w:p w14:paraId="087D0692" w14:textId="12D7107F" w:rsidR="00821D76" w:rsidRPr="00B50531" w:rsidRDefault="00814D9F" w:rsidP="00C37D08">
      <w:pPr>
        <w:pStyle w:val="FINMAGliederungEbene2"/>
        <w:rPr>
          <w:lang w:val="en-US"/>
        </w:rPr>
      </w:pPr>
      <w:bookmarkStart w:id="61" w:name="_Toc145409747"/>
      <w:r>
        <w:rPr>
          <w:lang w:val="en-US"/>
        </w:rPr>
        <w:t>Transfer strategies</w:t>
      </w:r>
      <w:bookmarkEnd w:id="61"/>
    </w:p>
    <w:p w14:paraId="30059BFA" w14:textId="77777777" w:rsidR="00D779C1" w:rsidRPr="00B50531" w:rsidRDefault="00D779C1" w:rsidP="00D779C1">
      <w:pPr>
        <w:jc w:val="both"/>
        <w:rPr>
          <w:lang w:val="en-US"/>
        </w:rPr>
      </w:pPr>
    </w:p>
    <w:tbl>
      <w:tblPr>
        <w:tblStyle w:val="Tabellenraster"/>
        <w:tblW w:w="0" w:type="auto"/>
        <w:tblLook w:val="04A0" w:firstRow="1" w:lastRow="0" w:firstColumn="1" w:lastColumn="0" w:noHBand="0" w:noVBand="1"/>
      </w:tblPr>
      <w:tblGrid>
        <w:gridCol w:w="517"/>
        <w:gridCol w:w="1511"/>
        <w:gridCol w:w="2145"/>
        <w:gridCol w:w="1721"/>
        <w:gridCol w:w="860"/>
        <w:gridCol w:w="2522"/>
      </w:tblGrid>
      <w:tr w:rsidR="00780FEC" w:rsidRPr="00AC2079" w14:paraId="6812BB01" w14:textId="77777777" w:rsidTr="0096765A">
        <w:trPr>
          <w:trHeight w:val="563"/>
        </w:trPr>
        <w:tc>
          <w:tcPr>
            <w:tcW w:w="2028" w:type="dxa"/>
            <w:gridSpan w:val="2"/>
            <w:shd w:val="clear" w:color="auto" w:fill="DBE5F1" w:themeFill="accent1" w:themeFillTint="33"/>
          </w:tcPr>
          <w:p w14:paraId="623D856F" w14:textId="6F13E461"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Net </w:t>
            </w:r>
            <w:proofErr w:type="spellStart"/>
            <w:r w:rsidRPr="00780FEC">
              <w:rPr>
                <w:rFonts w:ascii="Arial" w:hAnsi="Arial" w:cs="Arial"/>
                <w:sz w:val="18"/>
                <w:szCs w:val="18"/>
              </w:rPr>
              <w:t>risk</w:t>
            </w:r>
            <w:proofErr w:type="spellEnd"/>
          </w:p>
        </w:tc>
        <w:tc>
          <w:tcPr>
            <w:tcW w:w="2145" w:type="dxa"/>
            <w:shd w:val="clear" w:color="auto" w:fill="DBE5F1" w:themeFill="accent1" w:themeFillTint="33"/>
          </w:tcPr>
          <w:p w14:paraId="6D34D554" w14:textId="0A02456C" w:rsidR="00780FEC" w:rsidRPr="00780FEC" w:rsidRDefault="00780FEC" w:rsidP="00780FEC">
            <w:pPr>
              <w:jc w:val="both"/>
              <w:rPr>
                <w:rFonts w:ascii="Arial" w:hAnsi="Arial" w:cs="Arial"/>
                <w:sz w:val="18"/>
                <w:szCs w:val="18"/>
              </w:rPr>
            </w:pPr>
            <w:r w:rsidRPr="00780FEC">
              <w:rPr>
                <w:rFonts w:ascii="Arial" w:hAnsi="Arial" w:cs="Arial"/>
                <w:sz w:val="18"/>
                <w:szCs w:val="18"/>
              </w:rPr>
              <w:t xml:space="preserve">Intervention </w:t>
            </w:r>
            <w:proofErr w:type="spellStart"/>
            <w:r w:rsidRPr="00780FEC">
              <w:rPr>
                <w:rFonts w:ascii="Arial" w:hAnsi="Arial" w:cs="Arial"/>
                <w:sz w:val="18"/>
                <w:szCs w:val="18"/>
              </w:rPr>
              <w:t>reporting</w:t>
            </w:r>
            <w:proofErr w:type="spellEnd"/>
            <w:r w:rsidRPr="00780FEC">
              <w:rPr>
                <w:rFonts w:ascii="Arial" w:hAnsi="Arial" w:cs="Arial"/>
                <w:sz w:val="18"/>
                <w:szCs w:val="18"/>
              </w:rPr>
              <w:t xml:space="preserve"> </w:t>
            </w:r>
            <w:proofErr w:type="spellStart"/>
            <w:r w:rsidRPr="00780FEC">
              <w:rPr>
                <w:rFonts w:ascii="Arial" w:hAnsi="Arial" w:cs="Arial"/>
                <w:sz w:val="18"/>
                <w:szCs w:val="18"/>
              </w:rPr>
              <w:t>period</w:t>
            </w:r>
            <w:proofErr w:type="spellEnd"/>
          </w:p>
        </w:tc>
        <w:tc>
          <w:tcPr>
            <w:tcW w:w="5103" w:type="dxa"/>
            <w:gridSpan w:val="3"/>
            <w:shd w:val="clear" w:color="auto" w:fill="DBE5F1" w:themeFill="accent1" w:themeFillTint="33"/>
          </w:tcPr>
          <w:p w14:paraId="1EE8E7D6" w14:textId="028FC6D4" w:rsidR="00780FEC" w:rsidRPr="00E8775E" w:rsidRDefault="00205661" w:rsidP="00780FEC">
            <w:pPr>
              <w:jc w:val="both"/>
              <w:rPr>
                <w:rFonts w:ascii="Arial" w:hAnsi="Arial" w:cs="Arial"/>
                <w:sz w:val="18"/>
                <w:szCs w:val="18"/>
                <w:lang w:val="en-GB"/>
              </w:rPr>
            </w:pPr>
            <w:r>
              <w:rPr>
                <w:rFonts w:ascii="Arial" w:hAnsi="Arial" w:cs="Arial"/>
                <w:sz w:val="18"/>
                <w:szCs w:val="18"/>
                <w:lang w:val="en-US"/>
              </w:rPr>
              <w:t>Indication of the year with the last intervention with the following audit depth (before the reporting year)</w:t>
            </w:r>
          </w:p>
        </w:tc>
      </w:tr>
      <w:tr w:rsidR="00780FEC" w:rsidRPr="00B50531" w14:paraId="6D97D3F4" w14:textId="77777777" w:rsidTr="0096765A">
        <w:trPr>
          <w:trHeight w:val="698"/>
        </w:trPr>
        <w:tc>
          <w:tcPr>
            <w:tcW w:w="2028" w:type="dxa"/>
            <w:gridSpan w:val="2"/>
            <w:shd w:val="clear" w:color="auto" w:fill="DBE5F1" w:themeFill="accent1" w:themeFillTint="33"/>
          </w:tcPr>
          <w:p w14:paraId="319D1365" w14:textId="10F4764A" w:rsidR="00780FEC" w:rsidRPr="00780FEC" w:rsidRDefault="00780FEC" w:rsidP="00780FEC">
            <w:pPr>
              <w:jc w:val="both"/>
              <w:rPr>
                <w:rFonts w:ascii="Arial" w:hAnsi="Arial" w:cs="Arial"/>
                <w:i/>
                <w:sz w:val="18"/>
                <w:szCs w:val="18"/>
                <w:lang w:val="en-US"/>
              </w:rPr>
            </w:pPr>
            <w:r w:rsidRPr="00780FEC">
              <w:rPr>
                <w:rFonts w:ascii="Arial" w:hAnsi="Arial" w:cs="Arial"/>
                <w:i/>
                <w:sz w:val="18"/>
                <w:szCs w:val="18"/>
                <w:lang w:val="en-US"/>
              </w:rPr>
              <w:t>low/medium/high</w:t>
            </w:r>
          </w:p>
        </w:tc>
        <w:tc>
          <w:tcPr>
            <w:tcW w:w="2145" w:type="dxa"/>
            <w:shd w:val="clear" w:color="auto" w:fill="DBE5F1" w:themeFill="accent1" w:themeFillTint="33"/>
          </w:tcPr>
          <w:p w14:paraId="71FDD118" w14:textId="4E1D565D" w:rsidR="00780FEC" w:rsidRPr="00780FEC" w:rsidRDefault="00780FEC" w:rsidP="00780FEC">
            <w:pPr>
              <w:jc w:val="both"/>
              <w:rPr>
                <w:rFonts w:ascii="Arial" w:hAnsi="Arial" w:cs="Arial"/>
                <w:i/>
                <w:sz w:val="18"/>
                <w:szCs w:val="18"/>
                <w:lang w:val="en-US"/>
              </w:rPr>
            </w:pPr>
            <w:r w:rsidRPr="00780FEC">
              <w:rPr>
                <w:rFonts w:ascii="Arial" w:hAnsi="Arial" w:cs="Arial"/>
                <w:i/>
                <w:sz w:val="18"/>
                <w:szCs w:val="18"/>
                <w:lang w:val="en-US"/>
              </w:rPr>
              <w:t>detailed audit / critical assessment</w:t>
            </w:r>
          </w:p>
        </w:tc>
        <w:tc>
          <w:tcPr>
            <w:tcW w:w="1721" w:type="dxa"/>
            <w:shd w:val="clear" w:color="auto" w:fill="DBE5F1" w:themeFill="accent1" w:themeFillTint="33"/>
          </w:tcPr>
          <w:p w14:paraId="314B89E5" w14:textId="1533B730"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Detailed</w:t>
            </w:r>
            <w:proofErr w:type="spellEnd"/>
            <w:r w:rsidRPr="00780FEC">
              <w:rPr>
                <w:rFonts w:ascii="Arial" w:hAnsi="Arial" w:cs="Arial"/>
                <w:sz w:val="18"/>
                <w:szCs w:val="18"/>
              </w:rPr>
              <w:t xml:space="preserve"> </w:t>
            </w:r>
            <w:proofErr w:type="spellStart"/>
            <w:r w:rsidRPr="00780FEC">
              <w:rPr>
                <w:rFonts w:ascii="Arial" w:hAnsi="Arial" w:cs="Arial"/>
                <w:sz w:val="18"/>
                <w:szCs w:val="18"/>
              </w:rPr>
              <w:t>audit</w:t>
            </w:r>
            <w:proofErr w:type="spellEnd"/>
            <w:r w:rsidRPr="00780FEC">
              <w:rPr>
                <w:rFonts w:ascii="Arial" w:hAnsi="Arial" w:cs="Arial"/>
                <w:sz w:val="18"/>
                <w:szCs w:val="18"/>
              </w:rPr>
              <w:t xml:space="preserve">: </w:t>
            </w:r>
            <w:r w:rsidRPr="00780FEC">
              <w:rPr>
                <w:rFonts w:ascii="Arial" w:hAnsi="Arial" w:cs="Arial"/>
                <w:i/>
                <w:sz w:val="18"/>
                <w:szCs w:val="18"/>
                <w:lang w:val="en-US"/>
              </w:rPr>
              <w:t>year</w:t>
            </w:r>
          </w:p>
        </w:tc>
        <w:tc>
          <w:tcPr>
            <w:tcW w:w="3382" w:type="dxa"/>
            <w:gridSpan w:val="2"/>
            <w:shd w:val="clear" w:color="auto" w:fill="DBE5F1" w:themeFill="accent1" w:themeFillTint="33"/>
          </w:tcPr>
          <w:p w14:paraId="27A7DB61" w14:textId="43C0711E" w:rsidR="00780FEC" w:rsidRPr="00780FEC" w:rsidRDefault="00780FEC" w:rsidP="00780FEC">
            <w:pPr>
              <w:jc w:val="both"/>
              <w:rPr>
                <w:rFonts w:ascii="Arial" w:hAnsi="Arial" w:cs="Arial"/>
                <w:sz w:val="18"/>
                <w:szCs w:val="18"/>
              </w:rPr>
            </w:pPr>
            <w:proofErr w:type="spellStart"/>
            <w:r w:rsidRPr="00780FEC">
              <w:rPr>
                <w:rFonts w:ascii="Arial" w:hAnsi="Arial" w:cs="Arial"/>
                <w:sz w:val="18"/>
                <w:szCs w:val="18"/>
              </w:rPr>
              <w:t>critical</w:t>
            </w:r>
            <w:proofErr w:type="spellEnd"/>
            <w:r w:rsidRPr="00780FEC">
              <w:rPr>
                <w:rFonts w:ascii="Arial" w:hAnsi="Arial" w:cs="Arial"/>
                <w:sz w:val="18"/>
                <w:szCs w:val="18"/>
              </w:rPr>
              <w:t xml:space="preserve"> </w:t>
            </w:r>
            <w:proofErr w:type="spellStart"/>
            <w:r w:rsidRPr="00780FEC">
              <w:rPr>
                <w:rFonts w:ascii="Arial" w:hAnsi="Arial" w:cs="Arial"/>
                <w:sz w:val="18"/>
                <w:szCs w:val="18"/>
              </w:rPr>
              <w:t>assessment</w:t>
            </w:r>
            <w:proofErr w:type="spellEnd"/>
            <w:r w:rsidRPr="00780FEC">
              <w:rPr>
                <w:rFonts w:ascii="Arial" w:hAnsi="Arial" w:cs="Arial"/>
                <w:sz w:val="18"/>
                <w:szCs w:val="18"/>
              </w:rPr>
              <w:t xml:space="preserve">: </w:t>
            </w:r>
            <w:r w:rsidRPr="00780FEC">
              <w:rPr>
                <w:rFonts w:ascii="Arial" w:hAnsi="Arial" w:cs="Arial"/>
                <w:i/>
                <w:sz w:val="18"/>
                <w:szCs w:val="18"/>
                <w:lang w:val="en-US"/>
              </w:rPr>
              <w:t>year</w:t>
            </w:r>
          </w:p>
        </w:tc>
      </w:tr>
      <w:tr w:rsidR="00D779C1" w:rsidRPr="00AC2079" w14:paraId="7DAE34FA" w14:textId="77777777" w:rsidTr="0096765A">
        <w:trPr>
          <w:trHeight w:val="636"/>
        </w:trPr>
        <w:tc>
          <w:tcPr>
            <w:tcW w:w="9276" w:type="dxa"/>
            <w:gridSpan w:val="6"/>
            <w:shd w:val="clear" w:color="auto" w:fill="DBE5F1" w:themeFill="accent1" w:themeFillTint="33"/>
          </w:tcPr>
          <w:p w14:paraId="3D6E77F1" w14:textId="77777777" w:rsidR="00780FEC" w:rsidRPr="00B50531" w:rsidRDefault="00780FEC" w:rsidP="00780FEC">
            <w:pPr>
              <w:jc w:val="both"/>
              <w:rPr>
                <w:rFonts w:ascii="Arial" w:hAnsi="Arial" w:cs="Arial"/>
                <w:i/>
                <w:sz w:val="18"/>
                <w:szCs w:val="18"/>
                <w:lang w:val="en-US"/>
              </w:rPr>
            </w:pPr>
            <w:r>
              <w:rPr>
                <w:rFonts w:ascii="Arial" w:hAnsi="Arial" w:cs="Arial"/>
                <w:i/>
                <w:sz w:val="18"/>
                <w:szCs w:val="18"/>
                <w:lang w:val="en-US"/>
              </w:rPr>
              <w:t>References (examples):</w:t>
            </w:r>
          </w:p>
          <w:p w14:paraId="299DC451" w14:textId="4EB3EEC0" w:rsidR="00814D9F" w:rsidRPr="00E8775E" w:rsidRDefault="00814D9F" w:rsidP="00C37D08">
            <w:pPr>
              <w:pStyle w:val="Listenabsatz"/>
              <w:numPr>
                <w:ilvl w:val="0"/>
                <w:numId w:val="9"/>
              </w:numPr>
              <w:ind w:left="308"/>
              <w:jc w:val="both"/>
              <w:rPr>
                <w:rFonts w:cs="Arial"/>
                <w:sz w:val="18"/>
                <w:szCs w:val="18"/>
                <w:lang w:val="en-GB"/>
              </w:rPr>
            </w:pPr>
            <w:r w:rsidRPr="00E8775E">
              <w:rPr>
                <w:rFonts w:cs="Arial"/>
                <w:sz w:val="18"/>
                <w:szCs w:val="18"/>
                <w:lang w:val="en-GB"/>
              </w:rPr>
              <w:t xml:space="preserve">Commission Delegated Regulation (EU) 2017/867 of 7 February 2017 on classes of </w:t>
            </w:r>
            <w:r w:rsidR="00361335">
              <w:rPr>
                <w:rFonts w:cs="Arial"/>
                <w:sz w:val="18"/>
                <w:szCs w:val="18"/>
                <w:lang w:val="en-GB"/>
              </w:rPr>
              <w:t>arrangements</w:t>
            </w:r>
            <w:r w:rsidR="00361335" w:rsidRPr="00E8775E">
              <w:rPr>
                <w:rFonts w:cs="Arial"/>
                <w:sz w:val="18"/>
                <w:szCs w:val="18"/>
                <w:lang w:val="en-GB"/>
              </w:rPr>
              <w:t xml:space="preserve"> </w:t>
            </w:r>
            <w:r w:rsidRPr="00E8775E">
              <w:rPr>
                <w:rFonts w:cs="Arial"/>
                <w:sz w:val="18"/>
                <w:szCs w:val="18"/>
                <w:lang w:val="en-GB"/>
              </w:rPr>
              <w:t>to be protected in a partial property transfer under Article 76 of Directive 2014/59/EU of the European Parliament and of the Council</w:t>
            </w:r>
          </w:p>
          <w:p w14:paraId="3B888FAD" w14:textId="633D406A" w:rsidR="00814D9F" w:rsidRPr="0080040F" w:rsidRDefault="004027C9" w:rsidP="00C37D08">
            <w:pPr>
              <w:pStyle w:val="Listenabsatz"/>
              <w:numPr>
                <w:ilvl w:val="0"/>
                <w:numId w:val="9"/>
              </w:numPr>
              <w:ind w:left="308"/>
              <w:jc w:val="both"/>
              <w:rPr>
                <w:rFonts w:cs="Arial"/>
                <w:sz w:val="18"/>
                <w:szCs w:val="18"/>
                <w:lang w:val="en-US"/>
              </w:rPr>
            </w:pPr>
            <w:r w:rsidRPr="0080040F">
              <w:rPr>
                <w:rFonts w:cs="Arial"/>
                <w:sz w:val="18"/>
                <w:szCs w:val="18"/>
                <w:lang w:val="en-US"/>
              </w:rPr>
              <w:t xml:space="preserve">EBA </w:t>
            </w:r>
            <w:r w:rsidR="00814D9F" w:rsidRPr="0080040F">
              <w:rPr>
                <w:rFonts w:cs="Arial"/>
                <w:sz w:val="18"/>
                <w:szCs w:val="18"/>
                <w:lang w:val="en-US"/>
              </w:rPr>
              <w:t>Guidelines on factual circumstances amounting to a material threat to financial stability and on the elements related to the effectiveness of the sale of business tool under Article 39(4) of Directive 2014/59/EU</w:t>
            </w:r>
            <w:r w:rsidR="00D01858">
              <w:rPr>
                <w:rFonts w:cs="Arial"/>
                <w:sz w:val="18"/>
                <w:szCs w:val="18"/>
                <w:lang w:val="en-US"/>
              </w:rPr>
              <w:t>.</w:t>
            </w:r>
          </w:p>
          <w:p w14:paraId="08380AC7" w14:textId="7AA164C0" w:rsidR="002C3F12" w:rsidRPr="00AD71E4" w:rsidRDefault="008A08AF" w:rsidP="002C3F12">
            <w:pPr>
              <w:pStyle w:val="Listenabsatz"/>
              <w:numPr>
                <w:ilvl w:val="0"/>
                <w:numId w:val="9"/>
              </w:numPr>
              <w:ind w:left="308"/>
              <w:jc w:val="both"/>
              <w:rPr>
                <w:rFonts w:cs="Arial"/>
                <w:sz w:val="18"/>
                <w:szCs w:val="18"/>
                <w:lang w:val="en-US"/>
              </w:rPr>
            </w:pPr>
            <w:r w:rsidRPr="0080040F">
              <w:rPr>
                <w:rFonts w:cs="Arial"/>
                <w:sz w:val="18"/>
                <w:szCs w:val="18"/>
                <w:lang w:val="en-US"/>
              </w:rPr>
              <w:t>EBA Guidelines on improving resolvability for institutions and resolution authorities under articles 15 and 16 BRRD (Resolvability Guidelines; EBA/GL/2022/01)</w:t>
            </w:r>
          </w:p>
          <w:p w14:paraId="09C12D6F" w14:textId="1CA311B6" w:rsidR="002C3F12" w:rsidRPr="0080040F" w:rsidRDefault="002C3F12" w:rsidP="004A1670">
            <w:pPr>
              <w:pStyle w:val="Listenabsatz"/>
              <w:numPr>
                <w:ilvl w:val="0"/>
                <w:numId w:val="9"/>
              </w:numPr>
              <w:ind w:left="308"/>
              <w:jc w:val="both"/>
              <w:rPr>
                <w:rFonts w:cs="Arial"/>
                <w:sz w:val="18"/>
                <w:szCs w:val="18"/>
                <w:lang w:val="en-US"/>
              </w:rPr>
            </w:pPr>
            <w:r w:rsidRPr="0080040F">
              <w:rPr>
                <w:rFonts w:cs="Arial"/>
                <w:sz w:val="18"/>
                <w:szCs w:val="18"/>
                <w:lang w:val="en-US"/>
              </w:rPr>
              <w:t>Guidelines for institutions and resolution authorities to complement the resolvability assessment for transfer strategies (Transferability guidelines</w:t>
            </w:r>
            <w:r w:rsidR="003A6C19" w:rsidRPr="0080040F">
              <w:rPr>
                <w:rFonts w:cs="Arial"/>
                <w:sz w:val="18"/>
                <w:szCs w:val="18"/>
                <w:lang w:val="en-US"/>
              </w:rPr>
              <w:t>; EBA/GL/2022/11)</w:t>
            </w:r>
          </w:p>
          <w:p w14:paraId="75A7379F" w14:textId="154EC3FB" w:rsidR="00D82568" w:rsidRPr="0080040F" w:rsidRDefault="00D82568" w:rsidP="004A1670">
            <w:pPr>
              <w:pStyle w:val="Listenabsatz"/>
              <w:numPr>
                <w:ilvl w:val="0"/>
                <w:numId w:val="9"/>
              </w:numPr>
              <w:ind w:left="308"/>
              <w:jc w:val="both"/>
              <w:rPr>
                <w:rFonts w:cs="Arial"/>
                <w:sz w:val="18"/>
                <w:szCs w:val="18"/>
                <w:lang w:val="en-US"/>
              </w:rPr>
            </w:pPr>
            <w:r w:rsidRPr="0080040F">
              <w:rPr>
                <w:rFonts w:cs="Arial"/>
                <w:sz w:val="18"/>
                <w:szCs w:val="18"/>
                <w:lang w:val="en-US"/>
              </w:rPr>
              <w:lastRenderedPageBreak/>
              <w:t xml:space="preserve">SRB </w:t>
            </w:r>
            <w:r w:rsidR="00071D90" w:rsidRPr="0080040F">
              <w:rPr>
                <w:rFonts w:cs="Arial"/>
                <w:sz w:val="18"/>
                <w:szCs w:val="18"/>
                <w:lang w:val="en-US"/>
              </w:rPr>
              <w:t>Operational Guidance for Banks on separability for transfer tools</w:t>
            </w:r>
          </w:p>
          <w:p w14:paraId="457A3E20" w14:textId="29F5236E" w:rsidR="00E75BEB" w:rsidRPr="002C3F12" w:rsidRDefault="00432521">
            <w:pPr>
              <w:pStyle w:val="Listenabsatz"/>
              <w:numPr>
                <w:ilvl w:val="0"/>
                <w:numId w:val="9"/>
              </w:numPr>
              <w:ind w:left="308"/>
              <w:jc w:val="both"/>
              <w:rPr>
                <w:rFonts w:cs="Arial"/>
                <w:sz w:val="18"/>
                <w:szCs w:val="18"/>
                <w:lang w:val="en-US"/>
              </w:rPr>
            </w:pPr>
            <w:r w:rsidRPr="0080040F">
              <w:rPr>
                <w:rFonts w:cs="Arial"/>
                <w:sz w:val="18"/>
                <w:szCs w:val="18"/>
                <w:lang w:val="en-US"/>
              </w:rPr>
              <w:t>FMA Communication 2022/02 – Communication on the determination of the minimum requirement for own funds and eligible liabilities (“MREL”) and corresponding resolution planning interlinkages for banks and investment firms (“MREL Policy”).</w:t>
            </w:r>
          </w:p>
        </w:tc>
      </w:tr>
      <w:tr w:rsidR="00250DF9" w:rsidRPr="00AC2079" w14:paraId="6CBAF233" w14:textId="77777777" w:rsidTr="0096765A">
        <w:trPr>
          <w:trHeight w:val="156"/>
        </w:trPr>
        <w:tc>
          <w:tcPr>
            <w:tcW w:w="9276" w:type="dxa"/>
            <w:gridSpan w:val="6"/>
          </w:tcPr>
          <w:p w14:paraId="376304C6" w14:textId="77777777" w:rsidR="00250DF9" w:rsidRPr="002C3F12" w:rsidRDefault="00250DF9" w:rsidP="004B7D4A">
            <w:pPr>
              <w:jc w:val="both"/>
              <w:rPr>
                <w:rFonts w:ascii="Arial" w:hAnsi="Arial" w:cs="Arial"/>
                <w:i/>
                <w:sz w:val="18"/>
                <w:szCs w:val="18"/>
                <w:lang w:val="en-US"/>
              </w:rPr>
            </w:pPr>
          </w:p>
        </w:tc>
      </w:tr>
      <w:tr w:rsidR="00EF3818" w:rsidRPr="00AC2079" w14:paraId="79429163" w14:textId="77777777" w:rsidTr="0096765A">
        <w:trPr>
          <w:trHeight w:val="156"/>
        </w:trPr>
        <w:tc>
          <w:tcPr>
            <w:tcW w:w="517" w:type="dxa"/>
          </w:tcPr>
          <w:p w14:paraId="466EF0A2" w14:textId="631937DC" w:rsidR="00EF3818" w:rsidRPr="00B50531" w:rsidRDefault="000C243B" w:rsidP="00EF3818">
            <w:pPr>
              <w:jc w:val="both"/>
              <w:rPr>
                <w:rFonts w:ascii="Arial" w:hAnsi="Arial" w:cs="Arial"/>
                <w:sz w:val="18"/>
                <w:szCs w:val="18"/>
                <w:lang w:val="en-US"/>
              </w:rPr>
            </w:pPr>
            <w:r w:rsidRPr="00B50531">
              <w:rPr>
                <w:rFonts w:ascii="Arial" w:hAnsi="Arial" w:cs="Arial"/>
                <w:sz w:val="18"/>
                <w:szCs w:val="18"/>
                <w:lang w:val="en-US"/>
              </w:rPr>
              <w:t>1</w:t>
            </w:r>
          </w:p>
        </w:tc>
        <w:tc>
          <w:tcPr>
            <w:tcW w:w="6237" w:type="dxa"/>
            <w:gridSpan w:val="4"/>
          </w:tcPr>
          <w:p w14:paraId="291246BA" w14:textId="5A9ADEFA" w:rsidR="00EF3818" w:rsidRPr="00DE1CC1" w:rsidRDefault="00DE1CC1" w:rsidP="0038395D">
            <w:pPr>
              <w:jc w:val="both"/>
              <w:rPr>
                <w:rFonts w:ascii="Arial" w:hAnsi="Arial" w:cs="Arial"/>
                <w:sz w:val="18"/>
                <w:szCs w:val="18"/>
                <w:lang w:val="en-US"/>
              </w:rPr>
            </w:pPr>
            <w:r w:rsidRPr="00DE1CC1">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DE1CC1">
              <w:rPr>
                <w:rFonts w:ascii="Arial" w:hAnsi="Arial" w:cs="Arial"/>
                <w:sz w:val="18"/>
                <w:szCs w:val="18"/>
                <w:lang w:val="en-US"/>
              </w:rPr>
              <w:t>enable a sales process (roadshow) to be initiated at any time if necessary, including the short-term establishment of a secure virtual data room (MREL Policy, Chapter 5.2.2).</w:t>
            </w:r>
          </w:p>
        </w:tc>
        <w:tc>
          <w:tcPr>
            <w:tcW w:w="2522" w:type="dxa"/>
          </w:tcPr>
          <w:p w14:paraId="3D30192C" w14:textId="738CDF73" w:rsidR="00EF3818" w:rsidRPr="00780FEC" w:rsidRDefault="00665CEC" w:rsidP="00EF3818">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EF3818" w:rsidRPr="00AC2079" w14:paraId="58A5AAE6" w14:textId="77777777" w:rsidTr="0096765A">
        <w:trPr>
          <w:trHeight w:val="156"/>
        </w:trPr>
        <w:tc>
          <w:tcPr>
            <w:tcW w:w="517" w:type="dxa"/>
          </w:tcPr>
          <w:p w14:paraId="3903C10F" w14:textId="3BEBDB4E" w:rsidR="00EF3818" w:rsidRPr="00B50531" w:rsidRDefault="000C243B" w:rsidP="00EF3818">
            <w:pPr>
              <w:jc w:val="both"/>
              <w:rPr>
                <w:rFonts w:ascii="Arial" w:hAnsi="Arial" w:cs="Arial"/>
                <w:sz w:val="18"/>
                <w:szCs w:val="18"/>
                <w:lang w:val="en-US"/>
              </w:rPr>
            </w:pPr>
            <w:r w:rsidRPr="00B50531">
              <w:rPr>
                <w:rFonts w:ascii="Arial" w:hAnsi="Arial" w:cs="Arial"/>
                <w:sz w:val="18"/>
                <w:szCs w:val="18"/>
                <w:lang w:val="en-US"/>
              </w:rPr>
              <w:t>2</w:t>
            </w:r>
          </w:p>
        </w:tc>
        <w:tc>
          <w:tcPr>
            <w:tcW w:w="6237" w:type="dxa"/>
            <w:gridSpan w:val="4"/>
          </w:tcPr>
          <w:p w14:paraId="601237B6" w14:textId="1399F73A" w:rsidR="00EF3818" w:rsidRPr="00D97183" w:rsidRDefault="00D97183" w:rsidP="0038395D">
            <w:pPr>
              <w:jc w:val="both"/>
              <w:rPr>
                <w:rFonts w:ascii="Arial" w:hAnsi="Arial" w:cs="Arial"/>
                <w:sz w:val="18"/>
                <w:szCs w:val="18"/>
                <w:lang w:val="en-US"/>
              </w:rPr>
            </w:pPr>
            <w:r w:rsidRPr="00D97183">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D97183">
              <w:rPr>
                <w:rFonts w:ascii="Arial" w:hAnsi="Arial" w:cs="Arial"/>
                <w:sz w:val="18"/>
                <w:szCs w:val="18"/>
                <w:lang w:val="en-US"/>
              </w:rPr>
              <w:t xml:space="preserve">enable the performance of market </w:t>
            </w:r>
            <w:proofErr w:type="spellStart"/>
            <w:r w:rsidRPr="00D97183">
              <w:rPr>
                <w:rFonts w:ascii="Arial" w:hAnsi="Arial" w:cs="Arial"/>
                <w:sz w:val="18"/>
                <w:szCs w:val="18"/>
                <w:lang w:val="en-US"/>
              </w:rPr>
              <w:t>anal</w:t>
            </w:r>
            <w:r w:rsidR="00380810">
              <w:rPr>
                <w:rFonts w:ascii="Arial" w:hAnsi="Arial" w:cs="Arial"/>
                <w:sz w:val="18"/>
                <w:szCs w:val="18"/>
                <w:lang w:val="en-US"/>
              </w:rPr>
              <w:t>yses</w:t>
            </w:r>
            <w:r w:rsidRPr="00D97183">
              <w:rPr>
                <w:rFonts w:ascii="Arial" w:hAnsi="Arial" w:cs="Arial"/>
                <w:sz w:val="18"/>
                <w:szCs w:val="18"/>
                <w:lang w:val="en-US"/>
              </w:rPr>
              <w:t>s</w:t>
            </w:r>
            <w:proofErr w:type="spellEnd"/>
            <w:r w:rsidRPr="00D97183">
              <w:rPr>
                <w:rFonts w:ascii="Arial" w:hAnsi="Arial" w:cs="Arial"/>
                <w:sz w:val="18"/>
                <w:szCs w:val="18"/>
                <w:lang w:val="en-US"/>
              </w:rPr>
              <w:t xml:space="preserve"> to identify and monitor potential purchasers of assets (</w:t>
            </w:r>
            <w:r w:rsidR="00DE1CC1" w:rsidRPr="00D97183">
              <w:rPr>
                <w:rFonts w:ascii="Arial" w:hAnsi="Arial" w:cs="Arial"/>
                <w:sz w:val="18"/>
                <w:szCs w:val="18"/>
                <w:lang w:val="en-US"/>
              </w:rPr>
              <w:t>considering</w:t>
            </w:r>
            <w:r w:rsidRPr="00D97183">
              <w:rPr>
                <w:rFonts w:ascii="Arial" w:hAnsi="Arial" w:cs="Arial"/>
                <w:sz w:val="18"/>
                <w:szCs w:val="18"/>
                <w:lang w:val="en-US"/>
              </w:rPr>
              <w:t xml:space="preserve"> potential regulatory or other significant </w:t>
            </w:r>
            <w:r w:rsidR="00380810">
              <w:rPr>
                <w:rFonts w:ascii="Arial" w:hAnsi="Arial" w:cs="Arial"/>
                <w:sz w:val="18"/>
                <w:szCs w:val="18"/>
                <w:lang w:val="en-US"/>
              </w:rPr>
              <w:t>impediments</w:t>
            </w:r>
            <w:r w:rsidRPr="00D97183">
              <w:rPr>
                <w:rFonts w:ascii="Arial" w:hAnsi="Arial" w:cs="Arial"/>
                <w:sz w:val="18"/>
                <w:szCs w:val="18"/>
                <w:lang w:val="en-US"/>
              </w:rPr>
              <w:t xml:space="preserve"> from the purchaser's perspective) on at least an annual basis (MREL Policy, Chapter 5.2.2).</w:t>
            </w:r>
          </w:p>
        </w:tc>
        <w:tc>
          <w:tcPr>
            <w:tcW w:w="2522" w:type="dxa"/>
          </w:tcPr>
          <w:p w14:paraId="35F02419" w14:textId="586CCB7A" w:rsidR="00EF3818" w:rsidRPr="00780FEC" w:rsidRDefault="00665CEC" w:rsidP="00EF3818">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6E6E88" w:rsidRPr="00AC2079" w14:paraId="7CD3A772" w14:textId="24333940" w:rsidTr="0096765A">
        <w:trPr>
          <w:trHeight w:val="156"/>
        </w:trPr>
        <w:tc>
          <w:tcPr>
            <w:tcW w:w="517" w:type="dxa"/>
          </w:tcPr>
          <w:p w14:paraId="1701D9DC" w14:textId="2AD5F3D2" w:rsidR="006E6E88" w:rsidRPr="00B50531" w:rsidRDefault="00240087" w:rsidP="006E6E88">
            <w:pPr>
              <w:jc w:val="both"/>
              <w:rPr>
                <w:rFonts w:ascii="Arial" w:hAnsi="Arial" w:cs="Arial"/>
                <w:sz w:val="18"/>
                <w:szCs w:val="18"/>
                <w:lang w:val="en-US"/>
              </w:rPr>
            </w:pPr>
            <w:r w:rsidRPr="00B50531">
              <w:rPr>
                <w:rFonts w:ascii="Arial" w:hAnsi="Arial" w:cs="Arial"/>
                <w:sz w:val="18"/>
                <w:szCs w:val="18"/>
                <w:lang w:val="en-US"/>
              </w:rPr>
              <w:t>3</w:t>
            </w:r>
          </w:p>
        </w:tc>
        <w:tc>
          <w:tcPr>
            <w:tcW w:w="6237" w:type="dxa"/>
            <w:gridSpan w:val="4"/>
          </w:tcPr>
          <w:p w14:paraId="3D0F86EB" w14:textId="7A4760A3" w:rsidR="006E6E88" w:rsidRPr="00AD2E83" w:rsidRDefault="00AD2E83" w:rsidP="00E8775E">
            <w:pPr>
              <w:jc w:val="both"/>
              <w:rPr>
                <w:rFonts w:ascii="Arial" w:hAnsi="Arial" w:cs="Arial"/>
                <w:sz w:val="18"/>
                <w:szCs w:val="18"/>
                <w:lang w:val="en-US"/>
              </w:rPr>
            </w:pPr>
            <w:r w:rsidRPr="00AD2E83">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AD2E83">
              <w:rPr>
                <w:rFonts w:ascii="Arial" w:hAnsi="Arial" w:cs="Arial"/>
                <w:sz w:val="18"/>
                <w:szCs w:val="18"/>
                <w:lang w:val="en-US"/>
              </w:rPr>
              <w:t xml:space="preserve">are able to develop suitable transfer parameters ("Scope of transfer"; EBA/GL/2022/11) as well as a detailed report on the separability of assets and liabilities ("SAR"), incl. </w:t>
            </w:r>
            <w:r w:rsidR="0038395D">
              <w:rPr>
                <w:rFonts w:ascii="Arial" w:hAnsi="Arial" w:cs="Arial"/>
                <w:sz w:val="18"/>
                <w:szCs w:val="18"/>
                <w:lang w:val="en-US"/>
              </w:rPr>
              <w:t>sales value appraisals</w:t>
            </w:r>
            <w:r w:rsidRPr="00AD2E83">
              <w:rPr>
                <w:rFonts w:ascii="Arial" w:hAnsi="Arial" w:cs="Arial"/>
                <w:sz w:val="18"/>
                <w:szCs w:val="18"/>
                <w:lang w:val="en-US"/>
              </w:rPr>
              <w:t>.</w:t>
            </w:r>
          </w:p>
        </w:tc>
        <w:tc>
          <w:tcPr>
            <w:tcW w:w="2522" w:type="dxa"/>
          </w:tcPr>
          <w:p w14:paraId="17B7AF7A" w14:textId="57358434" w:rsidR="006E6E88" w:rsidRPr="00780FEC" w:rsidRDefault="00665CEC" w:rsidP="006E6E88">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6E6E88" w:rsidRPr="00AC2079" w14:paraId="40EC8BC0" w14:textId="77777777" w:rsidTr="0096765A">
        <w:trPr>
          <w:trHeight w:val="156"/>
        </w:trPr>
        <w:tc>
          <w:tcPr>
            <w:tcW w:w="517" w:type="dxa"/>
          </w:tcPr>
          <w:p w14:paraId="141D9355" w14:textId="79DD2BF1" w:rsidR="006E6E88" w:rsidRPr="00B50531" w:rsidRDefault="00240087" w:rsidP="006E6E88">
            <w:pPr>
              <w:jc w:val="both"/>
              <w:rPr>
                <w:rFonts w:ascii="Arial" w:hAnsi="Arial" w:cs="Arial"/>
                <w:sz w:val="18"/>
                <w:szCs w:val="18"/>
                <w:lang w:val="en-US"/>
              </w:rPr>
            </w:pPr>
            <w:r w:rsidRPr="00B50531">
              <w:rPr>
                <w:rFonts w:ascii="Arial" w:hAnsi="Arial" w:cs="Arial"/>
                <w:sz w:val="18"/>
                <w:szCs w:val="18"/>
                <w:lang w:val="en-US"/>
              </w:rPr>
              <w:t>4</w:t>
            </w:r>
          </w:p>
        </w:tc>
        <w:tc>
          <w:tcPr>
            <w:tcW w:w="6237" w:type="dxa"/>
            <w:gridSpan w:val="4"/>
          </w:tcPr>
          <w:p w14:paraId="4DA9E18C" w14:textId="798A4ED4" w:rsidR="006E6E88" w:rsidRPr="00B616E3" w:rsidRDefault="00B616E3" w:rsidP="00E8775E">
            <w:pPr>
              <w:jc w:val="both"/>
              <w:rPr>
                <w:rFonts w:ascii="Arial" w:hAnsi="Arial" w:cs="Arial"/>
                <w:sz w:val="18"/>
                <w:szCs w:val="18"/>
                <w:lang w:val="en-US"/>
              </w:rPr>
            </w:pPr>
            <w:r w:rsidRPr="00B616E3">
              <w:rPr>
                <w:rFonts w:ascii="Arial" w:hAnsi="Arial" w:cs="Arial"/>
                <w:sz w:val="18"/>
                <w:szCs w:val="18"/>
                <w:lang w:val="en-US"/>
              </w:rPr>
              <w:t xml:space="preserve">Confirmation that manuals ("Transfer Playbook") define the operational implementation of the transfer strategy (including simulation of the transfer of individual customers with regard to loans, deposits, </w:t>
            </w:r>
            <w:proofErr w:type="spellStart"/>
            <w:r w:rsidR="0038395D">
              <w:rPr>
                <w:rFonts w:ascii="Arial" w:hAnsi="Arial" w:cs="Arial"/>
                <w:sz w:val="18"/>
                <w:szCs w:val="18"/>
                <w:lang w:val="en-US"/>
              </w:rPr>
              <w:t>securities</w:t>
            </w:r>
            <w:r w:rsidRPr="00B616E3">
              <w:rPr>
                <w:rFonts w:ascii="Arial" w:hAnsi="Arial" w:cs="Arial"/>
                <w:sz w:val="18"/>
                <w:szCs w:val="18"/>
                <w:lang w:val="en-US"/>
              </w:rPr>
              <w:t>y</w:t>
            </w:r>
            <w:proofErr w:type="spellEnd"/>
            <w:r w:rsidRPr="00B616E3">
              <w:rPr>
                <w:rFonts w:ascii="Arial" w:hAnsi="Arial" w:cs="Arial"/>
                <w:sz w:val="18"/>
                <w:szCs w:val="18"/>
                <w:lang w:val="en-US"/>
              </w:rPr>
              <w:t xml:space="preserve"> account, collateral and entire customer bases, including an estimate of the duration, pricing and costs of the transactions and potential conflicts of interest).</w:t>
            </w:r>
          </w:p>
        </w:tc>
        <w:tc>
          <w:tcPr>
            <w:tcW w:w="2522" w:type="dxa"/>
          </w:tcPr>
          <w:p w14:paraId="093E9526" w14:textId="56FE308B" w:rsidR="006E6E88" w:rsidRPr="00780FEC" w:rsidRDefault="00665CEC" w:rsidP="006E6E88">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r w:rsidR="006E6E88" w:rsidRPr="00AC2079" w14:paraId="663F51F5" w14:textId="77777777" w:rsidTr="0096765A">
        <w:trPr>
          <w:trHeight w:val="156"/>
        </w:trPr>
        <w:tc>
          <w:tcPr>
            <w:tcW w:w="517" w:type="dxa"/>
          </w:tcPr>
          <w:p w14:paraId="4A7B25C0" w14:textId="41954230" w:rsidR="006E6E88" w:rsidRPr="00B50531" w:rsidRDefault="00240087" w:rsidP="006E6E88">
            <w:pPr>
              <w:jc w:val="both"/>
              <w:rPr>
                <w:rFonts w:ascii="Arial" w:hAnsi="Arial" w:cs="Arial"/>
                <w:sz w:val="18"/>
                <w:szCs w:val="18"/>
                <w:lang w:val="en-US"/>
              </w:rPr>
            </w:pPr>
            <w:r w:rsidRPr="00B50531">
              <w:rPr>
                <w:rFonts w:ascii="Arial" w:hAnsi="Arial" w:cs="Arial"/>
                <w:sz w:val="18"/>
                <w:szCs w:val="18"/>
                <w:lang w:val="en-US"/>
              </w:rPr>
              <w:t>5</w:t>
            </w:r>
          </w:p>
        </w:tc>
        <w:tc>
          <w:tcPr>
            <w:tcW w:w="6237" w:type="dxa"/>
            <w:gridSpan w:val="4"/>
          </w:tcPr>
          <w:p w14:paraId="716405F2" w14:textId="5B660141" w:rsidR="006E6E88" w:rsidRPr="00B616E3" w:rsidRDefault="00B616E3" w:rsidP="00E8775E">
            <w:pPr>
              <w:pStyle w:val="Kommentartext"/>
              <w:jc w:val="both"/>
              <w:rPr>
                <w:rFonts w:ascii="Arial" w:hAnsi="Arial" w:cs="Arial"/>
                <w:sz w:val="18"/>
                <w:szCs w:val="18"/>
                <w:lang w:val="en-US"/>
              </w:rPr>
            </w:pPr>
            <w:r w:rsidRPr="00B616E3">
              <w:rPr>
                <w:rFonts w:ascii="Arial" w:hAnsi="Arial" w:cs="Arial"/>
                <w:sz w:val="18"/>
                <w:szCs w:val="18"/>
                <w:lang w:val="en-US"/>
              </w:rPr>
              <w:t xml:space="preserve">Confirmation that the </w:t>
            </w:r>
            <w:r w:rsidR="003F7FCB">
              <w:rPr>
                <w:rFonts w:ascii="Arial" w:hAnsi="Arial" w:cs="Arial"/>
                <w:sz w:val="18"/>
                <w:szCs w:val="18"/>
                <w:lang w:val="en-US"/>
              </w:rPr>
              <w:t>internal procedures</w:t>
            </w:r>
            <w:r w:rsidR="003F7FCB" w:rsidRPr="00DD5261">
              <w:rPr>
                <w:rFonts w:ascii="Arial" w:hAnsi="Arial" w:cs="Arial"/>
                <w:sz w:val="18"/>
                <w:szCs w:val="18"/>
                <w:lang w:val="en-US"/>
              </w:rPr>
              <w:t xml:space="preserve"> </w:t>
            </w:r>
            <w:r w:rsidRPr="00B616E3">
              <w:rPr>
                <w:rFonts w:ascii="Arial" w:hAnsi="Arial" w:cs="Arial"/>
                <w:sz w:val="18"/>
                <w:szCs w:val="18"/>
                <w:lang w:val="en-US"/>
              </w:rPr>
              <w:t xml:space="preserve">enable regular tests of the operational feasibility of the transfer strategy (“dry runs”) in accordance with manuals (“Transfer Playbook”) under various </w:t>
            </w:r>
            <w:r w:rsidR="0038395D">
              <w:rPr>
                <w:rFonts w:ascii="Arial" w:hAnsi="Arial" w:cs="Arial"/>
                <w:sz w:val="18"/>
                <w:szCs w:val="18"/>
                <w:lang w:val="en-US"/>
              </w:rPr>
              <w:t xml:space="preserve">resolution </w:t>
            </w:r>
            <w:r w:rsidRPr="00B616E3">
              <w:rPr>
                <w:rFonts w:ascii="Arial" w:hAnsi="Arial" w:cs="Arial"/>
                <w:sz w:val="18"/>
                <w:szCs w:val="18"/>
                <w:lang w:val="en-US"/>
              </w:rPr>
              <w:t>scenarios (EBA/GL/2022/11, Chapter 5.3).</w:t>
            </w:r>
          </w:p>
        </w:tc>
        <w:tc>
          <w:tcPr>
            <w:tcW w:w="2522" w:type="dxa"/>
          </w:tcPr>
          <w:p w14:paraId="254514E5" w14:textId="40BEB3B6" w:rsidR="006E6E88" w:rsidRPr="00780FEC" w:rsidRDefault="00665CEC" w:rsidP="006E6E88">
            <w:pPr>
              <w:jc w:val="both"/>
              <w:rPr>
                <w:rFonts w:ascii="Arial" w:hAnsi="Arial" w:cs="Arial"/>
                <w:i/>
                <w:sz w:val="18"/>
                <w:szCs w:val="18"/>
                <w:highlight w:val="yellow"/>
                <w:lang w:val="en-US"/>
              </w:rPr>
            </w:pPr>
            <w:r w:rsidRPr="007F7EDC">
              <w:rPr>
                <w:rFonts w:ascii="Arial" w:hAnsi="Arial" w:cs="Arial"/>
                <w:i/>
                <w:sz w:val="18"/>
                <w:szCs w:val="18"/>
                <w:highlight w:val="yellow"/>
                <w:lang w:val="en-US"/>
              </w:rPr>
              <w:t>Yes (detailed audit/critical a</w:t>
            </w:r>
            <w:r>
              <w:rPr>
                <w:rFonts w:ascii="Arial" w:hAnsi="Arial" w:cs="Arial"/>
                <w:i/>
                <w:sz w:val="18"/>
                <w:szCs w:val="18"/>
                <w:highlight w:val="yellow"/>
                <w:lang w:val="en-US"/>
              </w:rPr>
              <w:t>ssessment)/ No</w:t>
            </w:r>
          </w:p>
        </w:tc>
      </w:tr>
    </w:tbl>
    <w:p w14:paraId="7CED9085" w14:textId="17C9AE82" w:rsidR="3A0A566E" w:rsidRPr="00780FEC" w:rsidRDefault="3A0A566E" w:rsidP="3A0A566E">
      <w:pPr>
        <w:rPr>
          <w:lang w:val="en-US"/>
        </w:rPr>
      </w:pPr>
    </w:p>
    <w:tbl>
      <w:tblPr>
        <w:tblStyle w:val="Tabellenraster"/>
        <w:tblW w:w="0" w:type="auto"/>
        <w:tblLook w:val="04A0" w:firstRow="1" w:lastRow="0" w:firstColumn="1" w:lastColumn="0" w:noHBand="0" w:noVBand="1"/>
      </w:tblPr>
      <w:tblGrid>
        <w:gridCol w:w="1980"/>
        <w:gridCol w:w="7229"/>
      </w:tblGrid>
      <w:tr w:rsidR="000771D9" w:rsidRPr="00B50531" w14:paraId="327698C1" w14:textId="77777777" w:rsidTr="0096765A">
        <w:trPr>
          <w:trHeight w:val="300"/>
        </w:trPr>
        <w:tc>
          <w:tcPr>
            <w:tcW w:w="1980" w:type="dxa"/>
          </w:tcPr>
          <w:p w14:paraId="2A4814CA" w14:textId="5EC3CC25" w:rsidR="000771D9" w:rsidRPr="00B50531" w:rsidRDefault="004E153A">
            <w:pPr>
              <w:jc w:val="both"/>
              <w:rPr>
                <w:rFonts w:ascii="Arial" w:hAnsi="Arial" w:cs="Arial"/>
                <w:b/>
                <w:bCs/>
                <w:i/>
                <w:iCs/>
                <w:sz w:val="18"/>
                <w:szCs w:val="18"/>
                <w:lang w:val="en-US"/>
              </w:rPr>
            </w:pPr>
            <w:r>
              <w:rPr>
                <w:rFonts w:ascii="Arial" w:hAnsi="Arial" w:cs="Arial"/>
                <w:b/>
                <w:bCs/>
                <w:i/>
                <w:iCs/>
                <w:sz w:val="18"/>
                <w:szCs w:val="18"/>
                <w:lang w:val="en-US"/>
              </w:rPr>
              <w:t>Audit elements</w:t>
            </w:r>
          </w:p>
        </w:tc>
        <w:tc>
          <w:tcPr>
            <w:tcW w:w="7229" w:type="dxa"/>
          </w:tcPr>
          <w:p w14:paraId="2A524D92" w14:textId="4B8917AE" w:rsidR="000771D9" w:rsidRPr="00B50531" w:rsidRDefault="004E153A">
            <w:pPr>
              <w:jc w:val="both"/>
              <w:rPr>
                <w:rFonts w:ascii="Arial" w:hAnsi="Arial" w:cs="Arial"/>
                <w:b/>
                <w:bCs/>
                <w:i/>
                <w:iCs/>
                <w:sz w:val="18"/>
                <w:szCs w:val="18"/>
                <w:lang w:val="en-US"/>
              </w:rPr>
            </w:pPr>
            <w:r>
              <w:rPr>
                <w:rFonts w:ascii="Arial" w:hAnsi="Arial" w:cs="Arial"/>
                <w:b/>
                <w:bCs/>
                <w:i/>
                <w:iCs/>
                <w:sz w:val="18"/>
                <w:szCs w:val="18"/>
                <w:lang w:val="en-US"/>
              </w:rPr>
              <w:t>Minim</w:t>
            </w:r>
            <w:r w:rsidR="00A41F7C">
              <w:rPr>
                <w:rFonts w:ascii="Arial" w:hAnsi="Arial" w:cs="Arial"/>
                <w:b/>
                <w:bCs/>
                <w:i/>
                <w:iCs/>
                <w:sz w:val="18"/>
                <w:szCs w:val="18"/>
                <w:lang w:val="en-US"/>
              </w:rPr>
              <w:t>um audit contents</w:t>
            </w:r>
          </w:p>
        </w:tc>
      </w:tr>
      <w:tr w:rsidR="000771D9" w:rsidRPr="00AC2079" w14:paraId="33901D98" w14:textId="77777777" w:rsidTr="0096765A">
        <w:trPr>
          <w:trHeight w:val="300"/>
        </w:trPr>
        <w:tc>
          <w:tcPr>
            <w:tcW w:w="1980" w:type="dxa"/>
          </w:tcPr>
          <w:p w14:paraId="0ACEFF3B" w14:textId="03AF7E63" w:rsidR="000771D9" w:rsidRPr="00B50531" w:rsidRDefault="00A41F7C">
            <w:pPr>
              <w:spacing w:line="259" w:lineRule="auto"/>
              <w:jc w:val="both"/>
              <w:rPr>
                <w:rFonts w:ascii="Arial" w:hAnsi="Arial" w:cs="Arial"/>
                <w:i/>
                <w:iCs/>
                <w:sz w:val="18"/>
                <w:szCs w:val="18"/>
                <w:lang w:val="en-US"/>
              </w:rPr>
            </w:pPr>
            <w:r>
              <w:rPr>
                <w:rFonts w:ascii="Arial" w:eastAsia="Arial" w:hAnsi="Arial" w:cs="Arial"/>
                <w:i/>
                <w:iCs/>
                <w:sz w:val="18"/>
                <w:szCs w:val="18"/>
                <w:lang w:val="en-US"/>
              </w:rPr>
              <w:t>Internal organization</w:t>
            </w:r>
          </w:p>
        </w:tc>
        <w:tc>
          <w:tcPr>
            <w:tcW w:w="7229" w:type="dxa"/>
          </w:tcPr>
          <w:p w14:paraId="4222291D" w14:textId="6F012E85" w:rsidR="000771D9" w:rsidRPr="00147600" w:rsidRDefault="00147600">
            <w:pPr>
              <w:pStyle w:val="Listenabsatz"/>
              <w:numPr>
                <w:ilvl w:val="1"/>
                <w:numId w:val="10"/>
              </w:numPr>
              <w:spacing w:line="259" w:lineRule="auto"/>
              <w:ind w:left="317" w:hanging="283"/>
              <w:jc w:val="both"/>
              <w:rPr>
                <w:lang w:val="en-US"/>
              </w:rPr>
            </w:pPr>
            <w:r w:rsidRPr="00147600">
              <w:rPr>
                <w:rFonts w:eastAsia="Arial" w:cs="Arial"/>
                <w:i/>
                <w:sz w:val="18"/>
                <w:szCs w:val="18"/>
                <w:lang w:val="en-US"/>
              </w:rPr>
              <w:t>The internal organizational structure (e.g. instructions, technical, human and professional resources) ensures that there are procedures for initiating a sales process, for carrying out market analy</w:t>
            </w:r>
            <w:r w:rsidR="006305C7">
              <w:rPr>
                <w:rFonts w:eastAsia="Arial" w:cs="Arial"/>
                <w:i/>
                <w:sz w:val="18"/>
                <w:szCs w:val="18"/>
                <w:lang w:val="en-US"/>
              </w:rPr>
              <w:t>s</w:t>
            </w:r>
            <w:r w:rsidRPr="00147600">
              <w:rPr>
                <w:rFonts w:eastAsia="Arial" w:cs="Arial"/>
                <w:i/>
                <w:sz w:val="18"/>
                <w:szCs w:val="18"/>
                <w:lang w:val="en-US"/>
              </w:rPr>
              <w:t>es and tests of the transfer strategy</w:t>
            </w:r>
            <w:r w:rsidR="006305C7">
              <w:rPr>
                <w:rFonts w:eastAsia="Arial" w:cs="Arial"/>
                <w:i/>
                <w:sz w:val="18"/>
                <w:szCs w:val="18"/>
                <w:lang w:val="en-US"/>
              </w:rPr>
              <w:t xml:space="preserve"> (“dry runs”)</w:t>
            </w:r>
          </w:p>
        </w:tc>
      </w:tr>
      <w:tr w:rsidR="000771D9" w:rsidRPr="00AC2079" w14:paraId="042762EA" w14:textId="77777777" w:rsidTr="0096765A">
        <w:trPr>
          <w:trHeight w:val="300"/>
        </w:trPr>
        <w:tc>
          <w:tcPr>
            <w:tcW w:w="1980" w:type="dxa"/>
          </w:tcPr>
          <w:p w14:paraId="3ACC24D0" w14:textId="4EA830A9" w:rsidR="000771D9" w:rsidRPr="00A41F7C" w:rsidRDefault="00A41F7C">
            <w:pPr>
              <w:spacing w:line="259" w:lineRule="auto"/>
              <w:jc w:val="both"/>
              <w:rPr>
                <w:rFonts w:ascii="Arial" w:hAnsi="Arial" w:cs="Arial"/>
                <w:i/>
                <w:iCs/>
                <w:sz w:val="18"/>
                <w:szCs w:val="18"/>
                <w:lang w:val="en-US"/>
              </w:rPr>
            </w:pPr>
            <w:r w:rsidRPr="006C43BA">
              <w:rPr>
                <w:rFonts w:ascii="Arial" w:eastAsia="Arial" w:hAnsi="Arial" w:cs="Arial"/>
                <w:i/>
                <w:iCs/>
                <w:sz w:val="18"/>
                <w:szCs w:val="18"/>
                <w:lang w:val="en-US"/>
              </w:rPr>
              <w:t>Internal control system, processes a</w:t>
            </w:r>
            <w:r>
              <w:rPr>
                <w:rFonts w:ascii="Arial" w:eastAsia="Arial" w:hAnsi="Arial" w:cs="Arial"/>
                <w:i/>
                <w:iCs/>
                <w:sz w:val="18"/>
                <w:szCs w:val="18"/>
                <w:lang w:val="en-US"/>
              </w:rPr>
              <w:t>nd reporting</w:t>
            </w:r>
          </w:p>
        </w:tc>
        <w:tc>
          <w:tcPr>
            <w:tcW w:w="7229" w:type="dxa"/>
          </w:tcPr>
          <w:p w14:paraId="5562E919" w14:textId="036C0906" w:rsidR="00147600" w:rsidRPr="00147600" w:rsidRDefault="00147600" w:rsidP="00147600">
            <w:pPr>
              <w:pStyle w:val="Listenabsatz"/>
              <w:numPr>
                <w:ilvl w:val="0"/>
                <w:numId w:val="14"/>
              </w:numPr>
              <w:spacing w:line="259" w:lineRule="auto"/>
              <w:ind w:left="316" w:hanging="283"/>
              <w:jc w:val="both"/>
              <w:rPr>
                <w:i/>
                <w:iCs/>
                <w:sz w:val="18"/>
                <w:szCs w:val="18"/>
                <w:lang w:val="en-US"/>
              </w:rPr>
            </w:pPr>
            <w:r w:rsidRPr="00147600">
              <w:rPr>
                <w:i/>
                <w:iCs/>
                <w:sz w:val="18"/>
                <w:szCs w:val="18"/>
                <w:lang w:val="en-US"/>
              </w:rPr>
              <w:t xml:space="preserve">The </w:t>
            </w:r>
            <w:r w:rsidR="003F7FCB" w:rsidRPr="002E6B46">
              <w:rPr>
                <w:rFonts w:cs="Arial"/>
                <w:i/>
                <w:iCs/>
                <w:sz w:val="18"/>
                <w:szCs w:val="18"/>
                <w:lang w:val="en-US"/>
              </w:rPr>
              <w:t>internal procedures</w:t>
            </w:r>
            <w:r w:rsidR="003F7FCB" w:rsidRPr="00DD5261">
              <w:rPr>
                <w:rFonts w:cs="Arial"/>
                <w:sz w:val="18"/>
                <w:szCs w:val="18"/>
                <w:lang w:val="en-US"/>
              </w:rPr>
              <w:t xml:space="preserve"> </w:t>
            </w:r>
            <w:r w:rsidRPr="00147600">
              <w:rPr>
                <w:i/>
                <w:iCs/>
                <w:sz w:val="18"/>
                <w:szCs w:val="18"/>
                <w:lang w:val="en-US"/>
              </w:rPr>
              <w:t xml:space="preserve">provide for the application of the </w:t>
            </w:r>
            <w:r w:rsidR="003F7FCB">
              <w:rPr>
                <w:i/>
                <w:iCs/>
                <w:sz w:val="18"/>
                <w:szCs w:val="18"/>
                <w:lang w:val="en-US"/>
              </w:rPr>
              <w:t>four-eyes</w:t>
            </w:r>
            <w:r w:rsidR="003F7FCB" w:rsidRPr="006C43BA">
              <w:rPr>
                <w:i/>
                <w:iCs/>
                <w:sz w:val="18"/>
                <w:szCs w:val="18"/>
                <w:lang w:val="en-US"/>
              </w:rPr>
              <w:t xml:space="preserve"> principle </w:t>
            </w:r>
            <w:r w:rsidRPr="00147600">
              <w:rPr>
                <w:i/>
                <w:iCs/>
                <w:sz w:val="18"/>
                <w:szCs w:val="18"/>
                <w:lang w:val="en-US"/>
              </w:rPr>
              <w:t>or the separation of functions for key controls</w:t>
            </w:r>
          </w:p>
          <w:p w14:paraId="4E953C1F" w14:textId="4131CAF7" w:rsidR="00147600" w:rsidRPr="00147600" w:rsidRDefault="00147600" w:rsidP="00147600">
            <w:pPr>
              <w:pStyle w:val="Listenabsatz"/>
              <w:numPr>
                <w:ilvl w:val="0"/>
                <w:numId w:val="14"/>
              </w:numPr>
              <w:spacing w:line="259" w:lineRule="auto"/>
              <w:ind w:left="316" w:hanging="283"/>
              <w:jc w:val="both"/>
              <w:rPr>
                <w:i/>
                <w:iCs/>
                <w:sz w:val="18"/>
                <w:szCs w:val="18"/>
                <w:lang w:val="en-US"/>
              </w:rPr>
            </w:pPr>
            <w:r w:rsidRPr="00147600">
              <w:rPr>
                <w:i/>
                <w:iCs/>
                <w:sz w:val="18"/>
                <w:szCs w:val="18"/>
                <w:lang w:val="en-US"/>
              </w:rPr>
              <w:t xml:space="preserve">Procedures </w:t>
            </w:r>
            <w:r w:rsidR="009936D6">
              <w:rPr>
                <w:i/>
                <w:iCs/>
                <w:sz w:val="18"/>
                <w:szCs w:val="18"/>
                <w:lang w:val="en-US"/>
              </w:rPr>
              <w:t xml:space="preserve">are defined </w:t>
            </w:r>
            <w:r w:rsidRPr="00147600">
              <w:rPr>
                <w:i/>
                <w:iCs/>
                <w:sz w:val="18"/>
                <w:szCs w:val="18"/>
                <w:lang w:val="en-US"/>
              </w:rPr>
              <w:t xml:space="preserve">for initiating a sales process including setting up a virtual data room </w:t>
            </w:r>
          </w:p>
          <w:p w14:paraId="4E305B82" w14:textId="3311CB45" w:rsidR="00147600" w:rsidRPr="00147600" w:rsidRDefault="00147600" w:rsidP="00147600">
            <w:pPr>
              <w:pStyle w:val="Listenabsatz"/>
              <w:numPr>
                <w:ilvl w:val="0"/>
                <w:numId w:val="14"/>
              </w:numPr>
              <w:spacing w:line="259" w:lineRule="auto"/>
              <w:ind w:left="316" w:hanging="283"/>
              <w:jc w:val="both"/>
              <w:rPr>
                <w:i/>
                <w:iCs/>
                <w:sz w:val="18"/>
                <w:szCs w:val="18"/>
                <w:lang w:val="en-US"/>
              </w:rPr>
            </w:pPr>
            <w:r w:rsidRPr="00147600">
              <w:rPr>
                <w:i/>
                <w:iCs/>
                <w:sz w:val="18"/>
                <w:szCs w:val="18"/>
                <w:lang w:val="en-US"/>
              </w:rPr>
              <w:t>Procedures are defined for the annual implementation of market analy</w:t>
            </w:r>
            <w:r w:rsidR="006305C7">
              <w:rPr>
                <w:i/>
                <w:iCs/>
                <w:sz w:val="18"/>
                <w:szCs w:val="18"/>
                <w:lang w:val="en-US"/>
              </w:rPr>
              <w:t>s</w:t>
            </w:r>
            <w:r w:rsidRPr="00147600">
              <w:rPr>
                <w:i/>
                <w:iCs/>
                <w:sz w:val="18"/>
                <w:szCs w:val="18"/>
                <w:lang w:val="en-US"/>
              </w:rPr>
              <w:t>es to identify potential buyers</w:t>
            </w:r>
          </w:p>
          <w:p w14:paraId="303379CC" w14:textId="62A2CA6C" w:rsidR="00147600" w:rsidRPr="00147600" w:rsidRDefault="00147600" w:rsidP="00147600">
            <w:pPr>
              <w:pStyle w:val="Listenabsatz"/>
              <w:numPr>
                <w:ilvl w:val="0"/>
                <w:numId w:val="14"/>
              </w:numPr>
              <w:spacing w:line="259" w:lineRule="auto"/>
              <w:ind w:left="316" w:hanging="283"/>
              <w:jc w:val="both"/>
              <w:rPr>
                <w:i/>
                <w:iCs/>
                <w:sz w:val="18"/>
                <w:szCs w:val="18"/>
                <w:lang w:val="en-US"/>
              </w:rPr>
            </w:pPr>
            <w:proofErr w:type="spellStart"/>
            <w:r w:rsidRPr="00147600">
              <w:rPr>
                <w:i/>
                <w:iCs/>
                <w:sz w:val="18"/>
                <w:szCs w:val="18"/>
                <w:lang w:val="en-US"/>
              </w:rPr>
              <w:t>Te</w:t>
            </w:r>
            <w:proofErr w:type="spellEnd"/>
            <w:r w:rsidRPr="00147600">
              <w:rPr>
                <w:i/>
                <w:iCs/>
                <w:sz w:val="18"/>
                <w:szCs w:val="18"/>
                <w:lang w:val="en-US"/>
              </w:rPr>
              <w:t xml:space="preserve"> manuals define the operational implementation of the transfer strategy and contain assessments of the duration, pricing, costs and potential conflicts of interest.</w:t>
            </w:r>
          </w:p>
          <w:p w14:paraId="41D44C58" w14:textId="13CD11E1" w:rsidR="00147600" w:rsidRPr="00147600" w:rsidRDefault="00B71198" w:rsidP="00147600">
            <w:pPr>
              <w:pStyle w:val="Listenabsatz"/>
              <w:numPr>
                <w:ilvl w:val="0"/>
                <w:numId w:val="14"/>
              </w:numPr>
              <w:spacing w:line="259" w:lineRule="auto"/>
              <w:ind w:left="316" w:hanging="283"/>
              <w:jc w:val="both"/>
              <w:rPr>
                <w:i/>
                <w:iCs/>
                <w:sz w:val="18"/>
                <w:szCs w:val="18"/>
                <w:lang w:val="en-US"/>
              </w:rPr>
            </w:pPr>
            <w:r>
              <w:rPr>
                <w:i/>
                <w:iCs/>
                <w:sz w:val="18"/>
                <w:szCs w:val="18"/>
                <w:lang w:val="en-US"/>
              </w:rPr>
              <w:t>Dry</w:t>
            </w:r>
            <w:r w:rsidR="00147600" w:rsidRPr="00147600">
              <w:rPr>
                <w:i/>
                <w:iCs/>
                <w:sz w:val="18"/>
                <w:szCs w:val="18"/>
                <w:lang w:val="en-US"/>
              </w:rPr>
              <w:t xml:space="preserve"> runs are carried out at least annually to assess the adequacy of the MIS. The </w:t>
            </w:r>
            <w:r>
              <w:rPr>
                <w:i/>
                <w:iCs/>
                <w:sz w:val="18"/>
                <w:szCs w:val="18"/>
                <w:lang w:val="en-US"/>
              </w:rPr>
              <w:t>dry</w:t>
            </w:r>
            <w:r w:rsidR="00147600" w:rsidRPr="00147600">
              <w:rPr>
                <w:i/>
                <w:iCs/>
                <w:sz w:val="18"/>
                <w:szCs w:val="18"/>
                <w:lang w:val="en-US"/>
              </w:rPr>
              <w:t xml:space="preserve"> runs are carried out assuming various crisis scenarios</w:t>
            </w:r>
          </w:p>
          <w:p w14:paraId="7210A8C4" w14:textId="7D4625B4" w:rsidR="000771D9" w:rsidRPr="00147600" w:rsidRDefault="00147600" w:rsidP="00147600">
            <w:pPr>
              <w:pStyle w:val="Listenabsatz"/>
              <w:numPr>
                <w:ilvl w:val="0"/>
                <w:numId w:val="14"/>
              </w:numPr>
              <w:spacing w:line="259" w:lineRule="auto"/>
              <w:ind w:left="316" w:hanging="283"/>
              <w:jc w:val="both"/>
              <w:rPr>
                <w:i/>
                <w:sz w:val="18"/>
                <w:szCs w:val="18"/>
                <w:lang w:val="en-US"/>
              </w:rPr>
            </w:pPr>
            <w:r w:rsidRPr="00147600">
              <w:rPr>
                <w:i/>
                <w:iCs/>
                <w:sz w:val="18"/>
                <w:szCs w:val="18"/>
                <w:lang w:val="en-US"/>
              </w:rPr>
              <w:t>A Separability Analysis Report</w:t>
            </w:r>
            <w:r w:rsidR="009936D6">
              <w:rPr>
                <w:i/>
                <w:iCs/>
                <w:sz w:val="18"/>
                <w:szCs w:val="18"/>
                <w:lang w:val="en-US"/>
              </w:rPr>
              <w:t xml:space="preserve"> (“SAR”)</w:t>
            </w:r>
            <w:r w:rsidRPr="00147600">
              <w:rPr>
                <w:i/>
                <w:iCs/>
                <w:sz w:val="18"/>
                <w:szCs w:val="18"/>
                <w:lang w:val="en-US"/>
              </w:rPr>
              <w:t xml:space="preserve"> is prepared annually</w:t>
            </w:r>
          </w:p>
        </w:tc>
      </w:tr>
    </w:tbl>
    <w:p w14:paraId="0ECC2BDE" w14:textId="2A05D571" w:rsidR="5F2CC23C" w:rsidRPr="009F7995" w:rsidRDefault="5F2CC23C" w:rsidP="5F2CC23C">
      <w:pPr>
        <w:rPr>
          <w:lang w:val="en-GB"/>
        </w:rPr>
      </w:pPr>
    </w:p>
    <w:p w14:paraId="26DCE6BC" w14:textId="77777777" w:rsidR="004039FF" w:rsidRPr="00147600" w:rsidRDefault="004039FF" w:rsidP="5F2CC23C">
      <w:pPr>
        <w:rPr>
          <w:lang w:val="en-US"/>
        </w:rPr>
      </w:pPr>
    </w:p>
    <w:p w14:paraId="0A1CAB78" w14:textId="12A95C74" w:rsidR="001469E9" w:rsidRPr="00B50531" w:rsidRDefault="005A0C5C" w:rsidP="00C37D08">
      <w:pPr>
        <w:pStyle w:val="FINMAGliederungEbene1"/>
        <w:rPr>
          <w:lang w:val="en-US"/>
        </w:rPr>
      </w:pPr>
      <w:bookmarkStart w:id="62" w:name="_Toc145409748"/>
      <w:r>
        <w:rPr>
          <w:lang w:val="en-US"/>
        </w:rPr>
        <w:t>Further notes</w:t>
      </w:r>
      <w:bookmarkEnd w:id="62"/>
    </w:p>
    <w:p w14:paraId="08EAC8E7" w14:textId="28904514" w:rsidR="009464E8" w:rsidRDefault="009464E8" w:rsidP="009464E8">
      <w:pPr>
        <w:pStyle w:val="Listenabsatz"/>
        <w:ind w:left="360"/>
        <w:jc w:val="both"/>
        <w:rPr>
          <w:lang w:val="en-US"/>
        </w:rPr>
      </w:pPr>
    </w:p>
    <w:p w14:paraId="41B6E8C2" w14:textId="52805561" w:rsidR="00662CAB" w:rsidRPr="00E8775E" w:rsidRDefault="00662CAB" w:rsidP="009464E8">
      <w:pPr>
        <w:pStyle w:val="Listenabsatz"/>
        <w:ind w:left="360"/>
        <w:jc w:val="both"/>
        <w:rPr>
          <w:rFonts w:cs="Arial"/>
          <w:i/>
          <w:szCs w:val="20"/>
          <w:highlight w:val="lightGray"/>
          <w:lang w:val="en-US"/>
        </w:rPr>
      </w:pPr>
      <w:r w:rsidRPr="00E8775E">
        <w:rPr>
          <w:rFonts w:cs="Arial"/>
          <w:i/>
          <w:szCs w:val="20"/>
          <w:highlight w:val="lightGray"/>
          <w:lang w:val="en-US"/>
        </w:rPr>
        <w:t xml:space="preserve">The other comments/notes serve to supplement the facts listed above. They are </w:t>
      </w:r>
      <w:proofErr w:type="spellStart"/>
      <w:r w:rsidRPr="00E8775E">
        <w:rPr>
          <w:rFonts w:cs="Arial"/>
          <w:i/>
          <w:szCs w:val="20"/>
          <w:highlight w:val="lightGray"/>
          <w:lang w:val="en-US"/>
        </w:rPr>
        <w:t>intendend</w:t>
      </w:r>
      <w:proofErr w:type="spellEnd"/>
      <w:r w:rsidRPr="00E8775E">
        <w:rPr>
          <w:rFonts w:cs="Arial"/>
          <w:i/>
          <w:szCs w:val="20"/>
          <w:highlight w:val="lightGray"/>
          <w:lang w:val="en-US"/>
        </w:rPr>
        <w:t xml:space="preserve">, where the auditor deems necessary, to round out the overall picture of the audit report. They must not be formulated in such a way that they relativize the explicit confirmations made in the present report. </w:t>
      </w:r>
    </w:p>
    <w:p w14:paraId="12D5BCEF" w14:textId="77777777" w:rsidR="002D19EC" w:rsidRPr="00E8775E" w:rsidRDefault="002D19EC" w:rsidP="00CB3EE6">
      <w:pPr>
        <w:pStyle w:val="Listenabsatz"/>
        <w:ind w:left="360"/>
        <w:jc w:val="both"/>
        <w:rPr>
          <w:lang w:val="en-US"/>
        </w:rPr>
      </w:pPr>
    </w:p>
    <w:p w14:paraId="2CBDEB20" w14:textId="39B6CB8D" w:rsidR="001469E9" w:rsidRPr="00B50531" w:rsidRDefault="005A0C5C" w:rsidP="00C37D08">
      <w:pPr>
        <w:pStyle w:val="FINMAGliederungEbene1"/>
        <w:rPr>
          <w:lang w:val="en-US"/>
        </w:rPr>
      </w:pPr>
      <w:bookmarkStart w:id="63" w:name="_Toc145409749"/>
      <w:r>
        <w:rPr>
          <w:lang w:val="en-US"/>
        </w:rPr>
        <w:t>Signature / confirmation of the auditor</w:t>
      </w:r>
      <w:bookmarkEnd w:id="63"/>
    </w:p>
    <w:p w14:paraId="769BDF5C" w14:textId="77777777" w:rsidR="00662CAB" w:rsidRPr="00E8775E" w:rsidRDefault="00662CAB" w:rsidP="001469E9">
      <w:pPr>
        <w:jc w:val="both"/>
      </w:pPr>
    </w:p>
    <w:p w14:paraId="3A910730" w14:textId="5E885C62" w:rsidR="001469E9" w:rsidRPr="00E8775E" w:rsidRDefault="00662CAB" w:rsidP="00432521">
      <w:pPr>
        <w:ind w:left="426"/>
        <w:jc w:val="both"/>
        <w:rPr>
          <w:rFonts w:ascii="Arial" w:hAnsi="Arial" w:cs="Arial"/>
          <w:i/>
          <w:sz w:val="20"/>
          <w:szCs w:val="20"/>
          <w:lang w:val="en-US"/>
        </w:rPr>
      </w:pPr>
      <w:r w:rsidRPr="00E8775E">
        <w:rPr>
          <w:rFonts w:ascii="Arial" w:hAnsi="Arial" w:cs="Arial"/>
          <w:i/>
          <w:sz w:val="20"/>
          <w:szCs w:val="20"/>
          <w:highlight w:val="lightGray"/>
          <w:lang w:val="en-US"/>
        </w:rPr>
        <w:t>The report on the audit must be signed by the lead auditor («auditor»</w:t>
      </w:r>
      <w:r w:rsidR="004F63E6" w:rsidRPr="00E8775E">
        <w:rPr>
          <w:rFonts w:ascii="Arial" w:hAnsi="Arial" w:cs="Arial"/>
          <w:i/>
          <w:sz w:val="20"/>
          <w:szCs w:val="20"/>
          <w:highlight w:val="lightGray"/>
          <w:lang w:val="en-US"/>
        </w:rPr>
        <w:t xml:space="preserve"> and another </w:t>
      </w:r>
      <w:proofErr w:type="spellStart"/>
      <w:r w:rsidR="004F63E6" w:rsidRPr="00E8775E">
        <w:rPr>
          <w:rFonts w:ascii="Arial" w:hAnsi="Arial" w:cs="Arial"/>
          <w:i/>
          <w:sz w:val="20"/>
          <w:szCs w:val="20"/>
          <w:highlight w:val="lightGray"/>
          <w:lang w:val="en-US"/>
        </w:rPr>
        <w:t>persion</w:t>
      </w:r>
      <w:proofErr w:type="spellEnd"/>
      <w:r w:rsidR="004F63E6" w:rsidRPr="00E8775E">
        <w:rPr>
          <w:rFonts w:ascii="Arial" w:hAnsi="Arial" w:cs="Arial"/>
          <w:i/>
          <w:sz w:val="20"/>
          <w:szCs w:val="20"/>
          <w:highlight w:val="lightGray"/>
          <w:lang w:val="en-US"/>
        </w:rPr>
        <w:t xml:space="preserve"> with signing authority</w:t>
      </w:r>
      <w:r w:rsidRPr="00E8775E">
        <w:rPr>
          <w:rFonts w:ascii="Arial" w:hAnsi="Arial" w:cs="Arial"/>
          <w:i/>
          <w:sz w:val="20"/>
          <w:szCs w:val="20"/>
          <w:highlight w:val="lightGray"/>
          <w:lang w:val="en-US"/>
        </w:rPr>
        <w:t>)</w:t>
      </w:r>
    </w:p>
    <w:p w14:paraId="68CD9DB1" w14:textId="77777777" w:rsidR="001469E9" w:rsidRPr="00E8775E" w:rsidRDefault="001469E9" w:rsidP="001469E9">
      <w:pPr>
        <w:jc w:val="both"/>
        <w:rPr>
          <w:lang w:val="en-US"/>
        </w:rPr>
      </w:pPr>
    </w:p>
    <w:p w14:paraId="332786AA" w14:textId="45C6DB41" w:rsidR="001469E9" w:rsidRPr="00B50531" w:rsidRDefault="005A0C5C" w:rsidP="00C37D08">
      <w:pPr>
        <w:pStyle w:val="FINMAGliederungEbene1"/>
        <w:rPr>
          <w:lang w:val="en-US"/>
        </w:rPr>
      </w:pPr>
      <w:bookmarkStart w:id="64" w:name="_Toc145409750"/>
      <w:r>
        <w:rPr>
          <w:lang w:val="en-US"/>
        </w:rPr>
        <w:lastRenderedPageBreak/>
        <w:t>Annex</w:t>
      </w:r>
      <w:bookmarkEnd w:id="64"/>
    </w:p>
    <w:p w14:paraId="0E65E8CD" w14:textId="16168875" w:rsidR="001469E9" w:rsidRPr="00E8775E" w:rsidRDefault="004F63E6" w:rsidP="001469E9">
      <w:pPr>
        <w:pStyle w:val="Listenabsatz"/>
        <w:ind w:left="360"/>
        <w:jc w:val="both"/>
        <w:rPr>
          <w:rFonts w:cs="Arial"/>
          <w:i/>
          <w:szCs w:val="20"/>
          <w:highlight w:val="lightGray"/>
          <w:lang w:val="en-US"/>
        </w:rPr>
      </w:pPr>
      <w:r w:rsidRPr="00E8775E">
        <w:rPr>
          <w:rFonts w:cs="Arial"/>
          <w:i/>
          <w:szCs w:val="20"/>
          <w:highlight w:val="lightGray"/>
          <w:lang w:val="en-US"/>
        </w:rPr>
        <w:t xml:space="preserve">The following documents must be submitted with the audit report: </w:t>
      </w:r>
    </w:p>
    <w:p w14:paraId="797DBDFA" w14:textId="3CD36D70" w:rsidR="004F63E6" w:rsidRPr="00E8775E" w:rsidRDefault="004F63E6" w:rsidP="001469E9">
      <w:pPr>
        <w:pStyle w:val="Listenabsatz"/>
        <w:ind w:left="360"/>
        <w:jc w:val="both"/>
        <w:rPr>
          <w:rFonts w:cs="Arial"/>
          <w:i/>
          <w:szCs w:val="20"/>
          <w:highlight w:val="lightGray"/>
          <w:lang w:val="en-US"/>
        </w:rPr>
      </w:pPr>
      <w:r w:rsidRPr="00E8775E">
        <w:rPr>
          <w:rFonts w:cs="Arial"/>
          <w:i/>
          <w:szCs w:val="20"/>
          <w:highlight w:val="lightGray"/>
          <w:lang w:val="en-US"/>
        </w:rPr>
        <w:t>a) If there are deviations from the versions submitted to the FMA: Form Risk Analysis/audit strategy</w:t>
      </w:r>
    </w:p>
    <w:p w14:paraId="76DEC10A" w14:textId="75CC34A5" w:rsidR="007A36D2" w:rsidRPr="00436893" w:rsidRDefault="004F63E6" w:rsidP="00432521">
      <w:pPr>
        <w:pStyle w:val="Listenabsatz"/>
        <w:ind w:left="360"/>
        <w:jc w:val="both"/>
        <w:rPr>
          <w:highlight w:val="lightGray"/>
          <w:lang w:val="en-US"/>
        </w:rPr>
      </w:pPr>
      <w:r w:rsidRPr="00E8775E">
        <w:rPr>
          <w:rFonts w:cs="Arial"/>
          <w:i/>
          <w:szCs w:val="20"/>
          <w:highlight w:val="lightGray"/>
          <w:lang w:val="en-US"/>
        </w:rPr>
        <w:t>b) For resolution groups: diagram to graphically depict the regulatory scope of consolidation and the resolution group, if these differ from one another.</w:t>
      </w:r>
    </w:p>
    <w:sectPr w:rsidR="007A36D2" w:rsidRPr="00436893" w:rsidSect="004959B8">
      <w:headerReference w:type="first" r:id="rId17"/>
      <w:footerReference w:type="first" r:id="rId18"/>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8589" w14:textId="77777777" w:rsidR="00ED5949" w:rsidRDefault="00ED5949">
      <w:r>
        <w:separator/>
      </w:r>
    </w:p>
  </w:endnote>
  <w:endnote w:type="continuationSeparator" w:id="0">
    <w:p w14:paraId="1BC0FC7A" w14:textId="77777777" w:rsidR="00ED5949" w:rsidRDefault="00ED5949">
      <w:r>
        <w:continuationSeparator/>
      </w:r>
    </w:p>
  </w:endnote>
  <w:endnote w:type="continuationNotice" w:id="1">
    <w:p w14:paraId="57CD4871" w14:textId="77777777" w:rsidR="00ED5949" w:rsidRDefault="00ED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4626A9" w:rsidRDefault="004626A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4626A9" w:rsidRDefault="004626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4626A9" w:rsidRPr="000864B2" w:rsidRDefault="004626A9" w:rsidP="008D629D">
    <w:pPr>
      <w:spacing w:line="193" w:lineRule="atLeast"/>
      <w:rPr>
        <w:color w:val="666666"/>
        <w:sz w:val="16"/>
      </w:rPr>
    </w:pPr>
  </w:p>
  <w:p w14:paraId="6CEF623A" w14:textId="41A68B29" w:rsidR="004626A9" w:rsidRDefault="004626A9"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3E47" w14:textId="77777777" w:rsidR="00CE2027" w:rsidRDefault="00CE20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4626A9" w:rsidRPr="000864B2" w:rsidRDefault="004626A9" w:rsidP="000E5A8C">
    <w:pPr>
      <w:spacing w:line="193" w:lineRule="atLeast"/>
      <w:rPr>
        <w:color w:val="666666"/>
        <w:sz w:val="16"/>
      </w:rPr>
    </w:pPr>
  </w:p>
  <w:p w14:paraId="31843EF8" w14:textId="410085A9" w:rsidR="004626A9" w:rsidRDefault="004626A9"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4804" w14:textId="77777777" w:rsidR="00ED5949" w:rsidRDefault="00ED5949">
      <w:r>
        <w:separator/>
      </w:r>
    </w:p>
  </w:footnote>
  <w:footnote w:type="continuationSeparator" w:id="0">
    <w:p w14:paraId="63AF6623" w14:textId="77777777" w:rsidR="00ED5949" w:rsidRDefault="00ED5949">
      <w:r>
        <w:continuationSeparator/>
      </w:r>
    </w:p>
  </w:footnote>
  <w:footnote w:type="continuationNotice" w:id="1">
    <w:p w14:paraId="7F916D00" w14:textId="77777777" w:rsidR="00ED5949" w:rsidRDefault="00ED5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4626A9" w:rsidRDefault="004626A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4626A9" w:rsidRDefault="004626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4626A9" w:rsidRDefault="004626A9"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4626A9" w:rsidRDefault="004626A9">
    <w:pPr>
      <w:pStyle w:val="Kopfzeile"/>
    </w:pPr>
    <w:r>
      <w:rPr>
        <w:noProof/>
        <w:lang w:eastAsia="de-CH"/>
      </w:rPr>
      <w:drawing>
        <wp:anchor distT="0" distB="0" distL="114300" distR="114300" simplePos="0" relativeHeight="251658240"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4626A9" w:rsidRDefault="004626A9" w:rsidP="00D82DD9">
    <w:pPr>
      <w:pStyle w:val="Kopfzeile"/>
    </w:pPr>
  </w:p>
  <w:p w14:paraId="1CAB9EC8" w14:textId="77777777" w:rsidR="004626A9" w:rsidRDefault="004626A9" w:rsidP="00D82DD9">
    <w:pPr>
      <w:pStyle w:val="Kopfzeile"/>
    </w:pPr>
  </w:p>
  <w:p w14:paraId="7EF72323" w14:textId="77777777" w:rsidR="004626A9" w:rsidRDefault="004626A9" w:rsidP="00D82DD9">
    <w:pPr>
      <w:pStyle w:val="Kopfzeile"/>
    </w:pPr>
  </w:p>
  <w:p w14:paraId="6A0BF6AA" w14:textId="77777777" w:rsidR="004626A9" w:rsidRDefault="004626A9" w:rsidP="00D82DD9">
    <w:pPr>
      <w:pStyle w:val="Kopfzeile"/>
    </w:pPr>
  </w:p>
  <w:p w14:paraId="6802C8D3" w14:textId="77777777" w:rsidR="004626A9" w:rsidRDefault="004626A9" w:rsidP="00D82DD9">
    <w:pPr>
      <w:pStyle w:val="Kopfzeile"/>
    </w:pPr>
  </w:p>
  <w:p w14:paraId="4DDF242A" w14:textId="77777777" w:rsidR="004626A9" w:rsidRDefault="004626A9" w:rsidP="00D82DD9">
    <w:pPr>
      <w:pStyle w:val="Kopfzeile"/>
    </w:pPr>
  </w:p>
  <w:p w14:paraId="047B2D1D" w14:textId="77777777" w:rsidR="004626A9" w:rsidRDefault="004626A9" w:rsidP="00D82DD9">
    <w:pPr>
      <w:pStyle w:val="Kopfzeile"/>
    </w:pPr>
  </w:p>
  <w:p w14:paraId="047E5A73" w14:textId="77777777" w:rsidR="004626A9" w:rsidRDefault="004626A9" w:rsidP="00D82DD9">
    <w:pPr>
      <w:pStyle w:val="Kopfzeile"/>
    </w:pPr>
  </w:p>
  <w:p w14:paraId="7E60A7FE" w14:textId="77777777" w:rsidR="004626A9" w:rsidRDefault="004626A9" w:rsidP="00D82DD9">
    <w:pPr>
      <w:pStyle w:val="Kopfzeile"/>
    </w:pPr>
  </w:p>
  <w:p w14:paraId="5D19C0A5" w14:textId="77777777" w:rsidR="004626A9" w:rsidRDefault="004626A9" w:rsidP="00D82DD9">
    <w:pPr>
      <w:pStyle w:val="Kopfzeile"/>
    </w:pPr>
  </w:p>
  <w:p w14:paraId="40006012" w14:textId="77777777" w:rsidR="004626A9" w:rsidRDefault="004626A9" w:rsidP="00D82DD9">
    <w:pPr>
      <w:pStyle w:val="Kopfzeile"/>
    </w:pPr>
  </w:p>
  <w:p w14:paraId="69725C1E" w14:textId="77777777" w:rsidR="004626A9" w:rsidRDefault="004626A9" w:rsidP="00D82DD9">
    <w:pPr>
      <w:pStyle w:val="Kopfzeile"/>
    </w:pPr>
  </w:p>
  <w:p w14:paraId="6344D2F9" w14:textId="77777777" w:rsidR="004626A9" w:rsidRDefault="004626A9" w:rsidP="00D82DD9">
    <w:pPr>
      <w:pStyle w:val="Kopfzeile"/>
    </w:pPr>
  </w:p>
  <w:p w14:paraId="625E7FC2" w14:textId="77777777" w:rsidR="004626A9" w:rsidRDefault="004626A9" w:rsidP="00D82DD9">
    <w:pPr>
      <w:pStyle w:val="Kopfzeile"/>
    </w:pPr>
  </w:p>
  <w:p w14:paraId="5E58257E" w14:textId="77777777" w:rsidR="004626A9" w:rsidRDefault="004626A9" w:rsidP="00D82DD9">
    <w:pPr>
      <w:pStyle w:val="Kopfzeile"/>
    </w:pPr>
    <w:r>
      <w:rPr>
        <w:noProof/>
        <w:lang w:eastAsia="de-CH"/>
      </w:rPr>
      <w:drawing>
        <wp:anchor distT="0" distB="0" distL="114300" distR="114300" simplePos="0" relativeHeight="251658241"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Picture 2"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4626A9" w:rsidRDefault="004626A9"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4626A9" w:rsidRDefault="004626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 w15:restartNumberingAfterBreak="0">
    <w:nsid w:val="18E499ED"/>
    <w:multiLevelType w:val="hybridMultilevel"/>
    <w:tmpl w:val="FFFFFFFF"/>
    <w:lvl w:ilvl="0" w:tplc="7700BE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5B6FB9A">
      <w:start w:val="1"/>
      <w:numFmt w:val="bullet"/>
      <w:lvlText w:val=""/>
      <w:lvlJc w:val="left"/>
      <w:pPr>
        <w:ind w:left="2160" w:hanging="360"/>
      </w:pPr>
      <w:rPr>
        <w:rFonts w:ascii="Wingdings" w:hAnsi="Wingdings" w:hint="default"/>
      </w:rPr>
    </w:lvl>
    <w:lvl w:ilvl="3" w:tplc="F77AAB36">
      <w:start w:val="1"/>
      <w:numFmt w:val="bullet"/>
      <w:lvlText w:val=""/>
      <w:lvlJc w:val="left"/>
      <w:pPr>
        <w:ind w:left="2880" w:hanging="360"/>
      </w:pPr>
      <w:rPr>
        <w:rFonts w:ascii="Symbol" w:hAnsi="Symbol" w:hint="default"/>
      </w:rPr>
    </w:lvl>
    <w:lvl w:ilvl="4" w:tplc="A7E0CB82">
      <w:start w:val="1"/>
      <w:numFmt w:val="bullet"/>
      <w:lvlText w:val="o"/>
      <w:lvlJc w:val="left"/>
      <w:pPr>
        <w:ind w:left="3600" w:hanging="360"/>
      </w:pPr>
      <w:rPr>
        <w:rFonts w:ascii="Courier New" w:hAnsi="Courier New" w:hint="default"/>
      </w:rPr>
    </w:lvl>
    <w:lvl w:ilvl="5" w:tplc="B3565CC8">
      <w:start w:val="1"/>
      <w:numFmt w:val="bullet"/>
      <w:lvlText w:val=""/>
      <w:lvlJc w:val="left"/>
      <w:pPr>
        <w:ind w:left="4320" w:hanging="360"/>
      </w:pPr>
      <w:rPr>
        <w:rFonts w:ascii="Wingdings" w:hAnsi="Wingdings" w:hint="default"/>
      </w:rPr>
    </w:lvl>
    <w:lvl w:ilvl="6" w:tplc="CBF6256A">
      <w:start w:val="1"/>
      <w:numFmt w:val="bullet"/>
      <w:lvlText w:val=""/>
      <w:lvlJc w:val="left"/>
      <w:pPr>
        <w:ind w:left="5040" w:hanging="360"/>
      </w:pPr>
      <w:rPr>
        <w:rFonts w:ascii="Symbol" w:hAnsi="Symbol" w:hint="default"/>
      </w:rPr>
    </w:lvl>
    <w:lvl w:ilvl="7" w:tplc="AA786EEC">
      <w:start w:val="1"/>
      <w:numFmt w:val="bullet"/>
      <w:lvlText w:val="o"/>
      <w:lvlJc w:val="left"/>
      <w:pPr>
        <w:ind w:left="5760" w:hanging="360"/>
      </w:pPr>
      <w:rPr>
        <w:rFonts w:ascii="Courier New" w:hAnsi="Courier New" w:hint="default"/>
      </w:rPr>
    </w:lvl>
    <w:lvl w:ilvl="8" w:tplc="DABA97C2">
      <w:start w:val="1"/>
      <w:numFmt w:val="bullet"/>
      <w:lvlText w:val=""/>
      <w:lvlJc w:val="left"/>
      <w:pPr>
        <w:ind w:left="6480" w:hanging="360"/>
      </w:pPr>
      <w:rPr>
        <w:rFonts w:ascii="Wingdings" w:hAnsi="Wingdings" w:hint="default"/>
      </w:rPr>
    </w:lvl>
  </w:abstractNum>
  <w:abstractNum w:abstractNumId="3"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2958AE81"/>
    <w:multiLevelType w:val="hybridMultilevel"/>
    <w:tmpl w:val="FFFFFFFF"/>
    <w:lvl w:ilvl="0" w:tplc="36B89994">
      <w:start w:val="1"/>
      <w:numFmt w:val="bullet"/>
      <w:lvlText w:val="o"/>
      <w:lvlJc w:val="left"/>
      <w:pPr>
        <w:ind w:left="720" w:hanging="360"/>
      </w:pPr>
      <w:rPr>
        <w:rFonts w:ascii="Courier New" w:hAnsi="Courier New" w:hint="default"/>
      </w:rPr>
    </w:lvl>
    <w:lvl w:ilvl="1" w:tplc="60CA8976">
      <w:start w:val="1"/>
      <w:numFmt w:val="bullet"/>
      <w:lvlText w:val="o"/>
      <w:lvlJc w:val="left"/>
      <w:pPr>
        <w:ind w:left="1440" w:hanging="360"/>
      </w:pPr>
      <w:rPr>
        <w:rFonts w:ascii="Courier New" w:hAnsi="Courier New" w:hint="default"/>
      </w:rPr>
    </w:lvl>
    <w:lvl w:ilvl="2" w:tplc="1E1A3C76">
      <w:start w:val="1"/>
      <w:numFmt w:val="bullet"/>
      <w:lvlText w:val=""/>
      <w:lvlJc w:val="left"/>
      <w:pPr>
        <w:ind w:left="2160" w:hanging="360"/>
      </w:pPr>
      <w:rPr>
        <w:rFonts w:ascii="Wingdings" w:hAnsi="Wingdings" w:hint="default"/>
      </w:rPr>
    </w:lvl>
    <w:lvl w:ilvl="3" w:tplc="C38A2B92">
      <w:start w:val="1"/>
      <w:numFmt w:val="bullet"/>
      <w:lvlText w:val=""/>
      <w:lvlJc w:val="left"/>
      <w:pPr>
        <w:ind w:left="2880" w:hanging="360"/>
      </w:pPr>
      <w:rPr>
        <w:rFonts w:ascii="Symbol" w:hAnsi="Symbol" w:hint="default"/>
      </w:rPr>
    </w:lvl>
    <w:lvl w:ilvl="4" w:tplc="0462814A">
      <w:start w:val="1"/>
      <w:numFmt w:val="bullet"/>
      <w:lvlText w:val="o"/>
      <w:lvlJc w:val="left"/>
      <w:pPr>
        <w:ind w:left="3600" w:hanging="360"/>
      </w:pPr>
      <w:rPr>
        <w:rFonts w:ascii="Courier New" w:hAnsi="Courier New" w:hint="default"/>
      </w:rPr>
    </w:lvl>
    <w:lvl w:ilvl="5" w:tplc="8A323C50">
      <w:start w:val="1"/>
      <w:numFmt w:val="bullet"/>
      <w:lvlText w:val=""/>
      <w:lvlJc w:val="left"/>
      <w:pPr>
        <w:ind w:left="4320" w:hanging="360"/>
      </w:pPr>
      <w:rPr>
        <w:rFonts w:ascii="Wingdings" w:hAnsi="Wingdings" w:hint="default"/>
      </w:rPr>
    </w:lvl>
    <w:lvl w:ilvl="6" w:tplc="4430670C">
      <w:start w:val="1"/>
      <w:numFmt w:val="bullet"/>
      <w:lvlText w:val=""/>
      <w:lvlJc w:val="left"/>
      <w:pPr>
        <w:ind w:left="5040" w:hanging="360"/>
      </w:pPr>
      <w:rPr>
        <w:rFonts w:ascii="Symbol" w:hAnsi="Symbol" w:hint="default"/>
      </w:rPr>
    </w:lvl>
    <w:lvl w:ilvl="7" w:tplc="A6A80DB0">
      <w:start w:val="1"/>
      <w:numFmt w:val="bullet"/>
      <w:lvlText w:val="o"/>
      <w:lvlJc w:val="left"/>
      <w:pPr>
        <w:ind w:left="5760" w:hanging="360"/>
      </w:pPr>
      <w:rPr>
        <w:rFonts w:ascii="Courier New" w:hAnsi="Courier New" w:hint="default"/>
      </w:rPr>
    </w:lvl>
    <w:lvl w:ilvl="8" w:tplc="63AE72B6">
      <w:start w:val="1"/>
      <w:numFmt w:val="bullet"/>
      <w:lvlText w:val=""/>
      <w:lvlJc w:val="left"/>
      <w:pPr>
        <w:ind w:left="6480" w:hanging="360"/>
      </w:pPr>
      <w:rPr>
        <w:rFonts w:ascii="Wingdings" w:hAnsi="Wingdings" w:hint="default"/>
      </w:rPr>
    </w:lvl>
  </w:abstractNum>
  <w:abstractNum w:abstractNumId="7" w15:restartNumberingAfterBreak="0">
    <w:nsid w:val="295A2EE1"/>
    <w:multiLevelType w:val="hybridMultilevel"/>
    <w:tmpl w:val="59D48FC4"/>
    <w:lvl w:ilvl="0" w:tplc="B68CB97E">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hint="default"/>
      </w:rPr>
    </w:lvl>
    <w:lvl w:ilvl="2" w:tplc="84F4FB06">
      <w:start w:val="1"/>
      <w:numFmt w:val="bullet"/>
      <w:lvlText w:val=""/>
      <w:lvlJc w:val="left"/>
      <w:pPr>
        <w:ind w:left="2160" w:hanging="360"/>
      </w:pPr>
      <w:rPr>
        <w:rFonts w:ascii="Wingdings" w:hAnsi="Wingdings" w:hint="default"/>
      </w:rPr>
    </w:lvl>
    <w:lvl w:ilvl="3" w:tplc="D2660920">
      <w:start w:val="1"/>
      <w:numFmt w:val="bullet"/>
      <w:lvlText w:val=""/>
      <w:lvlJc w:val="left"/>
      <w:pPr>
        <w:ind w:left="2880" w:hanging="360"/>
      </w:pPr>
      <w:rPr>
        <w:rFonts w:ascii="Symbol" w:hAnsi="Symbol" w:hint="default"/>
      </w:rPr>
    </w:lvl>
    <w:lvl w:ilvl="4" w:tplc="6A00FAD0">
      <w:start w:val="1"/>
      <w:numFmt w:val="bullet"/>
      <w:lvlText w:val="o"/>
      <w:lvlJc w:val="left"/>
      <w:pPr>
        <w:ind w:left="3600" w:hanging="360"/>
      </w:pPr>
      <w:rPr>
        <w:rFonts w:ascii="Courier New" w:hAnsi="Courier New" w:hint="default"/>
      </w:rPr>
    </w:lvl>
    <w:lvl w:ilvl="5" w:tplc="9CA03A68">
      <w:start w:val="1"/>
      <w:numFmt w:val="bullet"/>
      <w:lvlText w:val=""/>
      <w:lvlJc w:val="left"/>
      <w:pPr>
        <w:ind w:left="4320" w:hanging="360"/>
      </w:pPr>
      <w:rPr>
        <w:rFonts w:ascii="Wingdings" w:hAnsi="Wingdings" w:hint="default"/>
      </w:rPr>
    </w:lvl>
    <w:lvl w:ilvl="6" w:tplc="0D9C82D6">
      <w:start w:val="1"/>
      <w:numFmt w:val="bullet"/>
      <w:lvlText w:val=""/>
      <w:lvlJc w:val="left"/>
      <w:pPr>
        <w:ind w:left="5040" w:hanging="360"/>
      </w:pPr>
      <w:rPr>
        <w:rFonts w:ascii="Symbol" w:hAnsi="Symbol" w:hint="default"/>
      </w:rPr>
    </w:lvl>
    <w:lvl w:ilvl="7" w:tplc="CD4ED71A">
      <w:start w:val="1"/>
      <w:numFmt w:val="bullet"/>
      <w:lvlText w:val="o"/>
      <w:lvlJc w:val="left"/>
      <w:pPr>
        <w:ind w:left="5760" w:hanging="360"/>
      </w:pPr>
      <w:rPr>
        <w:rFonts w:ascii="Courier New" w:hAnsi="Courier New" w:hint="default"/>
      </w:rPr>
    </w:lvl>
    <w:lvl w:ilvl="8" w:tplc="7C22CBC4">
      <w:start w:val="1"/>
      <w:numFmt w:val="bullet"/>
      <w:lvlText w:val=""/>
      <w:lvlJc w:val="left"/>
      <w:pPr>
        <w:ind w:left="6480" w:hanging="360"/>
      </w:pPr>
      <w:rPr>
        <w:rFonts w:ascii="Wingdings" w:hAnsi="Wingdings" w:hint="default"/>
      </w:rPr>
    </w:lvl>
  </w:abstractNum>
  <w:abstractNum w:abstractNumId="8" w15:restartNumberingAfterBreak="0">
    <w:nsid w:val="42FA37D6"/>
    <w:multiLevelType w:val="hybridMultilevel"/>
    <w:tmpl w:val="2ABCE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FA7B5"/>
    <w:multiLevelType w:val="hybridMultilevel"/>
    <w:tmpl w:val="FFFFFFFF"/>
    <w:lvl w:ilvl="0" w:tplc="5DD0711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A2AE196">
      <w:start w:val="1"/>
      <w:numFmt w:val="bullet"/>
      <w:lvlText w:val=""/>
      <w:lvlJc w:val="left"/>
      <w:pPr>
        <w:ind w:left="2160" w:hanging="360"/>
      </w:pPr>
      <w:rPr>
        <w:rFonts w:ascii="Wingdings" w:hAnsi="Wingdings" w:hint="default"/>
      </w:rPr>
    </w:lvl>
    <w:lvl w:ilvl="3" w:tplc="D4C635E2">
      <w:start w:val="1"/>
      <w:numFmt w:val="bullet"/>
      <w:lvlText w:val=""/>
      <w:lvlJc w:val="left"/>
      <w:pPr>
        <w:ind w:left="2880" w:hanging="360"/>
      </w:pPr>
      <w:rPr>
        <w:rFonts w:ascii="Symbol" w:hAnsi="Symbol" w:hint="default"/>
      </w:rPr>
    </w:lvl>
    <w:lvl w:ilvl="4" w:tplc="6FCC5DAE">
      <w:start w:val="1"/>
      <w:numFmt w:val="bullet"/>
      <w:lvlText w:val="o"/>
      <w:lvlJc w:val="left"/>
      <w:pPr>
        <w:ind w:left="3600" w:hanging="360"/>
      </w:pPr>
      <w:rPr>
        <w:rFonts w:ascii="Courier New" w:hAnsi="Courier New" w:hint="default"/>
      </w:rPr>
    </w:lvl>
    <w:lvl w:ilvl="5" w:tplc="485C57C4">
      <w:start w:val="1"/>
      <w:numFmt w:val="bullet"/>
      <w:lvlText w:val=""/>
      <w:lvlJc w:val="left"/>
      <w:pPr>
        <w:ind w:left="4320" w:hanging="360"/>
      </w:pPr>
      <w:rPr>
        <w:rFonts w:ascii="Wingdings" w:hAnsi="Wingdings" w:hint="default"/>
      </w:rPr>
    </w:lvl>
    <w:lvl w:ilvl="6" w:tplc="674EA62A">
      <w:start w:val="1"/>
      <w:numFmt w:val="bullet"/>
      <w:lvlText w:val=""/>
      <w:lvlJc w:val="left"/>
      <w:pPr>
        <w:ind w:left="5040" w:hanging="360"/>
      </w:pPr>
      <w:rPr>
        <w:rFonts w:ascii="Symbol" w:hAnsi="Symbol" w:hint="default"/>
      </w:rPr>
    </w:lvl>
    <w:lvl w:ilvl="7" w:tplc="21D09F02">
      <w:start w:val="1"/>
      <w:numFmt w:val="bullet"/>
      <w:lvlText w:val="o"/>
      <w:lvlJc w:val="left"/>
      <w:pPr>
        <w:ind w:left="5760" w:hanging="360"/>
      </w:pPr>
      <w:rPr>
        <w:rFonts w:ascii="Courier New" w:hAnsi="Courier New" w:hint="default"/>
      </w:rPr>
    </w:lvl>
    <w:lvl w:ilvl="8" w:tplc="9CF4EDE6">
      <w:start w:val="1"/>
      <w:numFmt w:val="bullet"/>
      <w:lvlText w:val=""/>
      <w:lvlJc w:val="left"/>
      <w:pPr>
        <w:ind w:left="6480" w:hanging="360"/>
      </w:pPr>
      <w:rPr>
        <w:rFonts w:ascii="Wingdings" w:hAnsi="Wingdings" w:hint="default"/>
      </w:rPr>
    </w:lvl>
  </w:abstractNum>
  <w:abstractNum w:abstractNumId="10"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FA976CF"/>
    <w:multiLevelType w:val="hybridMultilevel"/>
    <w:tmpl w:val="603EB790"/>
    <w:lvl w:ilvl="0" w:tplc="A192DA3E">
      <w:start w:val="1"/>
      <w:numFmt w:val="bullet"/>
      <w:lvlText w:val="o"/>
      <w:lvlJc w:val="left"/>
      <w:pPr>
        <w:ind w:left="720" w:hanging="360"/>
      </w:pPr>
      <w:rPr>
        <w:rFonts w:ascii="Courier New" w:hAnsi="Courier New" w:hint="default"/>
        <w:color w:val="000000" w:themeColor="text1"/>
      </w:rPr>
    </w:lvl>
    <w:lvl w:ilvl="1" w:tplc="996651BC">
      <w:start w:val="1"/>
      <w:numFmt w:val="bullet"/>
      <w:lvlText w:val="o"/>
      <w:lvlJc w:val="left"/>
      <w:pPr>
        <w:ind w:left="1440" w:hanging="360"/>
      </w:pPr>
      <w:rPr>
        <w:rFonts w:ascii="Courier New" w:hAnsi="Courier New" w:hint="default"/>
      </w:rPr>
    </w:lvl>
    <w:lvl w:ilvl="2" w:tplc="169A589E">
      <w:start w:val="1"/>
      <w:numFmt w:val="bullet"/>
      <w:lvlText w:val=""/>
      <w:lvlJc w:val="left"/>
      <w:pPr>
        <w:ind w:left="2160" w:hanging="360"/>
      </w:pPr>
      <w:rPr>
        <w:rFonts w:ascii="Wingdings" w:hAnsi="Wingdings" w:hint="default"/>
      </w:rPr>
    </w:lvl>
    <w:lvl w:ilvl="3" w:tplc="0CE2B676">
      <w:start w:val="1"/>
      <w:numFmt w:val="bullet"/>
      <w:lvlText w:val=""/>
      <w:lvlJc w:val="left"/>
      <w:pPr>
        <w:ind w:left="2880" w:hanging="360"/>
      </w:pPr>
      <w:rPr>
        <w:rFonts w:ascii="Symbol" w:hAnsi="Symbol" w:hint="default"/>
      </w:rPr>
    </w:lvl>
    <w:lvl w:ilvl="4" w:tplc="47505A2E">
      <w:start w:val="1"/>
      <w:numFmt w:val="bullet"/>
      <w:lvlText w:val="o"/>
      <w:lvlJc w:val="left"/>
      <w:pPr>
        <w:ind w:left="3600" w:hanging="360"/>
      </w:pPr>
      <w:rPr>
        <w:rFonts w:ascii="Courier New" w:hAnsi="Courier New" w:hint="default"/>
      </w:rPr>
    </w:lvl>
    <w:lvl w:ilvl="5" w:tplc="25DE18C2">
      <w:start w:val="1"/>
      <w:numFmt w:val="bullet"/>
      <w:lvlText w:val=""/>
      <w:lvlJc w:val="left"/>
      <w:pPr>
        <w:ind w:left="4320" w:hanging="360"/>
      </w:pPr>
      <w:rPr>
        <w:rFonts w:ascii="Wingdings" w:hAnsi="Wingdings" w:hint="default"/>
      </w:rPr>
    </w:lvl>
    <w:lvl w:ilvl="6" w:tplc="1BCA9A64">
      <w:start w:val="1"/>
      <w:numFmt w:val="bullet"/>
      <w:lvlText w:val=""/>
      <w:lvlJc w:val="left"/>
      <w:pPr>
        <w:ind w:left="5040" w:hanging="360"/>
      </w:pPr>
      <w:rPr>
        <w:rFonts w:ascii="Symbol" w:hAnsi="Symbol" w:hint="default"/>
      </w:rPr>
    </w:lvl>
    <w:lvl w:ilvl="7" w:tplc="880CC20C">
      <w:start w:val="1"/>
      <w:numFmt w:val="bullet"/>
      <w:lvlText w:val="o"/>
      <w:lvlJc w:val="left"/>
      <w:pPr>
        <w:ind w:left="5760" w:hanging="360"/>
      </w:pPr>
      <w:rPr>
        <w:rFonts w:ascii="Courier New" w:hAnsi="Courier New" w:hint="default"/>
      </w:rPr>
    </w:lvl>
    <w:lvl w:ilvl="8" w:tplc="E41EE106">
      <w:start w:val="1"/>
      <w:numFmt w:val="bullet"/>
      <w:lvlText w:val=""/>
      <w:lvlJc w:val="left"/>
      <w:pPr>
        <w:ind w:left="6480" w:hanging="360"/>
      </w:pPr>
      <w:rPr>
        <w:rFonts w:ascii="Wingdings" w:hAnsi="Wingdings" w:hint="default"/>
      </w:rPr>
    </w:lvl>
  </w:abstractNum>
  <w:abstractNum w:abstractNumId="12" w15:restartNumberingAfterBreak="0">
    <w:nsid w:val="54C720E3"/>
    <w:multiLevelType w:val="hybridMultilevel"/>
    <w:tmpl w:val="CAB2BD56"/>
    <w:lvl w:ilvl="0" w:tplc="08070003">
      <w:start w:val="1"/>
      <w:numFmt w:val="bullet"/>
      <w:lvlText w:val="o"/>
      <w:lvlJc w:val="left"/>
      <w:pPr>
        <w:ind w:left="753" w:hanging="360"/>
      </w:pPr>
      <w:rPr>
        <w:rFonts w:ascii="Courier New" w:hAnsi="Courier New" w:cs="Courier New"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13"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14" w15:restartNumberingAfterBreak="0">
    <w:nsid w:val="7A3400AB"/>
    <w:multiLevelType w:val="hybridMultilevel"/>
    <w:tmpl w:val="7B46B3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3"/>
  </w:num>
  <w:num w:numId="5">
    <w:abstractNumId w:val="4"/>
  </w:num>
  <w:num w:numId="6">
    <w:abstractNumId w:val="14"/>
  </w:num>
  <w:num w:numId="7">
    <w:abstractNumId w:val="10"/>
  </w:num>
  <w:num w:numId="8">
    <w:abstractNumId w:val="1"/>
  </w:num>
  <w:num w:numId="9">
    <w:abstractNumId w:val="8"/>
  </w:num>
  <w:num w:numId="10">
    <w:abstractNumId w:val="7"/>
  </w:num>
  <w:num w:numId="11">
    <w:abstractNumId w:val="9"/>
  </w:num>
  <w:num w:numId="12">
    <w:abstractNumId w:val="2"/>
  </w:num>
  <w:num w:numId="13">
    <w:abstractNumId w:val="6"/>
  </w:num>
  <w:num w:numId="14">
    <w:abstractNumId w:val="11"/>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7DD"/>
    <w:rsid w:val="00002A92"/>
    <w:rsid w:val="00002F69"/>
    <w:rsid w:val="000034B2"/>
    <w:rsid w:val="0000407C"/>
    <w:rsid w:val="0000488D"/>
    <w:rsid w:val="00004C8E"/>
    <w:rsid w:val="00005227"/>
    <w:rsid w:val="00005F67"/>
    <w:rsid w:val="000060F7"/>
    <w:rsid w:val="00006719"/>
    <w:rsid w:val="00006962"/>
    <w:rsid w:val="00006C1F"/>
    <w:rsid w:val="00006EC6"/>
    <w:rsid w:val="00006FB6"/>
    <w:rsid w:val="00007653"/>
    <w:rsid w:val="00007939"/>
    <w:rsid w:val="0001019D"/>
    <w:rsid w:val="00012701"/>
    <w:rsid w:val="0001325A"/>
    <w:rsid w:val="00014257"/>
    <w:rsid w:val="00014410"/>
    <w:rsid w:val="00014AAF"/>
    <w:rsid w:val="0001529C"/>
    <w:rsid w:val="00015ACD"/>
    <w:rsid w:val="00017946"/>
    <w:rsid w:val="00020CD7"/>
    <w:rsid w:val="00021309"/>
    <w:rsid w:val="00021352"/>
    <w:rsid w:val="00021E72"/>
    <w:rsid w:val="00021F23"/>
    <w:rsid w:val="000227C5"/>
    <w:rsid w:val="00022BDB"/>
    <w:rsid w:val="00023B60"/>
    <w:rsid w:val="00026788"/>
    <w:rsid w:val="00026A7F"/>
    <w:rsid w:val="00026DE1"/>
    <w:rsid w:val="00027556"/>
    <w:rsid w:val="0003063F"/>
    <w:rsid w:val="00031764"/>
    <w:rsid w:val="0003209A"/>
    <w:rsid w:val="0003219D"/>
    <w:rsid w:val="00034DFC"/>
    <w:rsid w:val="00034EF7"/>
    <w:rsid w:val="00035C3A"/>
    <w:rsid w:val="000362E2"/>
    <w:rsid w:val="000400E5"/>
    <w:rsid w:val="00040BA1"/>
    <w:rsid w:val="000410F3"/>
    <w:rsid w:val="00041637"/>
    <w:rsid w:val="00041E65"/>
    <w:rsid w:val="00043625"/>
    <w:rsid w:val="00043E48"/>
    <w:rsid w:val="0004542C"/>
    <w:rsid w:val="00045FAD"/>
    <w:rsid w:val="0004632D"/>
    <w:rsid w:val="000464E3"/>
    <w:rsid w:val="00047F52"/>
    <w:rsid w:val="000505B5"/>
    <w:rsid w:val="00051A98"/>
    <w:rsid w:val="00051D0D"/>
    <w:rsid w:val="00052188"/>
    <w:rsid w:val="00052962"/>
    <w:rsid w:val="00053F95"/>
    <w:rsid w:val="0005430B"/>
    <w:rsid w:val="00055244"/>
    <w:rsid w:val="00055F4C"/>
    <w:rsid w:val="00056777"/>
    <w:rsid w:val="00056882"/>
    <w:rsid w:val="000574C7"/>
    <w:rsid w:val="00057D6D"/>
    <w:rsid w:val="000603E4"/>
    <w:rsid w:val="0006170F"/>
    <w:rsid w:val="000619DD"/>
    <w:rsid w:val="0006235A"/>
    <w:rsid w:val="000644DD"/>
    <w:rsid w:val="00064E7F"/>
    <w:rsid w:val="00065079"/>
    <w:rsid w:val="00065768"/>
    <w:rsid w:val="0006584C"/>
    <w:rsid w:val="00065C8C"/>
    <w:rsid w:val="00067327"/>
    <w:rsid w:val="00067398"/>
    <w:rsid w:val="00067515"/>
    <w:rsid w:val="000676F5"/>
    <w:rsid w:val="0006790D"/>
    <w:rsid w:val="00070312"/>
    <w:rsid w:val="00071D90"/>
    <w:rsid w:val="00072BE1"/>
    <w:rsid w:val="00073D5A"/>
    <w:rsid w:val="00076665"/>
    <w:rsid w:val="0007705F"/>
    <w:rsid w:val="000771D9"/>
    <w:rsid w:val="00082FD4"/>
    <w:rsid w:val="00083427"/>
    <w:rsid w:val="00083ADF"/>
    <w:rsid w:val="00083BA0"/>
    <w:rsid w:val="000901C6"/>
    <w:rsid w:val="000901CB"/>
    <w:rsid w:val="000901D2"/>
    <w:rsid w:val="000905F7"/>
    <w:rsid w:val="00091363"/>
    <w:rsid w:val="0009267D"/>
    <w:rsid w:val="00093B3E"/>
    <w:rsid w:val="00093EEC"/>
    <w:rsid w:val="00094143"/>
    <w:rsid w:val="00094B7B"/>
    <w:rsid w:val="000950CF"/>
    <w:rsid w:val="00096979"/>
    <w:rsid w:val="0009766E"/>
    <w:rsid w:val="00097DF8"/>
    <w:rsid w:val="000A085A"/>
    <w:rsid w:val="000A09BB"/>
    <w:rsid w:val="000A13CA"/>
    <w:rsid w:val="000A17AC"/>
    <w:rsid w:val="000A19CE"/>
    <w:rsid w:val="000A1CA7"/>
    <w:rsid w:val="000A28AE"/>
    <w:rsid w:val="000A2CA2"/>
    <w:rsid w:val="000A32F6"/>
    <w:rsid w:val="000A3E6C"/>
    <w:rsid w:val="000A43E3"/>
    <w:rsid w:val="000A6E6B"/>
    <w:rsid w:val="000A7100"/>
    <w:rsid w:val="000A72EA"/>
    <w:rsid w:val="000A7C21"/>
    <w:rsid w:val="000B0E41"/>
    <w:rsid w:val="000B17A8"/>
    <w:rsid w:val="000B18D3"/>
    <w:rsid w:val="000B1E8D"/>
    <w:rsid w:val="000B1ED2"/>
    <w:rsid w:val="000B20E4"/>
    <w:rsid w:val="000B285D"/>
    <w:rsid w:val="000B2909"/>
    <w:rsid w:val="000B2948"/>
    <w:rsid w:val="000B335E"/>
    <w:rsid w:val="000B3FB6"/>
    <w:rsid w:val="000B44E4"/>
    <w:rsid w:val="000B487C"/>
    <w:rsid w:val="000B48AB"/>
    <w:rsid w:val="000B555F"/>
    <w:rsid w:val="000B56AB"/>
    <w:rsid w:val="000B7DF6"/>
    <w:rsid w:val="000C0745"/>
    <w:rsid w:val="000C092F"/>
    <w:rsid w:val="000C15E7"/>
    <w:rsid w:val="000C210F"/>
    <w:rsid w:val="000C23AB"/>
    <w:rsid w:val="000C243B"/>
    <w:rsid w:val="000C27E2"/>
    <w:rsid w:val="000C3479"/>
    <w:rsid w:val="000C39CF"/>
    <w:rsid w:val="000C3D46"/>
    <w:rsid w:val="000C3F1F"/>
    <w:rsid w:val="000C462F"/>
    <w:rsid w:val="000C6492"/>
    <w:rsid w:val="000C68AF"/>
    <w:rsid w:val="000C6993"/>
    <w:rsid w:val="000C756C"/>
    <w:rsid w:val="000C78B0"/>
    <w:rsid w:val="000C7942"/>
    <w:rsid w:val="000D1134"/>
    <w:rsid w:val="000D19EE"/>
    <w:rsid w:val="000D1A32"/>
    <w:rsid w:val="000D22E2"/>
    <w:rsid w:val="000D2317"/>
    <w:rsid w:val="000D28D8"/>
    <w:rsid w:val="000D36E0"/>
    <w:rsid w:val="000D38FC"/>
    <w:rsid w:val="000D4909"/>
    <w:rsid w:val="000D5A91"/>
    <w:rsid w:val="000D5E1E"/>
    <w:rsid w:val="000D7C76"/>
    <w:rsid w:val="000E0B73"/>
    <w:rsid w:val="000E0C2B"/>
    <w:rsid w:val="000E105F"/>
    <w:rsid w:val="000E2B6D"/>
    <w:rsid w:val="000E2F5F"/>
    <w:rsid w:val="000E377B"/>
    <w:rsid w:val="000E3E36"/>
    <w:rsid w:val="000E540C"/>
    <w:rsid w:val="000E5A8C"/>
    <w:rsid w:val="000E6048"/>
    <w:rsid w:val="000E7327"/>
    <w:rsid w:val="000E7A1B"/>
    <w:rsid w:val="000E7A42"/>
    <w:rsid w:val="000E7AF9"/>
    <w:rsid w:val="000E7EEA"/>
    <w:rsid w:val="000F03AE"/>
    <w:rsid w:val="000F0B69"/>
    <w:rsid w:val="000F1743"/>
    <w:rsid w:val="000F185C"/>
    <w:rsid w:val="000F209C"/>
    <w:rsid w:val="000F44C0"/>
    <w:rsid w:val="000F46B9"/>
    <w:rsid w:val="000F4CA0"/>
    <w:rsid w:val="000F51FE"/>
    <w:rsid w:val="000F657D"/>
    <w:rsid w:val="000F65C0"/>
    <w:rsid w:val="001011FA"/>
    <w:rsid w:val="00101378"/>
    <w:rsid w:val="00101857"/>
    <w:rsid w:val="00101A65"/>
    <w:rsid w:val="001024C6"/>
    <w:rsid w:val="00102AFF"/>
    <w:rsid w:val="00102F65"/>
    <w:rsid w:val="00103265"/>
    <w:rsid w:val="00105562"/>
    <w:rsid w:val="00105E29"/>
    <w:rsid w:val="00105F6F"/>
    <w:rsid w:val="001077FE"/>
    <w:rsid w:val="00107B53"/>
    <w:rsid w:val="00110311"/>
    <w:rsid w:val="001116BC"/>
    <w:rsid w:val="00111B8A"/>
    <w:rsid w:val="00111B9B"/>
    <w:rsid w:val="00111BEE"/>
    <w:rsid w:val="001125BB"/>
    <w:rsid w:val="0011287B"/>
    <w:rsid w:val="00112B9D"/>
    <w:rsid w:val="0011301F"/>
    <w:rsid w:val="0011341F"/>
    <w:rsid w:val="00113797"/>
    <w:rsid w:val="001137FB"/>
    <w:rsid w:val="001137FD"/>
    <w:rsid w:val="00113C70"/>
    <w:rsid w:val="00113D3D"/>
    <w:rsid w:val="00113DAF"/>
    <w:rsid w:val="00113E70"/>
    <w:rsid w:val="00115361"/>
    <w:rsid w:val="001153BF"/>
    <w:rsid w:val="001156E0"/>
    <w:rsid w:val="00115883"/>
    <w:rsid w:val="00115C45"/>
    <w:rsid w:val="001178DE"/>
    <w:rsid w:val="00117BE5"/>
    <w:rsid w:val="00121C6C"/>
    <w:rsid w:val="00122CA6"/>
    <w:rsid w:val="001230D3"/>
    <w:rsid w:val="00123E2F"/>
    <w:rsid w:val="001241BE"/>
    <w:rsid w:val="00124D1B"/>
    <w:rsid w:val="00124FF6"/>
    <w:rsid w:val="00125398"/>
    <w:rsid w:val="0012542F"/>
    <w:rsid w:val="001264C9"/>
    <w:rsid w:val="001264D7"/>
    <w:rsid w:val="00126962"/>
    <w:rsid w:val="00127271"/>
    <w:rsid w:val="001274E1"/>
    <w:rsid w:val="00127590"/>
    <w:rsid w:val="00127686"/>
    <w:rsid w:val="0012779B"/>
    <w:rsid w:val="00127A06"/>
    <w:rsid w:val="00127D85"/>
    <w:rsid w:val="0013025F"/>
    <w:rsid w:val="00130304"/>
    <w:rsid w:val="00130556"/>
    <w:rsid w:val="0013121F"/>
    <w:rsid w:val="00132E04"/>
    <w:rsid w:val="0013343C"/>
    <w:rsid w:val="00136119"/>
    <w:rsid w:val="001403C1"/>
    <w:rsid w:val="00140F82"/>
    <w:rsid w:val="00141968"/>
    <w:rsid w:val="00141F6A"/>
    <w:rsid w:val="00142DBB"/>
    <w:rsid w:val="0014348A"/>
    <w:rsid w:val="001438AA"/>
    <w:rsid w:val="00143E86"/>
    <w:rsid w:val="00145015"/>
    <w:rsid w:val="00145D00"/>
    <w:rsid w:val="0014645E"/>
    <w:rsid w:val="001465C1"/>
    <w:rsid w:val="001469E9"/>
    <w:rsid w:val="00146F26"/>
    <w:rsid w:val="00147600"/>
    <w:rsid w:val="00147F59"/>
    <w:rsid w:val="00150A9A"/>
    <w:rsid w:val="00150E39"/>
    <w:rsid w:val="001519C7"/>
    <w:rsid w:val="001519C8"/>
    <w:rsid w:val="001521B2"/>
    <w:rsid w:val="0015284E"/>
    <w:rsid w:val="00152F81"/>
    <w:rsid w:val="00156599"/>
    <w:rsid w:val="00156ED2"/>
    <w:rsid w:val="00160D2E"/>
    <w:rsid w:val="00160D7E"/>
    <w:rsid w:val="00161398"/>
    <w:rsid w:val="0016294C"/>
    <w:rsid w:val="00163742"/>
    <w:rsid w:val="00163C90"/>
    <w:rsid w:val="00165F0D"/>
    <w:rsid w:val="001666F2"/>
    <w:rsid w:val="0016752B"/>
    <w:rsid w:val="00167878"/>
    <w:rsid w:val="00170A46"/>
    <w:rsid w:val="00170E29"/>
    <w:rsid w:val="001719F0"/>
    <w:rsid w:val="00172539"/>
    <w:rsid w:val="001733DD"/>
    <w:rsid w:val="00173DBD"/>
    <w:rsid w:val="001746D6"/>
    <w:rsid w:val="00174C08"/>
    <w:rsid w:val="00176BCC"/>
    <w:rsid w:val="001771FE"/>
    <w:rsid w:val="00177738"/>
    <w:rsid w:val="00177B3A"/>
    <w:rsid w:val="00180BC9"/>
    <w:rsid w:val="001812B4"/>
    <w:rsid w:val="0018175F"/>
    <w:rsid w:val="00181B82"/>
    <w:rsid w:val="0018298D"/>
    <w:rsid w:val="00182DF8"/>
    <w:rsid w:val="00182EFE"/>
    <w:rsid w:val="00183174"/>
    <w:rsid w:val="0018331C"/>
    <w:rsid w:val="001842F3"/>
    <w:rsid w:val="00184A77"/>
    <w:rsid w:val="00184DEB"/>
    <w:rsid w:val="00185132"/>
    <w:rsid w:val="0018540E"/>
    <w:rsid w:val="00186609"/>
    <w:rsid w:val="0018744F"/>
    <w:rsid w:val="00191016"/>
    <w:rsid w:val="00191396"/>
    <w:rsid w:val="001916DA"/>
    <w:rsid w:val="00191F30"/>
    <w:rsid w:val="0019279F"/>
    <w:rsid w:val="00193A84"/>
    <w:rsid w:val="00193B16"/>
    <w:rsid w:val="00194367"/>
    <w:rsid w:val="0019446C"/>
    <w:rsid w:val="00194553"/>
    <w:rsid w:val="001951D9"/>
    <w:rsid w:val="00195BA3"/>
    <w:rsid w:val="001970EA"/>
    <w:rsid w:val="00197F7F"/>
    <w:rsid w:val="001A1A8F"/>
    <w:rsid w:val="001A24FD"/>
    <w:rsid w:val="001A2ED4"/>
    <w:rsid w:val="001A38BC"/>
    <w:rsid w:val="001A42C4"/>
    <w:rsid w:val="001A4372"/>
    <w:rsid w:val="001A4932"/>
    <w:rsid w:val="001A4D32"/>
    <w:rsid w:val="001A4F6D"/>
    <w:rsid w:val="001A5163"/>
    <w:rsid w:val="001A52CF"/>
    <w:rsid w:val="001A562E"/>
    <w:rsid w:val="001A566E"/>
    <w:rsid w:val="001A5677"/>
    <w:rsid w:val="001A6A83"/>
    <w:rsid w:val="001B04F3"/>
    <w:rsid w:val="001B083D"/>
    <w:rsid w:val="001B0DAE"/>
    <w:rsid w:val="001B2621"/>
    <w:rsid w:val="001B2B32"/>
    <w:rsid w:val="001B301C"/>
    <w:rsid w:val="001B3E18"/>
    <w:rsid w:val="001B4A6A"/>
    <w:rsid w:val="001B4D7F"/>
    <w:rsid w:val="001B50E0"/>
    <w:rsid w:val="001B609E"/>
    <w:rsid w:val="001B7BDD"/>
    <w:rsid w:val="001C0610"/>
    <w:rsid w:val="001C0ABA"/>
    <w:rsid w:val="001C0BBA"/>
    <w:rsid w:val="001C0EB8"/>
    <w:rsid w:val="001C1B9A"/>
    <w:rsid w:val="001C289C"/>
    <w:rsid w:val="001C3A4C"/>
    <w:rsid w:val="001C4732"/>
    <w:rsid w:val="001C4ABA"/>
    <w:rsid w:val="001C53D9"/>
    <w:rsid w:val="001C56B8"/>
    <w:rsid w:val="001C5CA5"/>
    <w:rsid w:val="001C6324"/>
    <w:rsid w:val="001D03E4"/>
    <w:rsid w:val="001D06DF"/>
    <w:rsid w:val="001D19D2"/>
    <w:rsid w:val="001D1DF0"/>
    <w:rsid w:val="001D28D0"/>
    <w:rsid w:val="001D3A55"/>
    <w:rsid w:val="001D3B4A"/>
    <w:rsid w:val="001D400B"/>
    <w:rsid w:val="001D4142"/>
    <w:rsid w:val="001D47B5"/>
    <w:rsid w:val="001D56F8"/>
    <w:rsid w:val="001D6EF9"/>
    <w:rsid w:val="001D79AB"/>
    <w:rsid w:val="001D7F18"/>
    <w:rsid w:val="001E03FA"/>
    <w:rsid w:val="001E0E62"/>
    <w:rsid w:val="001E12FA"/>
    <w:rsid w:val="001E1439"/>
    <w:rsid w:val="001E17D4"/>
    <w:rsid w:val="001E19F2"/>
    <w:rsid w:val="001E3026"/>
    <w:rsid w:val="001E314C"/>
    <w:rsid w:val="001E3453"/>
    <w:rsid w:val="001E4C1C"/>
    <w:rsid w:val="001E5355"/>
    <w:rsid w:val="001E6AC5"/>
    <w:rsid w:val="001E6C4C"/>
    <w:rsid w:val="001E6F42"/>
    <w:rsid w:val="001E79F3"/>
    <w:rsid w:val="001E7B71"/>
    <w:rsid w:val="001E7F2D"/>
    <w:rsid w:val="001F031B"/>
    <w:rsid w:val="001F07E4"/>
    <w:rsid w:val="001F11D9"/>
    <w:rsid w:val="001F1858"/>
    <w:rsid w:val="001F2695"/>
    <w:rsid w:val="001F28F8"/>
    <w:rsid w:val="001F2EDC"/>
    <w:rsid w:val="001F4CA1"/>
    <w:rsid w:val="001F5CAC"/>
    <w:rsid w:val="001F6ADA"/>
    <w:rsid w:val="001F6E97"/>
    <w:rsid w:val="001F6ECE"/>
    <w:rsid w:val="001F799E"/>
    <w:rsid w:val="002003EA"/>
    <w:rsid w:val="00200C79"/>
    <w:rsid w:val="00201147"/>
    <w:rsid w:val="002013A2"/>
    <w:rsid w:val="00201E84"/>
    <w:rsid w:val="00203082"/>
    <w:rsid w:val="00203ACC"/>
    <w:rsid w:val="00204033"/>
    <w:rsid w:val="002043FC"/>
    <w:rsid w:val="00205661"/>
    <w:rsid w:val="00205681"/>
    <w:rsid w:val="0020581B"/>
    <w:rsid w:val="002064F1"/>
    <w:rsid w:val="00207505"/>
    <w:rsid w:val="00207508"/>
    <w:rsid w:val="0021052B"/>
    <w:rsid w:val="00210882"/>
    <w:rsid w:val="00210F73"/>
    <w:rsid w:val="00211260"/>
    <w:rsid w:val="002113BC"/>
    <w:rsid w:val="00213DF7"/>
    <w:rsid w:val="002143F2"/>
    <w:rsid w:val="00214A5E"/>
    <w:rsid w:val="0021533C"/>
    <w:rsid w:val="00215D71"/>
    <w:rsid w:val="00215FA3"/>
    <w:rsid w:val="002169FB"/>
    <w:rsid w:val="002173B8"/>
    <w:rsid w:val="002176A6"/>
    <w:rsid w:val="00222C2B"/>
    <w:rsid w:val="00223554"/>
    <w:rsid w:val="0022385C"/>
    <w:rsid w:val="0022447D"/>
    <w:rsid w:val="002247F2"/>
    <w:rsid w:val="00224FF0"/>
    <w:rsid w:val="00225B72"/>
    <w:rsid w:val="00226036"/>
    <w:rsid w:val="00226433"/>
    <w:rsid w:val="00226731"/>
    <w:rsid w:val="00226B57"/>
    <w:rsid w:val="0022740D"/>
    <w:rsid w:val="00227ADB"/>
    <w:rsid w:val="00227CEA"/>
    <w:rsid w:val="00227F3E"/>
    <w:rsid w:val="002300D9"/>
    <w:rsid w:val="0023034B"/>
    <w:rsid w:val="00230388"/>
    <w:rsid w:val="002309A6"/>
    <w:rsid w:val="00230ECF"/>
    <w:rsid w:val="00230FA1"/>
    <w:rsid w:val="00231D95"/>
    <w:rsid w:val="00231EAE"/>
    <w:rsid w:val="0023252E"/>
    <w:rsid w:val="00232727"/>
    <w:rsid w:val="00232BAC"/>
    <w:rsid w:val="002331D2"/>
    <w:rsid w:val="002331F9"/>
    <w:rsid w:val="002342A7"/>
    <w:rsid w:val="002343C9"/>
    <w:rsid w:val="0023476A"/>
    <w:rsid w:val="00234D89"/>
    <w:rsid w:val="00234EC6"/>
    <w:rsid w:val="00236CA4"/>
    <w:rsid w:val="00237AC5"/>
    <w:rsid w:val="00240087"/>
    <w:rsid w:val="0024021F"/>
    <w:rsid w:val="0024054D"/>
    <w:rsid w:val="00241213"/>
    <w:rsid w:val="002412B7"/>
    <w:rsid w:val="00241623"/>
    <w:rsid w:val="002423F4"/>
    <w:rsid w:val="00242B0A"/>
    <w:rsid w:val="00242E5F"/>
    <w:rsid w:val="00243B63"/>
    <w:rsid w:val="0024520C"/>
    <w:rsid w:val="0024665D"/>
    <w:rsid w:val="00246F1E"/>
    <w:rsid w:val="00247903"/>
    <w:rsid w:val="00247C1C"/>
    <w:rsid w:val="00250DF9"/>
    <w:rsid w:val="002517F4"/>
    <w:rsid w:val="00252BE9"/>
    <w:rsid w:val="00253622"/>
    <w:rsid w:val="00254B93"/>
    <w:rsid w:val="002552FC"/>
    <w:rsid w:val="002558EE"/>
    <w:rsid w:val="00255E86"/>
    <w:rsid w:val="0025780C"/>
    <w:rsid w:val="0026076E"/>
    <w:rsid w:val="00260AC7"/>
    <w:rsid w:val="0026154A"/>
    <w:rsid w:val="0026159F"/>
    <w:rsid w:val="0026214E"/>
    <w:rsid w:val="00262E79"/>
    <w:rsid w:val="0026350F"/>
    <w:rsid w:val="002639C3"/>
    <w:rsid w:val="00263F26"/>
    <w:rsid w:val="002641BF"/>
    <w:rsid w:val="00265A14"/>
    <w:rsid w:val="00265B8B"/>
    <w:rsid w:val="00266379"/>
    <w:rsid w:val="0026683E"/>
    <w:rsid w:val="00266A05"/>
    <w:rsid w:val="0027067E"/>
    <w:rsid w:val="00270A10"/>
    <w:rsid w:val="0027139A"/>
    <w:rsid w:val="00271FDA"/>
    <w:rsid w:val="00272133"/>
    <w:rsid w:val="0027227C"/>
    <w:rsid w:val="00272756"/>
    <w:rsid w:val="00272AAA"/>
    <w:rsid w:val="00273F84"/>
    <w:rsid w:val="00274045"/>
    <w:rsid w:val="0027454A"/>
    <w:rsid w:val="002746A3"/>
    <w:rsid w:val="002762C3"/>
    <w:rsid w:val="0027760F"/>
    <w:rsid w:val="002812D1"/>
    <w:rsid w:val="002814A5"/>
    <w:rsid w:val="002823B4"/>
    <w:rsid w:val="002825B8"/>
    <w:rsid w:val="00282794"/>
    <w:rsid w:val="00282891"/>
    <w:rsid w:val="00282A38"/>
    <w:rsid w:val="00283E1B"/>
    <w:rsid w:val="00284077"/>
    <w:rsid w:val="00284394"/>
    <w:rsid w:val="00284439"/>
    <w:rsid w:val="002848D4"/>
    <w:rsid w:val="00284F01"/>
    <w:rsid w:val="002853EC"/>
    <w:rsid w:val="00286008"/>
    <w:rsid w:val="0028626E"/>
    <w:rsid w:val="00286E8C"/>
    <w:rsid w:val="00287C4E"/>
    <w:rsid w:val="00287CBC"/>
    <w:rsid w:val="00290050"/>
    <w:rsid w:val="002900EA"/>
    <w:rsid w:val="00290911"/>
    <w:rsid w:val="00290A2E"/>
    <w:rsid w:val="00290E54"/>
    <w:rsid w:val="002911CF"/>
    <w:rsid w:val="00291DBF"/>
    <w:rsid w:val="00293020"/>
    <w:rsid w:val="0029354E"/>
    <w:rsid w:val="0029365B"/>
    <w:rsid w:val="00293EB9"/>
    <w:rsid w:val="00293F9B"/>
    <w:rsid w:val="00294182"/>
    <w:rsid w:val="002942B1"/>
    <w:rsid w:val="0029512B"/>
    <w:rsid w:val="00295342"/>
    <w:rsid w:val="0029560C"/>
    <w:rsid w:val="00295664"/>
    <w:rsid w:val="002957B7"/>
    <w:rsid w:val="00296B24"/>
    <w:rsid w:val="00296DCC"/>
    <w:rsid w:val="00297DFB"/>
    <w:rsid w:val="002A0106"/>
    <w:rsid w:val="002A012D"/>
    <w:rsid w:val="002A08DB"/>
    <w:rsid w:val="002A0999"/>
    <w:rsid w:val="002A1221"/>
    <w:rsid w:val="002A187E"/>
    <w:rsid w:val="002A20B4"/>
    <w:rsid w:val="002A22C4"/>
    <w:rsid w:val="002A32B0"/>
    <w:rsid w:val="002A3599"/>
    <w:rsid w:val="002A3DB8"/>
    <w:rsid w:val="002A4543"/>
    <w:rsid w:val="002A45EA"/>
    <w:rsid w:val="002A4B24"/>
    <w:rsid w:val="002A58F4"/>
    <w:rsid w:val="002A5B2C"/>
    <w:rsid w:val="002A5EB7"/>
    <w:rsid w:val="002A621E"/>
    <w:rsid w:val="002A7BCB"/>
    <w:rsid w:val="002A7E47"/>
    <w:rsid w:val="002B02D8"/>
    <w:rsid w:val="002B0DAA"/>
    <w:rsid w:val="002B15CB"/>
    <w:rsid w:val="002B168A"/>
    <w:rsid w:val="002B19A2"/>
    <w:rsid w:val="002B39C1"/>
    <w:rsid w:val="002B4115"/>
    <w:rsid w:val="002B4EDD"/>
    <w:rsid w:val="002B54BE"/>
    <w:rsid w:val="002B56BB"/>
    <w:rsid w:val="002B5AD4"/>
    <w:rsid w:val="002B676C"/>
    <w:rsid w:val="002B6983"/>
    <w:rsid w:val="002B6ABC"/>
    <w:rsid w:val="002B7430"/>
    <w:rsid w:val="002B7F63"/>
    <w:rsid w:val="002C17F7"/>
    <w:rsid w:val="002C2196"/>
    <w:rsid w:val="002C2A14"/>
    <w:rsid w:val="002C31C2"/>
    <w:rsid w:val="002C33A9"/>
    <w:rsid w:val="002C3F12"/>
    <w:rsid w:val="002C517E"/>
    <w:rsid w:val="002C55D5"/>
    <w:rsid w:val="002C5D14"/>
    <w:rsid w:val="002C623F"/>
    <w:rsid w:val="002C6769"/>
    <w:rsid w:val="002D0216"/>
    <w:rsid w:val="002D0F22"/>
    <w:rsid w:val="002D1354"/>
    <w:rsid w:val="002D13FB"/>
    <w:rsid w:val="002D19EC"/>
    <w:rsid w:val="002D2275"/>
    <w:rsid w:val="002D25B5"/>
    <w:rsid w:val="002D2B27"/>
    <w:rsid w:val="002D2DB7"/>
    <w:rsid w:val="002D319F"/>
    <w:rsid w:val="002D31A9"/>
    <w:rsid w:val="002D3DED"/>
    <w:rsid w:val="002D4400"/>
    <w:rsid w:val="002D49BC"/>
    <w:rsid w:val="002D4D4E"/>
    <w:rsid w:val="002D4D9C"/>
    <w:rsid w:val="002D5237"/>
    <w:rsid w:val="002D6518"/>
    <w:rsid w:val="002D697F"/>
    <w:rsid w:val="002D75D2"/>
    <w:rsid w:val="002D783B"/>
    <w:rsid w:val="002D79F7"/>
    <w:rsid w:val="002E0A0D"/>
    <w:rsid w:val="002E18F3"/>
    <w:rsid w:val="002E1947"/>
    <w:rsid w:val="002E1FBE"/>
    <w:rsid w:val="002E2877"/>
    <w:rsid w:val="002E287C"/>
    <w:rsid w:val="002E2BF5"/>
    <w:rsid w:val="002E3094"/>
    <w:rsid w:val="002E37F8"/>
    <w:rsid w:val="002E49F4"/>
    <w:rsid w:val="002E51D3"/>
    <w:rsid w:val="002E5C20"/>
    <w:rsid w:val="002E68C8"/>
    <w:rsid w:val="002E6B46"/>
    <w:rsid w:val="002E6E4C"/>
    <w:rsid w:val="002E76B2"/>
    <w:rsid w:val="002E798F"/>
    <w:rsid w:val="002E7B25"/>
    <w:rsid w:val="002E7B9A"/>
    <w:rsid w:val="002F06B8"/>
    <w:rsid w:val="002F07E3"/>
    <w:rsid w:val="002F0D29"/>
    <w:rsid w:val="002F15E8"/>
    <w:rsid w:val="002F19E4"/>
    <w:rsid w:val="002F1B2B"/>
    <w:rsid w:val="002F1B34"/>
    <w:rsid w:val="002F2662"/>
    <w:rsid w:val="002F29BA"/>
    <w:rsid w:val="002F2B78"/>
    <w:rsid w:val="002F3CD6"/>
    <w:rsid w:val="002F55D0"/>
    <w:rsid w:val="002F5A63"/>
    <w:rsid w:val="002F5FE1"/>
    <w:rsid w:val="002F7D54"/>
    <w:rsid w:val="003004B0"/>
    <w:rsid w:val="00300B1A"/>
    <w:rsid w:val="00301275"/>
    <w:rsid w:val="0030307F"/>
    <w:rsid w:val="0030349B"/>
    <w:rsid w:val="00303EDE"/>
    <w:rsid w:val="003040B8"/>
    <w:rsid w:val="0030462C"/>
    <w:rsid w:val="00306B11"/>
    <w:rsid w:val="00306DAC"/>
    <w:rsid w:val="003070E9"/>
    <w:rsid w:val="00310057"/>
    <w:rsid w:val="00310666"/>
    <w:rsid w:val="00310671"/>
    <w:rsid w:val="00311129"/>
    <w:rsid w:val="0031119A"/>
    <w:rsid w:val="003122AE"/>
    <w:rsid w:val="00312707"/>
    <w:rsid w:val="00313969"/>
    <w:rsid w:val="00314A08"/>
    <w:rsid w:val="00314A96"/>
    <w:rsid w:val="00314F27"/>
    <w:rsid w:val="00316702"/>
    <w:rsid w:val="003174E2"/>
    <w:rsid w:val="00320DD2"/>
    <w:rsid w:val="00321D7E"/>
    <w:rsid w:val="00321DB7"/>
    <w:rsid w:val="003221ED"/>
    <w:rsid w:val="0032230B"/>
    <w:rsid w:val="0032480D"/>
    <w:rsid w:val="00325DD5"/>
    <w:rsid w:val="00326731"/>
    <w:rsid w:val="003269A8"/>
    <w:rsid w:val="00326E08"/>
    <w:rsid w:val="00326E88"/>
    <w:rsid w:val="00330C00"/>
    <w:rsid w:val="00330D49"/>
    <w:rsid w:val="00331D6C"/>
    <w:rsid w:val="003322B0"/>
    <w:rsid w:val="003323FE"/>
    <w:rsid w:val="00332D51"/>
    <w:rsid w:val="00332E0D"/>
    <w:rsid w:val="0033331F"/>
    <w:rsid w:val="00333D38"/>
    <w:rsid w:val="0033445F"/>
    <w:rsid w:val="003351F3"/>
    <w:rsid w:val="00336350"/>
    <w:rsid w:val="00336BC8"/>
    <w:rsid w:val="00340842"/>
    <w:rsid w:val="00340CC9"/>
    <w:rsid w:val="00340D87"/>
    <w:rsid w:val="0034112A"/>
    <w:rsid w:val="00341E88"/>
    <w:rsid w:val="003422A0"/>
    <w:rsid w:val="003422EB"/>
    <w:rsid w:val="00343BBB"/>
    <w:rsid w:val="00344044"/>
    <w:rsid w:val="00345932"/>
    <w:rsid w:val="00345D88"/>
    <w:rsid w:val="00346F70"/>
    <w:rsid w:val="00347590"/>
    <w:rsid w:val="003479B9"/>
    <w:rsid w:val="00347D74"/>
    <w:rsid w:val="0035069F"/>
    <w:rsid w:val="00351042"/>
    <w:rsid w:val="00351510"/>
    <w:rsid w:val="00354E79"/>
    <w:rsid w:val="00354E9D"/>
    <w:rsid w:val="00355559"/>
    <w:rsid w:val="0035589B"/>
    <w:rsid w:val="00355A55"/>
    <w:rsid w:val="00355AD3"/>
    <w:rsid w:val="00361335"/>
    <w:rsid w:val="00361962"/>
    <w:rsid w:val="003621B0"/>
    <w:rsid w:val="0036298D"/>
    <w:rsid w:val="00363241"/>
    <w:rsid w:val="00363410"/>
    <w:rsid w:val="0036397B"/>
    <w:rsid w:val="003639B0"/>
    <w:rsid w:val="00363DA9"/>
    <w:rsid w:val="00365437"/>
    <w:rsid w:val="00365B5F"/>
    <w:rsid w:val="00365C54"/>
    <w:rsid w:val="00365E5A"/>
    <w:rsid w:val="0036650A"/>
    <w:rsid w:val="00366556"/>
    <w:rsid w:val="0036664D"/>
    <w:rsid w:val="00367CC7"/>
    <w:rsid w:val="003719E9"/>
    <w:rsid w:val="00371CC1"/>
    <w:rsid w:val="003731AA"/>
    <w:rsid w:val="003736D7"/>
    <w:rsid w:val="00373E08"/>
    <w:rsid w:val="00374575"/>
    <w:rsid w:val="003751BE"/>
    <w:rsid w:val="00376A39"/>
    <w:rsid w:val="00380810"/>
    <w:rsid w:val="00382446"/>
    <w:rsid w:val="003824C5"/>
    <w:rsid w:val="00382558"/>
    <w:rsid w:val="00382BB8"/>
    <w:rsid w:val="003837A7"/>
    <w:rsid w:val="0038395D"/>
    <w:rsid w:val="00383FFD"/>
    <w:rsid w:val="00384600"/>
    <w:rsid w:val="003859EE"/>
    <w:rsid w:val="00385EF7"/>
    <w:rsid w:val="003869D8"/>
    <w:rsid w:val="00386BDC"/>
    <w:rsid w:val="00386E9C"/>
    <w:rsid w:val="00387304"/>
    <w:rsid w:val="00387792"/>
    <w:rsid w:val="00387D17"/>
    <w:rsid w:val="00390FA7"/>
    <w:rsid w:val="00393093"/>
    <w:rsid w:val="00393503"/>
    <w:rsid w:val="00393672"/>
    <w:rsid w:val="00394320"/>
    <w:rsid w:val="00395180"/>
    <w:rsid w:val="003971BD"/>
    <w:rsid w:val="003A085F"/>
    <w:rsid w:val="003A200B"/>
    <w:rsid w:val="003A2A77"/>
    <w:rsid w:val="003A2FAF"/>
    <w:rsid w:val="003A3C30"/>
    <w:rsid w:val="003A4F00"/>
    <w:rsid w:val="003A53AC"/>
    <w:rsid w:val="003A5536"/>
    <w:rsid w:val="003A5A4A"/>
    <w:rsid w:val="003A5D8C"/>
    <w:rsid w:val="003A65D2"/>
    <w:rsid w:val="003A6757"/>
    <w:rsid w:val="003A6985"/>
    <w:rsid w:val="003A6C19"/>
    <w:rsid w:val="003B0438"/>
    <w:rsid w:val="003B04C2"/>
    <w:rsid w:val="003B19A8"/>
    <w:rsid w:val="003B1A93"/>
    <w:rsid w:val="003B44EA"/>
    <w:rsid w:val="003B4E60"/>
    <w:rsid w:val="003B5197"/>
    <w:rsid w:val="003B55BC"/>
    <w:rsid w:val="003B59C0"/>
    <w:rsid w:val="003B5EE4"/>
    <w:rsid w:val="003B7019"/>
    <w:rsid w:val="003B75B8"/>
    <w:rsid w:val="003C06A0"/>
    <w:rsid w:val="003C0EE4"/>
    <w:rsid w:val="003C28C6"/>
    <w:rsid w:val="003C3097"/>
    <w:rsid w:val="003C47F5"/>
    <w:rsid w:val="003C4E99"/>
    <w:rsid w:val="003C545D"/>
    <w:rsid w:val="003C621C"/>
    <w:rsid w:val="003C6896"/>
    <w:rsid w:val="003C7701"/>
    <w:rsid w:val="003D0EE4"/>
    <w:rsid w:val="003D11AC"/>
    <w:rsid w:val="003D2100"/>
    <w:rsid w:val="003D2C33"/>
    <w:rsid w:val="003D32F4"/>
    <w:rsid w:val="003D35F7"/>
    <w:rsid w:val="003D3B4D"/>
    <w:rsid w:val="003D3ED8"/>
    <w:rsid w:val="003D40C8"/>
    <w:rsid w:val="003D4BD4"/>
    <w:rsid w:val="003D56B6"/>
    <w:rsid w:val="003D5EC3"/>
    <w:rsid w:val="003D6042"/>
    <w:rsid w:val="003D6150"/>
    <w:rsid w:val="003D6F12"/>
    <w:rsid w:val="003D7B6D"/>
    <w:rsid w:val="003D7C06"/>
    <w:rsid w:val="003E032F"/>
    <w:rsid w:val="003E0AB3"/>
    <w:rsid w:val="003E0D4E"/>
    <w:rsid w:val="003E0F45"/>
    <w:rsid w:val="003E149D"/>
    <w:rsid w:val="003E1653"/>
    <w:rsid w:val="003E2995"/>
    <w:rsid w:val="003E2ACA"/>
    <w:rsid w:val="003E3A84"/>
    <w:rsid w:val="003E40D7"/>
    <w:rsid w:val="003E47E1"/>
    <w:rsid w:val="003E5163"/>
    <w:rsid w:val="003E6348"/>
    <w:rsid w:val="003E6E9D"/>
    <w:rsid w:val="003F0019"/>
    <w:rsid w:val="003F1AA2"/>
    <w:rsid w:val="003F2BF8"/>
    <w:rsid w:val="003F2D5F"/>
    <w:rsid w:val="003F2ED7"/>
    <w:rsid w:val="003F36C1"/>
    <w:rsid w:val="003F370D"/>
    <w:rsid w:val="003F46D4"/>
    <w:rsid w:val="003F6327"/>
    <w:rsid w:val="003F6661"/>
    <w:rsid w:val="003F70C1"/>
    <w:rsid w:val="003F7875"/>
    <w:rsid w:val="003F7FCB"/>
    <w:rsid w:val="00401251"/>
    <w:rsid w:val="00401A5A"/>
    <w:rsid w:val="004027C9"/>
    <w:rsid w:val="00402964"/>
    <w:rsid w:val="00402A21"/>
    <w:rsid w:val="00402C9F"/>
    <w:rsid w:val="00402F9F"/>
    <w:rsid w:val="004039FF"/>
    <w:rsid w:val="00403C4E"/>
    <w:rsid w:val="004040AC"/>
    <w:rsid w:val="00404436"/>
    <w:rsid w:val="00404617"/>
    <w:rsid w:val="00404F9F"/>
    <w:rsid w:val="0040568C"/>
    <w:rsid w:val="00405C5C"/>
    <w:rsid w:val="00406100"/>
    <w:rsid w:val="00407819"/>
    <w:rsid w:val="00410B98"/>
    <w:rsid w:val="00412304"/>
    <w:rsid w:val="004125B3"/>
    <w:rsid w:val="00412B9E"/>
    <w:rsid w:val="00412DF5"/>
    <w:rsid w:val="00413893"/>
    <w:rsid w:val="00414447"/>
    <w:rsid w:val="0041466B"/>
    <w:rsid w:val="00414DC9"/>
    <w:rsid w:val="00415441"/>
    <w:rsid w:val="00415AEC"/>
    <w:rsid w:val="00415D24"/>
    <w:rsid w:val="0041623D"/>
    <w:rsid w:val="00416DBD"/>
    <w:rsid w:val="0041731C"/>
    <w:rsid w:val="00417332"/>
    <w:rsid w:val="00417B23"/>
    <w:rsid w:val="0042101A"/>
    <w:rsid w:val="004212C7"/>
    <w:rsid w:val="0042266E"/>
    <w:rsid w:val="00422C6D"/>
    <w:rsid w:val="0042389D"/>
    <w:rsid w:val="00423AAD"/>
    <w:rsid w:val="00423D36"/>
    <w:rsid w:val="004246CE"/>
    <w:rsid w:val="00424CD6"/>
    <w:rsid w:val="00425256"/>
    <w:rsid w:val="00426BE3"/>
    <w:rsid w:val="00426DDE"/>
    <w:rsid w:val="00427CC5"/>
    <w:rsid w:val="0043042C"/>
    <w:rsid w:val="00430E97"/>
    <w:rsid w:val="00430F17"/>
    <w:rsid w:val="00431E40"/>
    <w:rsid w:val="004323E0"/>
    <w:rsid w:val="00432521"/>
    <w:rsid w:val="0043254B"/>
    <w:rsid w:val="00433AAB"/>
    <w:rsid w:val="00433F12"/>
    <w:rsid w:val="00434691"/>
    <w:rsid w:val="00434E36"/>
    <w:rsid w:val="00434F04"/>
    <w:rsid w:val="00435360"/>
    <w:rsid w:val="004362E1"/>
    <w:rsid w:val="00436348"/>
    <w:rsid w:val="0043681D"/>
    <w:rsid w:val="00436893"/>
    <w:rsid w:val="004368C5"/>
    <w:rsid w:val="00436CF0"/>
    <w:rsid w:val="00437397"/>
    <w:rsid w:val="004417F9"/>
    <w:rsid w:val="00441E83"/>
    <w:rsid w:val="004435D3"/>
    <w:rsid w:val="00443CAB"/>
    <w:rsid w:val="0044465E"/>
    <w:rsid w:val="004446DD"/>
    <w:rsid w:val="00444D7E"/>
    <w:rsid w:val="00445DAA"/>
    <w:rsid w:val="004460FD"/>
    <w:rsid w:val="0044617E"/>
    <w:rsid w:val="00447072"/>
    <w:rsid w:val="00447685"/>
    <w:rsid w:val="00447942"/>
    <w:rsid w:val="004516E6"/>
    <w:rsid w:val="00451CBB"/>
    <w:rsid w:val="00452515"/>
    <w:rsid w:val="0045349E"/>
    <w:rsid w:val="0045423C"/>
    <w:rsid w:val="0045539A"/>
    <w:rsid w:val="004561DD"/>
    <w:rsid w:val="00456862"/>
    <w:rsid w:val="00456CD1"/>
    <w:rsid w:val="00456DB0"/>
    <w:rsid w:val="0045710C"/>
    <w:rsid w:val="00457385"/>
    <w:rsid w:val="004573A5"/>
    <w:rsid w:val="00457B88"/>
    <w:rsid w:val="00457E07"/>
    <w:rsid w:val="004613D8"/>
    <w:rsid w:val="00462113"/>
    <w:rsid w:val="004626A9"/>
    <w:rsid w:val="00463EE9"/>
    <w:rsid w:val="00464587"/>
    <w:rsid w:val="004645FA"/>
    <w:rsid w:val="0046461F"/>
    <w:rsid w:val="00465403"/>
    <w:rsid w:val="004656B0"/>
    <w:rsid w:val="004662FD"/>
    <w:rsid w:val="00466B3E"/>
    <w:rsid w:val="00466E23"/>
    <w:rsid w:val="004670BE"/>
    <w:rsid w:val="00467804"/>
    <w:rsid w:val="00467B85"/>
    <w:rsid w:val="004715BA"/>
    <w:rsid w:val="00473BAC"/>
    <w:rsid w:val="004741A7"/>
    <w:rsid w:val="00474BE2"/>
    <w:rsid w:val="00475319"/>
    <w:rsid w:val="004755B7"/>
    <w:rsid w:val="00475D02"/>
    <w:rsid w:val="004763B8"/>
    <w:rsid w:val="00476DDC"/>
    <w:rsid w:val="00477241"/>
    <w:rsid w:val="00477FD9"/>
    <w:rsid w:val="004805B6"/>
    <w:rsid w:val="004807EA"/>
    <w:rsid w:val="00480AD5"/>
    <w:rsid w:val="00480DCC"/>
    <w:rsid w:val="00481310"/>
    <w:rsid w:val="004815BA"/>
    <w:rsid w:val="00482F0C"/>
    <w:rsid w:val="004831BE"/>
    <w:rsid w:val="00484008"/>
    <w:rsid w:val="0048424C"/>
    <w:rsid w:val="004844B2"/>
    <w:rsid w:val="004852D0"/>
    <w:rsid w:val="00485C8E"/>
    <w:rsid w:val="00485D71"/>
    <w:rsid w:val="004861C4"/>
    <w:rsid w:val="0048622B"/>
    <w:rsid w:val="00486E67"/>
    <w:rsid w:val="0048757C"/>
    <w:rsid w:val="0049142B"/>
    <w:rsid w:val="0049173E"/>
    <w:rsid w:val="00491918"/>
    <w:rsid w:val="00491DB1"/>
    <w:rsid w:val="00491FEB"/>
    <w:rsid w:val="004928EE"/>
    <w:rsid w:val="004939D9"/>
    <w:rsid w:val="00493BF1"/>
    <w:rsid w:val="00493FA0"/>
    <w:rsid w:val="00494050"/>
    <w:rsid w:val="00494263"/>
    <w:rsid w:val="00494350"/>
    <w:rsid w:val="00494637"/>
    <w:rsid w:val="004947BF"/>
    <w:rsid w:val="0049484D"/>
    <w:rsid w:val="0049574D"/>
    <w:rsid w:val="004959B8"/>
    <w:rsid w:val="0049653D"/>
    <w:rsid w:val="00496C91"/>
    <w:rsid w:val="00496EAD"/>
    <w:rsid w:val="00497112"/>
    <w:rsid w:val="00497813"/>
    <w:rsid w:val="00497CDC"/>
    <w:rsid w:val="004A0CB7"/>
    <w:rsid w:val="004A1483"/>
    <w:rsid w:val="004A14BC"/>
    <w:rsid w:val="004A1670"/>
    <w:rsid w:val="004A1D76"/>
    <w:rsid w:val="004A1EF1"/>
    <w:rsid w:val="004A2464"/>
    <w:rsid w:val="004A2703"/>
    <w:rsid w:val="004A2975"/>
    <w:rsid w:val="004A2C57"/>
    <w:rsid w:val="004A30AB"/>
    <w:rsid w:val="004A3A23"/>
    <w:rsid w:val="004A3CC9"/>
    <w:rsid w:val="004A405F"/>
    <w:rsid w:val="004A4774"/>
    <w:rsid w:val="004A60CA"/>
    <w:rsid w:val="004A6299"/>
    <w:rsid w:val="004A7547"/>
    <w:rsid w:val="004A78EF"/>
    <w:rsid w:val="004B0352"/>
    <w:rsid w:val="004B12AF"/>
    <w:rsid w:val="004B138B"/>
    <w:rsid w:val="004B5521"/>
    <w:rsid w:val="004B5C42"/>
    <w:rsid w:val="004B77D8"/>
    <w:rsid w:val="004B7B6C"/>
    <w:rsid w:val="004B7D4A"/>
    <w:rsid w:val="004C0037"/>
    <w:rsid w:val="004C0D20"/>
    <w:rsid w:val="004C0F59"/>
    <w:rsid w:val="004C1DA0"/>
    <w:rsid w:val="004C322F"/>
    <w:rsid w:val="004C4219"/>
    <w:rsid w:val="004C4C94"/>
    <w:rsid w:val="004C5B43"/>
    <w:rsid w:val="004C6777"/>
    <w:rsid w:val="004C7218"/>
    <w:rsid w:val="004C7C4C"/>
    <w:rsid w:val="004C7DB3"/>
    <w:rsid w:val="004D0A1B"/>
    <w:rsid w:val="004D0AA3"/>
    <w:rsid w:val="004D0D57"/>
    <w:rsid w:val="004D1EAA"/>
    <w:rsid w:val="004D1ED6"/>
    <w:rsid w:val="004D2B17"/>
    <w:rsid w:val="004D2B47"/>
    <w:rsid w:val="004D3B05"/>
    <w:rsid w:val="004D4A11"/>
    <w:rsid w:val="004D4AB5"/>
    <w:rsid w:val="004D4B39"/>
    <w:rsid w:val="004D604F"/>
    <w:rsid w:val="004D7C50"/>
    <w:rsid w:val="004E065F"/>
    <w:rsid w:val="004E06C2"/>
    <w:rsid w:val="004E120F"/>
    <w:rsid w:val="004E153A"/>
    <w:rsid w:val="004E2246"/>
    <w:rsid w:val="004E2370"/>
    <w:rsid w:val="004E267E"/>
    <w:rsid w:val="004E2BB9"/>
    <w:rsid w:val="004E4AAF"/>
    <w:rsid w:val="004E610F"/>
    <w:rsid w:val="004F016A"/>
    <w:rsid w:val="004F0650"/>
    <w:rsid w:val="004F1609"/>
    <w:rsid w:val="004F188A"/>
    <w:rsid w:val="004F1B33"/>
    <w:rsid w:val="004F242D"/>
    <w:rsid w:val="004F2CC6"/>
    <w:rsid w:val="004F333F"/>
    <w:rsid w:val="004F34A1"/>
    <w:rsid w:val="004F42E2"/>
    <w:rsid w:val="004F44C0"/>
    <w:rsid w:val="004F4D49"/>
    <w:rsid w:val="004F59DB"/>
    <w:rsid w:val="004F5FFD"/>
    <w:rsid w:val="004F613C"/>
    <w:rsid w:val="004F6209"/>
    <w:rsid w:val="004F63E6"/>
    <w:rsid w:val="004F6D55"/>
    <w:rsid w:val="004F737B"/>
    <w:rsid w:val="004F7E52"/>
    <w:rsid w:val="005002F1"/>
    <w:rsid w:val="005012D8"/>
    <w:rsid w:val="00501D7B"/>
    <w:rsid w:val="005023BC"/>
    <w:rsid w:val="005034FA"/>
    <w:rsid w:val="0050402B"/>
    <w:rsid w:val="0050503E"/>
    <w:rsid w:val="0050571E"/>
    <w:rsid w:val="00505DCB"/>
    <w:rsid w:val="005062C2"/>
    <w:rsid w:val="00506850"/>
    <w:rsid w:val="0050689F"/>
    <w:rsid w:val="00506F58"/>
    <w:rsid w:val="00510966"/>
    <w:rsid w:val="00511890"/>
    <w:rsid w:val="00512278"/>
    <w:rsid w:val="00512429"/>
    <w:rsid w:val="00512A27"/>
    <w:rsid w:val="00512D11"/>
    <w:rsid w:val="00513323"/>
    <w:rsid w:val="00513355"/>
    <w:rsid w:val="005137D0"/>
    <w:rsid w:val="00513908"/>
    <w:rsid w:val="00513A45"/>
    <w:rsid w:val="00513EAC"/>
    <w:rsid w:val="0051427C"/>
    <w:rsid w:val="005147EB"/>
    <w:rsid w:val="005148DF"/>
    <w:rsid w:val="00515064"/>
    <w:rsid w:val="00515A81"/>
    <w:rsid w:val="00515AB5"/>
    <w:rsid w:val="00516625"/>
    <w:rsid w:val="00516A3F"/>
    <w:rsid w:val="005170BB"/>
    <w:rsid w:val="00517123"/>
    <w:rsid w:val="005171DB"/>
    <w:rsid w:val="00517AD9"/>
    <w:rsid w:val="00517BF2"/>
    <w:rsid w:val="0052155F"/>
    <w:rsid w:val="00521DAD"/>
    <w:rsid w:val="0052307E"/>
    <w:rsid w:val="0052342D"/>
    <w:rsid w:val="005236D9"/>
    <w:rsid w:val="00524607"/>
    <w:rsid w:val="00524BB3"/>
    <w:rsid w:val="005250FE"/>
    <w:rsid w:val="00525B1B"/>
    <w:rsid w:val="00525BA5"/>
    <w:rsid w:val="00526116"/>
    <w:rsid w:val="00526A0E"/>
    <w:rsid w:val="00527600"/>
    <w:rsid w:val="00530258"/>
    <w:rsid w:val="005316F9"/>
    <w:rsid w:val="00531CC5"/>
    <w:rsid w:val="00531FB3"/>
    <w:rsid w:val="005334A1"/>
    <w:rsid w:val="005334AD"/>
    <w:rsid w:val="0053474E"/>
    <w:rsid w:val="00534C60"/>
    <w:rsid w:val="005357CF"/>
    <w:rsid w:val="00535EE5"/>
    <w:rsid w:val="0053788D"/>
    <w:rsid w:val="00541AD8"/>
    <w:rsid w:val="00542096"/>
    <w:rsid w:val="00542456"/>
    <w:rsid w:val="00542899"/>
    <w:rsid w:val="005430E7"/>
    <w:rsid w:val="005434CA"/>
    <w:rsid w:val="00543B51"/>
    <w:rsid w:val="00543DCA"/>
    <w:rsid w:val="00544556"/>
    <w:rsid w:val="00545D0F"/>
    <w:rsid w:val="00546003"/>
    <w:rsid w:val="005462CE"/>
    <w:rsid w:val="00546586"/>
    <w:rsid w:val="005477F5"/>
    <w:rsid w:val="005508F9"/>
    <w:rsid w:val="00550FBC"/>
    <w:rsid w:val="00551184"/>
    <w:rsid w:val="00551212"/>
    <w:rsid w:val="00551D97"/>
    <w:rsid w:val="0055237D"/>
    <w:rsid w:val="0055308A"/>
    <w:rsid w:val="00553198"/>
    <w:rsid w:val="005531DD"/>
    <w:rsid w:val="00553304"/>
    <w:rsid w:val="005538F9"/>
    <w:rsid w:val="00553C09"/>
    <w:rsid w:val="0055409E"/>
    <w:rsid w:val="0055506F"/>
    <w:rsid w:val="00556DBB"/>
    <w:rsid w:val="005572E0"/>
    <w:rsid w:val="00561D63"/>
    <w:rsid w:val="005625E5"/>
    <w:rsid w:val="005627C8"/>
    <w:rsid w:val="005629EF"/>
    <w:rsid w:val="00562AFF"/>
    <w:rsid w:val="005658E4"/>
    <w:rsid w:val="00567C7D"/>
    <w:rsid w:val="00567CFD"/>
    <w:rsid w:val="005702D6"/>
    <w:rsid w:val="005704B1"/>
    <w:rsid w:val="00570CF9"/>
    <w:rsid w:val="00570D6C"/>
    <w:rsid w:val="005716BE"/>
    <w:rsid w:val="005728E4"/>
    <w:rsid w:val="00572F63"/>
    <w:rsid w:val="00572F8C"/>
    <w:rsid w:val="005731BB"/>
    <w:rsid w:val="005737F9"/>
    <w:rsid w:val="00573E65"/>
    <w:rsid w:val="00573FC8"/>
    <w:rsid w:val="00574514"/>
    <w:rsid w:val="005747D3"/>
    <w:rsid w:val="00575657"/>
    <w:rsid w:val="00577896"/>
    <w:rsid w:val="00577ABC"/>
    <w:rsid w:val="00577DBA"/>
    <w:rsid w:val="00580CFB"/>
    <w:rsid w:val="005810E8"/>
    <w:rsid w:val="00581FB2"/>
    <w:rsid w:val="00583838"/>
    <w:rsid w:val="00583FB1"/>
    <w:rsid w:val="00584C49"/>
    <w:rsid w:val="00584E80"/>
    <w:rsid w:val="00587D0F"/>
    <w:rsid w:val="005903FC"/>
    <w:rsid w:val="005905B2"/>
    <w:rsid w:val="00591165"/>
    <w:rsid w:val="00592FF4"/>
    <w:rsid w:val="005932E9"/>
    <w:rsid w:val="0059338D"/>
    <w:rsid w:val="005939A5"/>
    <w:rsid w:val="005940FC"/>
    <w:rsid w:val="0059623D"/>
    <w:rsid w:val="00596C4A"/>
    <w:rsid w:val="00597838"/>
    <w:rsid w:val="005A01AE"/>
    <w:rsid w:val="005A05D6"/>
    <w:rsid w:val="005A0C5C"/>
    <w:rsid w:val="005A162C"/>
    <w:rsid w:val="005A1D99"/>
    <w:rsid w:val="005A2CB5"/>
    <w:rsid w:val="005A2D8E"/>
    <w:rsid w:val="005A30D6"/>
    <w:rsid w:val="005A3238"/>
    <w:rsid w:val="005A35B1"/>
    <w:rsid w:val="005A3D2F"/>
    <w:rsid w:val="005A5A3C"/>
    <w:rsid w:val="005A5F8D"/>
    <w:rsid w:val="005A60C6"/>
    <w:rsid w:val="005A6722"/>
    <w:rsid w:val="005A6768"/>
    <w:rsid w:val="005A6EBC"/>
    <w:rsid w:val="005A78D2"/>
    <w:rsid w:val="005B0458"/>
    <w:rsid w:val="005B1BC4"/>
    <w:rsid w:val="005B21AC"/>
    <w:rsid w:val="005B2696"/>
    <w:rsid w:val="005B35C8"/>
    <w:rsid w:val="005B3A47"/>
    <w:rsid w:val="005B598C"/>
    <w:rsid w:val="005B59BC"/>
    <w:rsid w:val="005B59C4"/>
    <w:rsid w:val="005B6D5B"/>
    <w:rsid w:val="005B7158"/>
    <w:rsid w:val="005B773E"/>
    <w:rsid w:val="005B7DF8"/>
    <w:rsid w:val="005C00ED"/>
    <w:rsid w:val="005C08C6"/>
    <w:rsid w:val="005C0D26"/>
    <w:rsid w:val="005C18BB"/>
    <w:rsid w:val="005C218C"/>
    <w:rsid w:val="005C23A1"/>
    <w:rsid w:val="005C291A"/>
    <w:rsid w:val="005C596A"/>
    <w:rsid w:val="005C5BF3"/>
    <w:rsid w:val="005C640B"/>
    <w:rsid w:val="005C7780"/>
    <w:rsid w:val="005D0350"/>
    <w:rsid w:val="005D07D3"/>
    <w:rsid w:val="005D152F"/>
    <w:rsid w:val="005D2370"/>
    <w:rsid w:val="005D2409"/>
    <w:rsid w:val="005D2709"/>
    <w:rsid w:val="005D2CDC"/>
    <w:rsid w:val="005D5049"/>
    <w:rsid w:val="005D6062"/>
    <w:rsid w:val="005D685A"/>
    <w:rsid w:val="005D68D4"/>
    <w:rsid w:val="005E0227"/>
    <w:rsid w:val="005E18C5"/>
    <w:rsid w:val="005E281B"/>
    <w:rsid w:val="005E2906"/>
    <w:rsid w:val="005E4468"/>
    <w:rsid w:val="005E4EA3"/>
    <w:rsid w:val="005E6FC3"/>
    <w:rsid w:val="005E739B"/>
    <w:rsid w:val="005F0165"/>
    <w:rsid w:val="005F12D2"/>
    <w:rsid w:val="005F1602"/>
    <w:rsid w:val="005F1625"/>
    <w:rsid w:val="005F16F0"/>
    <w:rsid w:val="005F2157"/>
    <w:rsid w:val="005F2A0F"/>
    <w:rsid w:val="005F2D00"/>
    <w:rsid w:val="005F3C29"/>
    <w:rsid w:val="005F3C9C"/>
    <w:rsid w:val="005F51BD"/>
    <w:rsid w:val="005F5358"/>
    <w:rsid w:val="005F614F"/>
    <w:rsid w:val="005F6E0A"/>
    <w:rsid w:val="00600311"/>
    <w:rsid w:val="00600340"/>
    <w:rsid w:val="00602C89"/>
    <w:rsid w:val="00603E84"/>
    <w:rsid w:val="00604C57"/>
    <w:rsid w:val="00605AEB"/>
    <w:rsid w:val="0060672A"/>
    <w:rsid w:val="00606745"/>
    <w:rsid w:val="006067FE"/>
    <w:rsid w:val="0061074D"/>
    <w:rsid w:val="00610880"/>
    <w:rsid w:val="006112E5"/>
    <w:rsid w:val="00611F2C"/>
    <w:rsid w:val="00612836"/>
    <w:rsid w:val="0061390B"/>
    <w:rsid w:val="00614454"/>
    <w:rsid w:val="00614ADA"/>
    <w:rsid w:val="00615D33"/>
    <w:rsid w:val="00617705"/>
    <w:rsid w:val="00621D29"/>
    <w:rsid w:val="006224D8"/>
    <w:rsid w:val="00622A2D"/>
    <w:rsid w:val="00622A3A"/>
    <w:rsid w:val="00622C55"/>
    <w:rsid w:val="006232BB"/>
    <w:rsid w:val="00623819"/>
    <w:rsid w:val="00624857"/>
    <w:rsid w:val="006259A5"/>
    <w:rsid w:val="00625CFC"/>
    <w:rsid w:val="00625EB7"/>
    <w:rsid w:val="00626FA7"/>
    <w:rsid w:val="00627463"/>
    <w:rsid w:val="00627A8E"/>
    <w:rsid w:val="00630128"/>
    <w:rsid w:val="00630301"/>
    <w:rsid w:val="006305C7"/>
    <w:rsid w:val="006308D3"/>
    <w:rsid w:val="00630AD6"/>
    <w:rsid w:val="00630F46"/>
    <w:rsid w:val="0063155B"/>
    <w:rsid w:val="006318FB"/>
    <w:rsid w:val="006324F2"/>
    <w:rsid w:val="00632CD9"/>
    <w:rsid w:val="00633761"/>
    <w:rsid w:val="00634EA1"/>
    <w:rsid w:val="006359F4"/>
    <w:rsid w:val="00635AE7"/>
    <w:rsid w:val="006362FC"/>
    <w:rsid w:val="00636495"/>
    <w:rsid w:val="00636743"/>
    <w:rsid w:val="00636833"/>
    <w:rsid w:val="00640106"/>
    <w:rsid w:val="00641479"/>
    <w:rsid w:val="00641A82"/>
    <w:rsid w:val="00641E8A"/>
    <w:rsid w:val="00643EC4"/>
    <w:rsid w:val="0064458D"/>
    <w:rsid w:val="00644877"/>
    <w:rsid w:val="006453CF"/>
    <w:rsid w:val="00646178"/>
    <w:rsid w:val="00646418"/>
    <w:rsid w:val="00646FBF"/>
    <w:rsid w:val="006470C5"/>
    <w:rsid w:val="00647399"/>
    <w:rsid w:val="00647902"/>
    <w:rsid w:val="00650119"/>
    <w:rsid w:val="0065127A"/>
    <w:rsid w:val="00652496"/>
    <w:rsid w:val="006526FA"/>
    <w:rsid w:val="00653394"/>
    <w:rsid w:val="00654DC3"/>
    <w:rsid w:val="006557D7"/>
    <w:rsid w:val="00655B83"/>
    <w:rsid w:val="00655C3C"/>
    <w:rsid w:val="00656407"/>
    <w:rsid w:val="0065704C"/>
    <w:rsid w:val="006572B6"/>
    <w:rsid w:val="006601CE"/>
    <w:rsid w:val="00660825"/>
    <w:rsid w:val="00661454"/>
    <w:rsid w:val="006617FE"/>
    <w:rsid w:val="00661DDA"/>
    <w:rsid w:val="006621C9"/>
    <w:rsid w:val="00662268"/>
    <w:rsid w:val="00662CAB"/>
    <w:rsid w:val="006634A7"/>
    <w:rsid w:val="00665A4B"/>
    <w:rsid w:val="00665CEC"/>
    <w:rsid w:val="00666210"/>
    <w:rsid w:val="0066663A"/>
    <w:rsid w:val="00666855"/>
    <w:rsid w:val="006679F2"/>
    <w:rsid w:val="00667D22"/>
    <w:rsid w:val="0067059F"/>
    <w:rsid w:val="0067062C"/>
    <w:rsid w:val="006707A3"/>
    <w:rsid w:val="0067106F"/>
    <w:rsid w:val="00671DBD"/>
    <w:rsid w:val="006730AC"/>
    <w:rsid w:val="006749F0"/>
    <w:rsid w:val="00674EEC"/>
    <w:rsid w:val="00675151"/>
    <w:rsid w:val="00676722"/>
    <w:rsid w:val="0067704A"/>
    <w:rsid w:val="00677494"/>
    <w:rsid w:val="00677A19"/>
    <w:rsid w:val="00677ECB"/>
    <w:rsid w:val="006813DD"/>
    <w:rsid w:val="006816F2"/>
    <w:rsid w:val="006819F9"/>
    <w:rsid w:val="00681E91"/>
    <w:rsid w:val="00682584"/>
    <w:rsid w:val="00684FF2"/>
    <w:rsid w:val="006856EB"/>
    <w:rsid w:val="00685D19"/>
    <w:rsid w:val="00686869"/>
    <w:rsid w:val="0068686D"/>
    <w:rsid w:val="0068698D"/>
    <w:rsid w:val="0068772A"/>
    <w:rsid w:val="00687A0B"/>
    <w:rsid w:val="006900DD"/>
    <w:rsid w:val="00690F03"/>
    <w:rsid w:val="00690F50"/>
    <w:rsid w:val="00692B31"/>
    <w:rsid w:val="0069341C"/>
    <w:rsid w:val="00693487"/>
    <w:rsid w:val="00694776"/>
    <w:rsid w:val="00694ABC"/>
    <w:rsid w:val="00695177"/>
    <w:rsid w:val="006952F5"/>
    <w:rsid w:val="00697719"/>
    <w:rsid w:val="006A056C"/>
    <w:rsid w:val="006A08D2"/>
    <w:rsid w:val="006A1BFB"/>
    <w:rsid w:val="006A1D39"/>
    <w:rsid w:val="006A218F"/>
    <w:rsid w:val="006A2FE6"/>
    <w:rsid w:val="006A35B2"/>
    <w:rsid w:val="006A378B"/>
    <w:rsid w:val="006A421E"/>
    <w:rsid w:val="006A674C"/>
    <w:rsid w:val="006A6AAA"/>
    <w:rsid w:val="006A7683"/>
    <w:rsid w:val="006A76BC"/>
    <w:rsid w:val="006B017B"/>
    <w:rsid w:val="006B02AB"/>
    <w:rsid w:val="006B069A"/>
    <w:rsid w:val="006B0778"/>
    <w:rsid w:val="006B13FC"/>
    <w:rsid w:val="006B15CE"/>
    <w:rsid w:val="006B1ABF"/>
    <w:rsid w:val="006B1AD6"/>
    <w:rsid w:val="006B2565"/>
    <w:rsid w:val="006B34BB"/>
    <w:rsid w:val="006B4E1C"/>
    <w:rsid w:val="006B59A0"/>
    <w:rsid w:val="006B5B26"/>
    <w:rsid w:val="006B5CAA"/>
    <w:rsid w:val="006B5D67"/>
    <w:rsid w:val="006B6570"/>
    <w:rsid w:val="006C0CE0"/>
    <w:rsid w:val="006C139D"/>
    <w:rsid w:val="006C1647"/>
    <w:rsid w:val="006C1784"/>
    <w:rsid w:val="006C2072"/>
    <w:rsid w:val="006C2ABA"/>
    <w:rsid w:val="006C34B9"/>
    <w:rsid w:val="006C3DC0"/>
    <w:rsid w:val="006C43BA"/>
    <w:rsid w:val="006C454F"/>
    <w:rsid w:val="006C48BB"/>
    <w:rsid w:val="006C5021"/>
    <w:rsid w:val="006C5C73"/>
    <w:rsid w:val="006C6499"/>
    <w:rsid w:val="006C7ECB"/>
    <w:rsid w:val="006D05FA"/>
    <w:rsid w:val="006D0CE1"/>
    <w:rsid w:val="006D117A"/>
    <w:rsid w:val="006D174B"/>
    <w:rsid w:val="006D1AE6"/>
    <w:rsid w:val="006D3B57"/>
    <w:rsid w:val="006D4CC9"/>
    <w:rsid w:val="006D54D9"/>
    <w:rsid w:val="006D5524"/>
    <w:rsid w:val="006D5FFD"/>
    <w:rsid w:val="006D61F7"/>
    <w:rsid w:val="006D63DC"/>
    <w:rsid w:val="006D65E8"/>
    <w:rsid w:val="006D7BAE"/>
    <w:rsid w:val="006E1207"/>
    <w:rsid w:val="006E13AB"/>
    <w:rsid w:val="006E1DCF"/>
    <w:rsid w:val="006E20DE"/>
    <w:rsid w:val="006E211F"/>
    <w:rsid w:val="006E2516"/>
    <w:rsid w:val="006E2847"/>
    <w:rsid w:val="006E3054"/>
    <w:rsid w:val="006E3D15"/>
    <w:rsid w:val="006E3DFE"/>
    <w:rsid w:val="006E3FCB"/>
    <w:rsid w:val="006E5789"/>
    <w:rsid w:val="006E57D2"/>
    <w:rsid w:val="006E5B03"/>
    <w:rsid w:val="006E61B7"/>
    <w:rsid w:val="006E6632"/>
    <w:rsid w:val="006E6C65"/>
    <w:rsid w:val="006E6E88"/>
    <w:rsid w:val="006E6F89"/>
    <w:rsid w:val="006E749A"/>
    <w:rsid w:val="006F0E5A"/>
    <w:rsid w:val="006F1862"/>
    <w:rsid w:val="006F42AC"/>
    <w:rsid w:val="006F543F"/>
    <w:rsid w:val="006F7AB5"/>
    <w:rsid w:val="006F7F9E"/>
    <w:rsid w:val="007012E9"/>
    <w:rsid w:val="00701E2D"/>
    <w:rsid w:val="00702985"/>
    <w:rsid w:val="007029E2"/>
    <w:rsid w:val="00702D17"/>
    <w:rsid w:val="00703229"/>
    <w:rsid w:val="00703704"/>
    <w:rsid w:val="00703FBD"/>
    <w:rsid w:val="00705125"/>
    <w:rsid w:val="0070532D"/>
    <w:rsid w:val="00705DF3"/>
    <w:rsid w:val="00705EC9"/>
    <w:rsid w:val="007067C8"/>
    <w:rsid w:val="00706801"/>
    <w:rsid w:val="00706985"/>
    <w:rsid w:val="007076C2"/>
    <w:rsid w:val="0071062D"/>
    <w:rsid w:val="007110C5"/>
    <w:rsid w:val="007115B5"/>
    <w:rsid w:val="007120A6"/>
    <w:rsid w:val="00712239"/>
    <w:rsid w:val="00712914"/>
    <w:rsid w:val="0071465F"/>
    <w:rsid w:val="00714FC1"/>
    <w:rsid w:val="0071565C"/>
    <w:rsid w:val="0071588C"/>
    <w:rsid w:val="007158E3"/>
    <w:rsid w:val="00716AAE"/>
    <w:rsid w:val="00717697"/>
    <w:rsid w:val="007176C6"/>
    <w:rsid w:val="0072070E"/>
    <w:rsid w:val="00721169"/>
    <w:rsid w:val="00721215"/>
    <w:rsid w:val="00721507"/>
    <w:rsid w:val="007218CC"/>
    <w:rsid w:val="00723201"/>
    <w:rsid w:val="00723326"/>
    <w:rsid w:val="007242D9"/>
    <w:rsid w:val="00724329"/>
    <w:rsid w:val="0072438B"/>
    <w:rsid w:val="0072495B"/>
    <w:rsid w:val="00724A59"/>
    <w:rsid w:val="00725156"/>
    <w:rsid w:val="007253AD"/>
    <w:rsid w:val="007265A3"/>
    <w:rsid w:val="00726A8A"/>
    <w:rsid w:val="00726E98"/>
    <w:rsid w:val="007273AB"/>
    <w:rsid w:val="007273C2"/>
    <w:rsid w:val="00730181"/>
    <w:rsid w:val="00731ECD"/>
    <w:rsid w:val="0073267E"/>
    <w:rsid w:val="00732BCF"/>
    <w:rsid w:val="0073464C"/>
    <w:rsid w:val="00734959"/>
    <w:rsid w:val="00735287"/>
    <w:rsid w:val="0073643D"/>
    <w:rsid w:val="0073680F"/>
    <w:rsid w:val="00736AED"/>
    <w:rsid w:val="00737036"/>
    <w:rsid w:val="007406B9"/>
    <w:rsid w:val="00741662"/>
    <w:rsid w:val="007421E2"/>
    <w:rsid w:val="0074235B"/>
    <w:rsid w:val="00742642"/>
    <w:rsid w:val="00743771"/>
    <w:rsid w:val="0074539F"/>
    <w:rsid w:val="007454BE"/>
    <w:rsid w:val="007458BE"/>
    <w:rsid w:val="007468E6"/>
    <w:rsid w:val="00746BAD"/>
    <w:rsid w:val="00747566"/>
    <w:rsid w:val="007503C2"/>
    <w:rsid w:val="00750904"/>
    <w:rsid w:val="00750A53"/>
    <w:rsid w:val="0075157C"/>
    <w:rsid w:val="00752293"/>
    <w:rsid w:val="00754919"/>
    <w:rsid w:val="00754DC4"/>
    <w:rsid w:val="007554CF"/>
    <w:rsid w:val="007557A9"/>
    <w:rsid w:val="00755B9B"/>
    <w:rsid w:val="00756A41"/>
    <w:rsid w:val="00757204"/>
    <w:rsid w:val="00757F0C"/>
    <w:rsid w:val="0076007F"/>
    <w:rsid w:val="0076089D"/>
    <w:rsid w:val="00761D20"/>
    <w:rsid w:val="00761D63"/>
    <w:rsid w:val="0076222C"/>
    <w:rsid w:val="00762B17"/>
    <w:rsid w:val="00763485"/>
    <w:rsid w:val="0076428F"/>
    <w:rsid w:val="007643FD"/>
    <w:rsid w:val="007645E1"/>
    <w:rsid w:val="00764E20"/>
    <w:rsid w:val="00764E6A"/>
    <w:rsid w:val="00766184"/>
    <w:rsid w:val="00766643"/>
    <w:rsid w:val="0076760C"/>
    <w:rsid w:val="00767793"/>
    <w:rsid w:val="00767E56"/>
    <w:rsid w:val="00772AEA"/>
    <w:rsid w:val="00772FA1"/>
    <w:rsid w:val="0077334D"/>
    <w:rsid w:val="00773F71"/>
    <w:rsid w:val="00774795"/>
    <w:rsid w:val="007749EF"/>
    <w:rsid w:val="00774C32"/>
    <w:rsid w:val="007755D2"/>
    <w:rsid w:val="007758D5"/>
    <w:rsid w:val="00775961"/>
    <w:rsid w:val="00776B42"/>
    <w:rsid w:val="00776C25"/>
    <w:rsid w:val="00776C82"/>
    <w:rsid w:val="00776CE7"/>
    <w:rsid w:val="00777C1C"/>
    <w:rsid w:val="00777D8A"/>
    <w:rsid w:val="00777F26"/>
    <w:rsid w:val="00777F7F"/>
    <w:rsid w:val="007800CF"/>
    <w:rsid w:val="007804CE"/>
    <w:rsid w:val="007807F6"/>
    <w:rsid w:val="00780FEC"/>
    <w:rsid w:val="00781320"/>
    <w:rsid w:val="00781624"/>
    <w:rsid w:val="007823F2"/>
    <w:rsid w:val="00782D2A"/>
    <w:rsid w:val="00783943"/>
    <w:rsid w:val="00783D58"/>
    <w:rsid w:val="00784864"/>
    <w:rsid w:val="00785E18"/>
    <w:rsid w:val="00786028"/>
    <w:rsid w:val="00787029"/>
    <w:rsid w:val="007870D5"/>
    <w:rsid w:val="00787B1F"/>
    <w:rsid w:val="00787C96"/>
    <w:rsid w:val="0079022C"/>
    <w:rsid w:val="00791BD9"/>
    <w:rsid w:val="007924E5"/>
    <w:rsid w:val="007927FE"/>
    <w:rsid w:val="00793476"/>
    <w:rsid w:val="007935F6"/>
    <w:rsid w:val="007939A1"/>
    <w:rsid w:val="00793C9B"/>
    <w:rsid w:val="00793CAB"/>
    <w:rsid w:val="00793ED8"/>
    <w:rsid w:val="00795135"/>
    <w:rsid w:val="007961B4"/>
    <w:rsid w:val="0079737D"/>
    <w:rsid w:val="00797CDA"/>
    <w:rsid w:val="00797D81"/>
    <w:rsid w:val="007A114C"/>
    <w:rsid w:val="007A2463"/>
    <w:rsid w:val="007A2541"/>
    <w:rsid w:val="007A255D"/>
    <w:rsid w:val="007A359D"/>
    <w:rsid w:val="007A36D2"/>
    <w:rsid w:val="007A3F95"/>
    <w:rsid w:val="007A50CD"/>
    <w:rsid w:val="007A57C7"/>
    <w:rsid w:val="007A60A0"/>
    <w:rsid w:val="007A638E"/>
    <w:rsid w:val="007A63D9"/>
    <w:rsid w:val="007A7024"/>
    <w:rsid w:val="007A7A35"/>
    <w:rsid w:val="007A7A4C"/>
    <w:rsid w:val="007A7AC7"/>
    <w:rsid w:val="007B02E2"/>
    <w:rsid w:val="007B0E25"/>
    <w:rsid w:val="007B1185"/>
    <w:rsid w:val="007B17D0"/>
    <w:rsid w:val="007B201B"/>
    <w:rsid w:val="007B2EC8"/>
    <w:rsid w:val="007B3B8B"/>
    <w:rsid w:val="007B3CCC"/>
    <w:rsid w:val="007C02AE"/>
    <w:rsid w:val="007C05D8"/>
    <w:rsid w:val="007C0B99"/>
    <w:rsid w:val="007C0BCE"/>
    <w:rsid w:val="007C2625"/>
    <w:rsid w:val="007C34BC"/>
    <w:rsid w:val="007C3894"/>
    <w:rsid w:val="007C40A4"/>
    <w:rsid w:val="007C5580"/>
    <w:rsid w:val="007C5788"/>
    <w:rsid w:val="007C5B5B"/>
    <w:rsid w:val="007C5C6F"/>
    <w:rsid w:val="007C621D"/>
    <w:rsid w:val="007C6380"/>
    <w:rsid w:val="007C63DB"/>
    <w:rsid w:val="007C69B6"/>
    <w:rsid w:val="007C6E1A"/>
    <w:rsid w:val="007C79C0"/>
    <w:rsid w:val="007D00DF"/>
    <w:rsid w:val="007D0802"/>
    <w:rsid w:val="007D0DD0"/>
    <w:rsid w:val="007D2228"/>
    <w:rsid w:val="007D2A1B"/>
    <w:rsid w:val="007D341F"/>
    <w:rsid w:val="007D35F5"/>
    <w:rsid w:val="007D4408"/>
    <w:rsid w:val="007D4EE8"/>
    <w:rsid w:val="007D5A3F"/>
    <w:rsid w:val="007D5D01"/>
    <w:rsid w:val="007D5D51"/>
    <w:rsid w:val="007D6216"/>
    <w:rsid w:val="007D69AB"/>
    <w:rsid w:val="007D6D96"/>
    <w:rsid w:val="007D6E33"/>
    <w:rsid w:val="007E0400"/>
    <w:rsid w:val="007E12DD"/>
    <w:rsid w:val="007E282B"/>
    <w:rsid w:val="007E4F77"/>
    <w:rsid w:val="007E4F7B"/>
    <w:rsid w:val="007E594D"/>
    <w:rsid w:val="007E5965"/>
    <w:rsid w:val="007E5B82"/>
    <w:rsid w:val="007E7A85"/>
    <w:rsid w:val="007E7BEB"/>
    <w:rsid w:val="007F0025"/>
    <w:rsid w:val="007F05E1"/>
    <w:rsid w:val="007F0BB7"/>
    <w:rsid w:val="007F0D55"/>
    <w:rsid w:val="007F1386"/>
    <w:rsid w:val="007F2AA8"/>
    <w:rsid w:val="007F30B0"/>
    <w:rsid w:val="007F6C5E"/>
    <w:rsid w:val="007F7AF5"/>
    <w:rsid w:val="007F7EDC"/>
    <w:rsid w:val="008001D2"/>
    <w:rsid w:val="0080040F"/>
    <w:rsid w:val="008011ED"/>
    <w:rsid w:val="008011F5"/>
    <w:rsid w:val="008014B5"/>
    <w:rsid w:val="00801D7B"/>
    <w:rsid w:val="00802089"/>
    <w:rsid w:val="00802234"/>
    <w:rsid w:val="0080268D"/>
    <w:rsid w:val="008028E7"/>
    <w:rsid w:val="00802BB6"/>
    <w:rsid w:val="00802FBB"/>
    <w:rsid w:val="00803D02"/>
    <w:rsid w:val="0080484B"/>
    <w:rsid w:val="008049D5"/>
    <w:rsid w:val="00804EC6"/>
    <w:rsid w:val="008110E7"/>
    <w:rsid w:val="00812D02"/>
    <w:rsid w:val="00812D1C"/>
    <w:rsid w:val="00813249"/>
    <w:rsid w:val="00814950"/>
    <w:rsid w:val="00814D13"/>
    <w:rsid w:val="00814D9F"/>
    <w:rsid w:val="008165F5"/>
    <w:rsid w:val="00820C39"/>
    <w:rsid w:val="00820E5A"/>
    <w:rsid w:val="00820F08"/>
    <w:rsid w:val="00821BBD"/>
    <w:rsid w:val="00821D76"/>
    <w:rsid w:val="00822F76"/>
    <w:rsid w:val="0082360E"/>
    <w:rsid w:val="008237D9"/>
    <w:rsid w:val="00824B0A"/>
    <w:rsid w:val="00824C5B"/>
    <w:rsid w:val="00824D15"/>
    <w:rsid w:val="00825048"/>
    <w:rsid w:val="00825587"/>
    <w:rsid w:val="00825BB7"/>
    <w:rsid w:val="00826113"/>
    <w:rsid w:val="008275D4"/>
    <w:rsid w:val="00827926"/>
    <w:rsid w:val="00827ACC"/>
    <w:rsid w:val="00827C26"/>
    <w:rsid w:val="00827EDD"/>
    <w:rsid w:val="008302B9"/>
    <w:rsid w:val="0083057A"/>
    <w:rsid w:val="00831E02"/>
    <w:rsid w:val="008321CB"/>
    <w:rsid w:val="00833156"/>
    <w:rsid w:val="00833305"/>
    <w:rsid w:val="008333CB"/>
    <w:rsid w:val="008333DE"/>
    <w:rsid w:val="00833444"/>
    <w:rsid w:val="00833936"/>
    <w:rsid w:val="008346D6"/>
    <w:rsid w:val="00835799"/>
    <w:rsid w:val="00835EC2"/>
    <w:rsid w:val="00836F15"/>
    <w:rsid w:val="008379A9"/>
    <w:rsid w:val="0084003D"/>
    <w:rsid w:val="00840200"/>
    <w:rsid w:val="0084034D"/>
    <w:rsid w:val="008403D3"/>
    <w:rsid w:val="0084047C"/>
    <w:rsid w:val="00840D54"/>
    <w:rsid w:val="00841460"/>
    <w:rsid w:val="008416D7"/>
    <w:rsid w:val="00842BBA"/>
    <w:rsid w:val="0084366A"/>
    <w:rsid w:val="0084383E"/>
    <w:rsid w:val="00844256"/>
    <w:rsid w:val="00845076"/>
    <w:rsid w:val="008456A3"/>
    <w:rsid w:val="00846E50"/>
    <w:rsid w:val="0084746C"/>
    <w:rsid w:val="00847CDE"/>
    <w:rsid w:val="00847D70"/>
    <w:rsid w:val="00850AE4"/>
    <w:rsid w:val="008518F4"/>
    <w:rsid w:val="0085190B"/>
    <w:rsid w:val="00852C4E"/>
    <w:rsid w:val="0085349B"/>
    <w:rsid w:val="00854EE1"/>
    <w:rsid w:val="008553FF"/>
    <w:rsid w:val="00855A4B"/>
    <w:rsid w:val="00856DBF"/>
    <w:rsid w:val="00856F04"/>
    <w:rsid w:val="008575CD"/>
    <w:rsid w:val="00861007"/>
    <w:rsid w:val="008612A6"/>
    <w:rsid w:val="008616C8"/>
    <w:rsid w:val="00863763"/>
    <w:rsid w:val="008639F3"/>
    <w:rsid w:val="00863C2F"/>
    <w:rsid w:val="00863C79"/>
    <w:rsid w:val="0086456B"/>
    <w:rsid w:val="008648A6"/>
    <w:rsid w:val="008651CF"/>
    <w:rsid w:val="008669BF"/>
    <w:rsid w:val="008672B2"/>
    <w:rsid w:val="0086745F"/>
    <w:rsid w:val="008676CE"/>
    <w:rsid w:val="0087018F"/>
    <w:rsid w:val="00870C8C"/>
    <w:rsid w:val="00870F84"/>
    <w:rsid w:val="0087103F"/>
    <w:rsid w:val="008719B6"/>
    <w:rsid w:val="00873CB9"/>
    <w:rsid w:val="00873E4A"/>
    <w:rsid w:val="008741E6"/>
    <w:rsid w:val="008743F0"/>
    <w:rsid w:val="0087568E"/>
    <w:rsid w:val="00876E82"/>
    <w:rsid w:val="00877A3E"/>
    <w:rsid w:val="0088030C"/>
    <w:rsid w:val="00880C52"/>
    <w:rsid w:val="00880C53"/>
    <w:rsid w:val="00880CD4"/>
    <w:rsid w:val="00881418"/>
    <w:rsid w:val="008817A9"/>
    <w:rsid w:val="008817F4"/>
    <w:rsid w:val="00881F92"/>
    <w:rsid w:val="00882526"/>
    <w:rsid w:val="00882D0A"/>
    <w:rsid w:val="00883337"/>
    <w:rsid w:val="00883DD1"/>
    <w:rsid w:val="00884819"/>
    <w:rsid w:val="008849B4"/>
    <w:rsid w:val="008854EE"/>
    <w:rsid w:val="00885C78"/>
    <w:rsid w:val="00885CE4"/>
    <w:rsid w:val="0088793F"/>
    <w:rsid w:val="008906E6"/>
    <w:rsid w:val="0089115F"/>
    <w:rsid w:val="0089140A"/>
    <w:rsid w:val="0089157B"/>
    <w:rsid w:val="00892678"/>
    <w:rsid w:val="0089268E"/>
    <w:rsid w:val="0089466E"/>
    <w:rsid w:val="008955F0"/>
    <w:rsid w:val="00896D2F"/>
    <w:rsid w:val="00897485"/>
    <w:rsid w:val="008978B6"/>
    <w:rsid w:val="00897A78"/>
    <w:rsid w:val="00897AEF"/>
    <w:rsid w:val="008A0030"/>
    <w:rsid w:val="008A051D"/>
    <w:rsid w:val="008A08AF"/>
    <w:rsid w:val="008A0B28"/>
    <w:rsid w:val="008A1CD7"/>
    <w:rsid w:val="008A249C"/>
    <w:rsid w:val="008A34FB"/>
    <w:rsid w:val="008A3B30"/>
    <w:rsid w:val="008A3D36"/>
    <w:rsid w:val="008A5DE1"/>
    <w:rsid w:val="008A6229"/>
    <w:rsid w:val="008A6EBB"/>
    <w:rsid w:val="008A7882"/>
    <w:rsid w:val="008B03A3"/>
    <w:rsid w:val="008B0CB9"/>
    <w:rsid w:val="008B119A"/>
    <w:rsid w:val="008B259C"/>
    <w:rsid w:val="008B2C2E"/>
    <w:rsid w:val="008B2F75"/>
    <w:rsid w:val="008B3D75"/>
    <w:rsid w:val="008B414B"/>
    <w:rsid w:val="008B49D7"/>
    <w:rsid w:val="008B4CF9"/>
    <w:rsid w:val="008B4D0B"/>
    <w:rsid w:val="008B7253"/>
    <w:rsid w:val="008C0CCF"/>
    <w:rsid w:val="008C1432"/>
    <w:rsid w:val="008C17C3"/>
    <w:rsid w:val="008C2054"/>
    <w:rsid w:val="008C23C4"/>
    <w:rsid w:val="008C23EA"/>
    <w:rsid w:val="008C254D"/>
    <w:rsid w:val="008C272C"/>
    <w:rsid w:val="008C2875"/>
    <w:rsid w:val="008C2A0B"/>
    <w:rsid w:val="008C2B4B"/>
    <w:rsid w:val="008C2C78"/>
    <w:rsid w:val="008C30D1"/>
    <w:rsid w:val="008C4897"/>
    <w:rsid w:val="008C4E93"/>
    <w:rsid w:val="008C681B"/>
    <w:rsid w:val="008C69E1"/>
    <w:rsid w:val="008C6EEA"/>
    <w:rsid w:val="008C7535"/>
    <w:rsid w:val="008C7E05"/>
    <w:rsid w:val="008D03D0"/>
    <w:rsid w:val="008D3A68"/>
    <w:rsid w:val="008D629D"/>
    <w:rsid w:val="008D6691"/>
    <w:rsid w:val="008D6709"/>
    <w:rsid w:val="008D7141"/>
    <w:rsid w:val="008D7B97"/>
    <w:rsid w:val="008D7EAE"/>
    <w:rsid w:val="008E1452"/>
    <w:rsid w:val="008E1507"/>
    <w:rsid w:val="008E2BDA"/>
    <w:rsid w:val="008E3429"/>
    <w:rsid w:val="008E34B2"/>
    <w:rsid w:val="008E3C7F"/>
    <w:rsid w:val="008E5226"/>
    <w:rsid w:val="008E54AB"/>
    <w:rsid w:val="008E573C"/>
    <w:rsid w:val="008E6A83"/>
    <w:rsid w:val="008E7CEA"/>
    <w:rsid w:val="008F0B4F"/>
    <w:rsid w:val="008F0E6F"/>
    <w:rsid w:val="008F13CA"/>
    <w:rsid w:val="008F1B20"/>
    <w:rsid w:val="008F22F7"/>
    <w:rsid w:val="008F23C0"/>
    <w:rsid w:val="008F2422"/>
    <w:rsid w:val="008F3152"/>
    <w:rsid w:val="008F3B62"/>
    <w:rsid w:val="008F4969"/>
    <w:rsid w:val="008F519B"/>
    <w:rsid w:val="008F55CF"/>
    <w:rsid w:val="008F5807"/>
    <w:rsid w:val="008F6046"/>
    <w:rsid w:val="008F7222"/>
    <w:rsid w:val="008F7303"/>
    <w:rsid w:val="008F7659"/>
    <w:rsid w:val="008F7742"/>
    <w:rsid w:val="008F7F69"/>
    <w:rsid w:val="009026A1"/>
    <w:rsid w:val="009026F2"/>
    <w:rsid w:val="00903E08"/>
    <w:rsid w:val="009042E6"/>
    <w:rsid w:val="009043A1"/>
    <w:rsid w:val="009058C0"/>
    <w:rsid w:val="00905DBE"/>
    <w:rsid w:val="00906A18"/>
    <w:rsid w:val="00907A61"/>
    <w:rsid w:val="00907ED1"/>
    <w:rsid w:val="00910602"/>
    <w:rsid w:val="00910691"/>
    <w:rsid w:val="00911717"/>
    <w:rsid w:val="00911E97"/>
    <w:rsid w:val="00911F08"/>
    <w:rsid w:val="00912083"/>
    <w:rsid w:val="00912129"/>
    <w:rsid w:val="0091227E"/>
    <w:rsid w:val="00912574"/>
    <w:rsid w:val="009130DD"/>
    <w:rsid w:val="009148B3"/>
    <w:rsid w:val="00914C90"/>
    <w:rsid w:val="00915735"/>
    <w:rsid w:val="00915B6B"/>
    <w:rsid w:val="00916455"/>
    <w:rsid w:val="0091771E"/>
    <w:rsid w:val="0091771F"/>
    <w:rsid w:val="009205F0"/>
    <w:rsid w:val="00920CF0"/>
    <w:rsid w:val="00921131"/>
    <w:rsid w:val="00921EAA"/>
    <w:rsid w:val="00922E4F"/>
    <w:rsid w:val="00923238"/>
    <w:rsid w:val="00923CD9"/>
    <w:rsid w:val="00925A0A"/>
    <w:rsid w:val="00925CB4"/>
    <w:rsid w:val="00926808"/>
    <w:rsid w:val="00926832"/>
    <w:rsid w:val="00926928"/>
    <w:rsid w:val="0092764E"/>
    <w:rsid w:val="00930E4C"/>
    <w:rsid w:val="009313A8"/>
    <w:rsid w:val="00931DB3"/>
    <w:rsid w:val="00932C5A"/>
    <w:rsid w:val="00932C94"/>
    <w:rsid w:val="00933364"/>
    <w:rsid w:val="009345A3"/>
    <w:rsid w:val="00934D4A"/>
    <w:rsid w:val="00934F57"/>
    <w:rsid w:val="009360F8"/>
    <w:rsid w:val="009362C9"/>
    <w:rsid w:val="00937138"/>
    <w:rsid w:val="00937544"/>
    <w:rsid w:val="009377D5"/>
    <w:rsid w:val="00937B11"/>
    <w:rsid w:val="00937E8A"/>
    <w:rsid w:val="00941257"/>
    <w:rsid w:val="00943EE3"/>
    <w:rsid w:val="00944D3C"/>
    <w:rsid w:val="00944FC6"/>
    <w:rsid w:val="00945443"/>
    <w:rsid w:val="00945E3A"/>
    <w:rsid w:val="00946366"/>
    <w:rsid w:val="009464E8"/>
    <w:rsid w:val="00946A82"/>
    <w:rsid w:val="00947198"/>
    <w:rsid w:val="00947471"/>
    <w:rsid w:val="00950C07"/>
    <w:rsid w:val="00950F88"/>
    <w:rsid w:val="00951228"/>
    <w:rsid w:val="009512E5"/>
    <w:rsid w:val="009512F6"/>
    <w:rsid w:val="009513AD"/>
    <w:rsid w:val="0095142D"/>
    <w:rsid w:val="00952222"/>
    <w:rsid w:val="00953838"/>
    <w:rsid w:val="00953F3E"/>
    <w:rsid w:val="0095414F"/>
    <w:rsid w:val="00954411"/>
    <w:rsid w:val="00954C6B"/>
    <w:rsid w:val="00954E76"/>
    <w:rsid w:val="009560B2"/>
    <w:rsid w:val="009562D9"/>
    <w:rsid w:val="0095632A"/>
    <w:rsid w:val="00956438"/>
    <w:rsid w:val="00956630"/>
    <w:rsid w:val="009567B2"/>
    <w:rsid w:val="009576C2"/>
    <w:rsid w:val="00957901"/>
    <w:rsid w:val="009600A0"/>
    <w:rsid w:val="0096018E"/>
    <w:rsid w:val="0096024F"/>
    <w:rsid w:val="009606E7"/>
    <w:rsid w:val="00961590"/>
    <w:rsid w:val="00961EC8"/>
    <w:rsid w:val="009621DD"/>
    <w:rsid w:val="00962342"/>
    <w:rsid w:val="009626F4"/>
    <w:rsid w:val="00962703"/>
    <w:rsid w:val="00962987"/>
    <w:rsid w:val="00964137"/>
    <w:rsid w:val="00964AB1"/>
    <w:rsid w:val="0096526D"/>
    <w:rsid w:val="009675AA"/>
    <w:rsid w:val="0096765A"/>
    <w:rsid w:val="00970D2D"/>
    <w:rsid w:val="00970EC0"/>
    <w:rsid w:val="0097118C"/>
    <w:rsid w:val="009713E0"/>
    <w:rsid w:val="009718EF"/>
    <w:rsid w:val="00971CC6"/>
    <w:rsid w:val="00972C11"/>
    <w:rsid w:val="00972D24"/>
    <w:rsid w:val="0097312C"/>
    <w:rsid w:val="00974455"/>
    <w:rsid w:val="00974C33"/>
    <w:rsid w:val="00975A14"/>
    <w:rsid w:val="00976896"/>
    <w:rsid w:val="0097764A"/>
    <w:rsid w:val="00977D14"/>
    <w:rsid w:val="0098184D"/>
    <w:rsid w:val="00981A4A"/>
    <w:rsid w:val="00981CC2"/>
    <w:rsid w:val="00981DBA"/>
    <w:rsid w:val="00981F5B"/>
    <w:rsid w:val="00982F4E"/>
    <w:rsid w:val="00983073"/>
    <w:rsid w:val="00983BE0"/>
    <w:rsid w:val="00984227"/>
    <w:rsid w:val="009846C6"/>
    <w:rsid w:val="00984BC9"/>
    <w:rsid w:val="00984FB7"/>
    <w:rsid w:val="009851BA"/>
    <w:rsid w:val="00985A9C"/>
    <w:rsid w:val="00985F22"/>
    <w:rsid w:val="00985F3F"/>
    <w:rsid w:val="00986C47"/>
    <w:rsid w:val="009870F1"/>
    <w:rsid w:val="009872F3"/>
    <w:rsid w:val="009874ED"/>
    <w:rsid w:val="00987A40"/>
    <w:rsid w:val="0099034B"/>
    <w:rsid w:val="009906F0"/>
    <w:rsid w:val="00991C38"/>
    <w:rsid w:val="00991FF3"/>
    <w:rsid w:val="0099258E"/>
    <w:rsid w:val="00992EA8"/>
    <w:rsid w:val="00992FF1"/>
    <w:rsid w:val="009930B9"/>
    <w:rsid w:val="00993328"/>
    <w:rsid w:val="009936D6"/>
    <w:rsid w:val="009940C6"/>
    <w:rsid w:val="00994142"/>
    <w:rsid w:val="0099419F"/>
    <w:rsid w:val="00996F3A"/>
    <w:rsid w:val="009975CA"/>
    <w:rsid w:val="00997881"/>
    <w:rsid w:val="009A0B12"/>
    <w:rsid w:val="009A22ED"/>
    <w:rsid w:val="009A4282"/>
    <w:rsid w:val="009A49F0"/>
    <w:rsid w:val="009A4D96"/>
    <w:rsid w:val="009A5065"/>
    <w:rsid w:val="009A53E3"/>
    <w:rsid w:val="009A6523"/>
    <w:rsid w:val="009A6699"/>
    <w:rsid w:val="009B0A03"/>
    <w:rsid w:val="009B14EF"/>
    <w:rsid w:val="009B1647"/>
    <w:rsid w:val="009B182C"/>
    <w:rsid w:val="009B18C2"/>
    <w:rsid w:val="009B1BAB"/>
    <w:rsid w:val="009B4D8B"/>
    <w:rsid w:val="009B5DDB"/>
    <w:rsid w:val="009B6451"/>
    <w:rsid w:val="009B6E70"/>
    <w:rsid w:val="009B72C8"/>
    <w:rsid w:val="009B7362"/>
    <w:rsid w:val="009B7471"/>
    <w:rsid w:val="009C1323"/>
    <w:rsid w:val="009C13AD"/>
    <w:rsid w:val="009C1689"/>
    <w:rsid w:val="009C1F88"/>
    <w:rsid w:val="009C21C0"/>
    <w:rsid w:val="009C38D5"/>
    <w:rsid w:val="009C3EAE"/>
    <w:rsid w:val="009C4F1C"/>
    <w:rsid w:val="009C5B69"/>
    <w:rsid w:val="009C5BD3"/>
    <w:rsid w:val="009C6380"/>
    <w:rsid w:val="009C64BA"/>
    <w:rsid w:val="009C6E88"/>
    <w:rsid w:val="009C7A3C"/>
    <w:rsid w:val="009C7F4D"/>
    <w:rsid w:val="009D0F2A"/>
    <w:rsid w:val="009D10C6"/>
    <w:rsid w:val="009D17E2"/>
    <w:rsid w:val="009D1D77"/>
    <w:rsid w:val="009D2411"/>
    <w:rsid w:val="009D2EB8"/>
    <w:rsid w:val="009D3B9E"/>
    <w:rsid w:val="009D3D23"/>
    <w:rsid w:val="009D3D75"/>
    <w:rsid w:val="009D3D92"/>
    <w:rsid w:val="009D48ED"/>
    <w:rsid w:val="009D5E4B"/>
    <w:rsid w:val="009E0285"/>
    <w:rsid w:val="009E0BEB"/>
    <w:rsid w:val="009E0DF0"/>
    <w:rsid w:val="009E1F85"/>
    <w:rsid w:val="009E2387"/>
    <w:rsid w:val="009E262F"/>
    <w:rsid w:val="009E2AA2"/>
    <w:rsid w:val="009E488B"/>
    <w:rsid w:val="009E4979"/>
    <w:rsid w:val="009E4C10"/>
    <w:rsid w:val="009E5A83"/>
    <w:rsid w:val="009E62CB"/>
    <w:rsid w:val="009E6319"/>
    <w:rsid w:val="009E6900"/>
    <w:rsid w:val="009E6ED1"/>
    <w:rsid w:val="009E7D09"/>
    <w:rsid w:val="009F012B"/>
    <w:rsid w:val="009F06E5"/>
    <w:rsid w:val="009F190D"/>
    <w:rsid w:val="009F1D61"/>
    <w:rsid w:val="009F3229"/>
    <w:rsid w:val="009F3678"/>
    <w:rsid w:val="009F3ACD"/>
    <w:rsid w:val="009F50FF"/>
    <w:rsid w:val="009F532F"/>
    <w:rsid w:val="009F5CAF"/>
    <w:rsid w:val="009F6110"/>
    <w:rsid w:val="009F6149"/>
    <w:rsid w:val="009F6B26"/>
    <w:rsid w:val="009F6D94"/>
    <w:rsid w:val="009F7505"/>
    <w:rsid w:val="009F7615"/>
    <w:rsid w:val="009F7995"/>
    <w:rsid w:val="009F7D17"/>
    <w:rsid w:val="009F7F0C"/>
    <w:rsid w:val="00A001DE"/>
    <w:rsid w:val="00A00B6E"/>
    <w:rsid w:val="00A011ED"/>
    <w:rsid w:val="00A01D84"/>
    <w:rsid w:val="00A01E10"/>
    <w:rsid w:val="00A024A2"/>
    <w:rsid w:val="00A024A8"/>
    <w:rsid w:val="00A026A1"/>
    <w:rsid w:val="00A039F9"/>
    <w:rsid w:val="00A04428"/>
    <w:rsid w:val="00A04645"/>
    <w:rsid w:val="00A11248"/>
    <w:rsid w:val="00A115F5"/>
    <w:rsid w:val="00A12CCC"/>
    <w:rsid w:val="00A1310F"/>
    <w:rsid w:val="00A132CB"/>
    <w:rsid w:val="00A13BCC"/>
    <w:rsid w:val="00A153DD"/>
    <w:rsid w:val="00A1551D"/>
    <w:rsid w:val="00A16FB2"/>
    <w:rsid w:val="00A20734"/>
    <w:rsid w:val="00A20CC0"/>
    <w:rsid w:val="00A227E0"/>
    <w:rsid w:val="00A22E02"/>
    <w:rsid w:val="00A231B6"/>
    <w:rsid w:val="00A23327"/>
    <w:rsid w:val="00A242BD"/>
    <w:rsid w:val="00A243A0"/>
    <w:rsid w:val="00A24640"/>
    <w:rsid w:val="00A24E4B"/>
    <w:rsid w:val="00A25387"/>
    <w:rsid w:val="00A2601D"/>
    <w:rsid w:val="00A269CD"/>
    <w:rsid w:val="00A26DA6"/>
    <w:rsid w:val="00A27214"/>
    <w:rsid w:val="00A27789"/>
    <w:rsid w:val="00A30784"/>
    <w:rsid w:val="00A307BC"/>
    <w:rsid w:val="00A30D2E"/>
    <w:rsid w:val="00A310C7"/>
    <w:rsid w:val="00A3201A"/>
    <w:rsid w:val="00A331E4"/>
    <w:rsid w:val="00A34775"/>
    <w:rsid w:val="00A35EF9"/>
    <w:rsid w:val="00A3679A"/>
    <w:rsid w:val="00A36990"/>
    <w:rsid w:val="00A40025"/>
    <w:rsid w:val="00A411A1"/>
    <w:rsid w:val="00A4151B"/>
    <w:rsid w:val="00A419CE"/>
    <w:rsid w:val="00A41C4B"/>
    <w:rsid w:val="00A41F7C"/>
    <w:rsid w:val="00A422DB"/>
    <w:rsid w:val="00A426B2"/>
    <w:rsid w:val="00A43C4C"/>
    <w:rsid w:val="00A43DB9"/>
    <w:rsid w:val="00A44737"/>
    <w:rsid w:val="00A44937"/>
    <w:rsid w:val="00A45395"/>
    <w:rsid w:val="00A4637B"/>
    <w:rsid w:val="00A473A4"/>
    <w:rsid w:val="00A4767C"/>
    <w:rsid w:val="00A5005E"/>
    <w:rsid w:val="00A51132"/>
    <w:rsid w:val="00A519C1"/>
    <w:rsid w:val="00A51A1E"/>
    <w:rsid w:val="00A520CC"/>
    <w:rsid w:val="00A5295A"/>
    <w:rsid w:val="00A52F62"/>
    <w:rsid w:val="00A53575"/>
    <w:rsid w:val="00A53702"/>
    <w:rsid w:val="00A549C9"/>
    <w:rsid w:val="00A5571C"/>
    <w:rsid w:val="00A5611E"/>
    <w:rsid w:val="00A5682B"/>
    <w:rsid w:val="00A57355"/>
    <w:rsid w:val="00A61FE7"/>
    <w:rsid w:val="00A62A63"/>
    <w:rsid w:val="00A62C41"/>
    <w:rsid w:val="00A62FE1"/>
    <w:rsid w:val="00A631CE"/>
    <w:rsid w:val="00A63510"/>
    <w:rsid w:val="00A63A2D"/>
    <w:rsid w:val="00A63A6E"/>
    <w:rsid w:val="00A63F7E"/>
    <w:rsid w:val="00A64A54"/>
    <w:rsid w:val="00A65F4C"/>
    <w:rsid w:val="00A673FC"/>
    <w:rsid w:val="00A67D56"/>
    <w:rsid w:val="00A710D6"/>
    <w:rsid w:val="00A71CE3"/>
    <w:rsid w:val="00A72565"/>
    <w:rsid w:val="00A73D36"/>
    <w:rsid w:val="00A7472E"/>
    <w:rsid w:val="00A757E4"/>
    <w:rsid w:val="00A75877"/>
    <w:rsid w:val="00A75EA7"/>
    <w:rsid w:val="00A75F85"/>
    <w:rsid w:val="00A76C6E"/>
    <w:rsid w:val="00A76F4D"/>
    <w:rsid w:val="00A773BB"/>
    <w:rsid w:val="00A7794A"/>
    <w:rsid w:val="00A800F5"/>
    <w:rsid w:val="00A80D73"/>
    <w:rsid w:val="00A8110D"/>
    <w:rsid w:val="00A819C6"/>
    <w:rsid w:val="00A82450"/>
    <w:rsid w:val="00A826AC"/>
    <w:rsid w:val="00A828FA"/>
    <w:rsid w:val="00A8342D"/>
    <w:rsid w:val="00A84825"/>
    <w:rsid w:val="00A84BF6"/>
    <w:rsid w:val="00A84D51"/>
    <w:rsid w:val="00A853BE"/>
    <w:rsid w:val="00A8554C"/>
    <w:rsid w:val="00A913AF"/>
    <w:rsid w:val="00A9194A"/>
    <w:rsid w:val="00A91A6D"/>
    <w:rsid w:val="00A925AC"/>
    <w:rsid w:val="00A93284"/>
    <w:rsid w:val="00A948B8"/>
    <w:rsid w:val="00A94D0A"/>
    <w:rsid w:val="00A951D9"/>
    <w:rsid w:val="00A95B7F"/>
    <w:rsid w:val="00A97E03"/>
    <w:rsid w:val="00AA0341"/>
    <w:rsid w:val="00AA0EBD"/>
    <w:rsid w:val="00AA0F83"/>
    <w:rsid w:val="00AA1785"/>
    <w:rsid w:val="00AA1A44"/>
    <w:rsid w:val="00AA250A"/>
    <w:rsid w:val="00AA3359"/>
    <w:rsid w:val="00AA3427"/>
    <w:rsid w:val="00AA3461"/>
    <w:rsid w:val="00AA4693"/>
    <w:rsid w:val="00AA54BE"/>
    <w:rsid w:val="00AA5C48"/>
    <w:rsid w:val="00AA63DD"/>
    <w:rsid w:val="00AA642D"/>
    <w:rsid w:val="00AA6E3C"/>
    <w:rsid w:val="00AA72B2"/>
    <w:rsid w:val="00AA7B4A"/>
    <w:rsid w:val="00AB017B"/>
    <w:rsid w:val="00AB02B8"/>
    <w:rsid w:val="00AB0AF5"/>
    <w:rsid w:val="00AB0C36"/>
    <w:rsid w:val="00AB193D"/>
    <w:rsid w:val="00AB312E"/>
    <w:rsid w:val="00AB52E1"/>
    <w:rsid w:val="00AB5375"/>
    <w:rsid w:val="00AB6DC0"/>
    <w:rsid w:val="00AB702D"/>
    <w:rsid w:val="00AB7758"/>
    <w:rsid w:val="00AB7CEE"/>
    <w:rsid w:val="00AB7D7D"/>
    <w:rsid w:val="00AC12E6"/>
    <w:rsid w:val="00AC1E18"/>
    <w:rsid w:val="00AC2079"/>
    <w:rsid w:val="00AC27DD"/>
    <w:rsid w:val="00AC2846"/>
    <w:rsid w:val="00AC323E"/>
    <w:rsid w:val="00AC3C32"/>
    <w:rsid w:val="00AC3EC0"/>
    <w:rsid w:val="00AC52C1"/>
    <w:rsid w:val="00AC68EE"/>
    <w:rsid w:val="00AC6C67"/>
    <w:rsid w:val="00AC7218"/>
    <w:rsid w:val="00AD0D3F"/>
    <w:rsid w:val="00AD1F4E"/>
    <w:rsid w:val="00AD29E9"/>
    <w:rsid w:val="00AD2C02"/>
    <w:rsid w:val="00AD2E83"/>
    <w:rsid w:val="00AD3645"/>
    <w:rsid w:val="00AD3745"/>
    <w:rsid w:val="00AD4EF5"/>
    <w:rsid w:val="00AD5016"/>
    <w:rsid w:val="00AD639C"/>
    <w:rsid w:val="00AD71E4"/>
    <w:rsid w:val="00AD74E7"/>
    <w:rsid w:val="00AD75AF"/>
    <w:rsid w:val="00AD7CA7"/>
    <w:rsid w:val="00AD7E48"/>
    <w:rsid w:val="00AE153A"/>
    <w:rsid w:val="00AE1BF2"/>
    <w:rsid w:val="00AE2902"/>
    <w:rsid w:val="00AE2ACE"/>
    <w:rsid w:val="00AE2DAF"/>
    <w:rsid w:val="00AE3002"/>
    <w:rsid w:val="00AE35F7"/>
    <w:rsid w:val="00AE3CC8"/>
    <w:rsid w:val="00AE567E"/>
    <w:rsid w:val="00AE5A4F"/>
    <w:rsid w:val="00AE62DC"/>
    <w:rsid w:val="00AE6577"/>
    <w:rsid w:val="00AF0356"/>
    <w:rsid w:val="00AF2291"/>
    <w:rsid w:val="00AF2E1B"/>
    <w:rsid w:val="00AF4425"/>
    <w:rsid w:val="00AF4BA0"/>
    <w:rsid w:val="00AF63C5"/>
    <w:rsid w:val="00AF676B"/>
    <w:rsid w:val="00AF6815"/>
    <w:rsid w:val="00AF686D"/>
    <w:rsid w:val="00AF6DD8"/>
    <w:rsid w:val="00AF7523"/>
    <w:rsid w:val="00B00162"/>
    <w:rsid w:val="00B016A4"/>
    <w:rsid w:val="00B01758"/>
    <w:rsid w:val="00B0240B"/>
    <w:rsid w:val="00B0262F"/>
    <w:rsid w:val="00B02CD7"/>
    <w:rsid w:val="00B02EC3"/>
    <w:rsid w:val="00B037A6"/>
    <w:rsid w:val="00B03DD6"/>
    <w:rsid w:val="00B05DD5"/>
    <w:rsid w:val="00B0683A"/>
    <w:rsid w:val="00B0713F"/>
    <w:rsid w:val="00B0753E"/>
    <w:rsid w:val="00B07B2A"/>
    <w:rsid w:val="00B07B98"/>
    <w:rsid w:val="00B108E1"/>
    <w:rsid w:val="00B10986"/>
    <w:rsid w:val="00B1101B"/>
    <w:rsid w:val="00B11149"/>
    <w:rsid w:val="00B12CDA"/>
    <w:rsid w:val="00B13D3A"/>
    <w:rsid w:val="00B151D1"/>
    <w:rsid w:val="00B15582"/>
    <w:rsid w:val="00B155BC"/>
    <w:rsid w:val="00B16D82"/>
    <w:rsid w:val="00B17EEA"/>
    <w:rsid w:val="00B20360"/>
    <w:rsid w:val="00B20A44"/>
    <w:rsid w:val="00B21625"/>
    <w:rsid w:val="00B21AA0"/>
    <w:rsid w:val="00B23701"/>
    <w:rsid w:val="00B2497B"/>
    <w:rsid w:val="00B24B66"/>
    <w:rsid w:val="00B2602E"/>
    <w:rsid w:val="00B261E3"/>
    <w:rsid w:val="00B2632F"/>
    <w:rsid w:val="00B26769"/>
    <w:rsid w:val="00B26E03"/>
    <w:rsid w:val="00B2789A"/>
    <w:rsid w:val="00B303A0"/>
    <w:rsid w:val="00B30FDF"/>
    <w:rsid w:val="00B318AF"/>
    <w:rsid w:val="00B31DF3"/>
    <w:rsid w:val="00B327C5"/>
    <w:rsid w:val="00B33178"/>
    <w:rsid w:val="00B33940"/>
    <w:rsid w:val="00B33B92"/>
    <w:rsid w:val="00B33C2E"/>
    <w:rsid w:val="00B340B9"/>
    <w:rsid w:val="00B347DE"/>
    <w:rsid w:val="00B351F5"/>
    <w:rsid w:val="00B35F2B"/>
    <w:rsid w:val="00B3666B"/>
    <w:rsid w:val="00B37CF1"/>
    <w:rsid w:val="00B41921"/>
    <w:rsid w:val="00B419DB"/>
    <w:rsid w:val="00B41C8D"/>
    <w:rsid w:val="00B41F9A"/>
    <w:rsid w:val="00B42884"/>
    <w:rsid w:val="00B42B85"/>
    <w:rsid w:val="00B4499A"/>
    <w:rsid w:val="00B456AF"/>
    <w:rsid w:val="00B4590B"/>
    <w:rsid w:val="00B4659A"/>
    <w:rsid w:val="00B47509"/>
    <w:rsid w:val="00B4768C"/>
    <w:rsid w:val="00B50531"/>
    <w:rsid w:val="00B50AC5"/>
    <w:rsid w:val="00B51159"/>
    <w:rsid w:val="00B51E1B"/>
    <w:rsid w:val="00B52B3B"/>
    <w:rsid w:val="00B55575"/>
    <w:rsid w:val="00B55B13"/>
    <w:rsid w:val="00B5608E"/>
    <w:rsid w:val="00B564BF"/>
    <w:rsid w:val="00B5697D"/>
    <w:rsid w:val="00B56AC5"/>
    <w:rsid w:val="00B56D96"/>
    <w:rsid w:val="00B56E68"/>
    <w:rsid w:val="00B5732E"/>
    <w:rsid w:val="00B57C6D"/>
    <w:rsid w:val="00B607C0"/>
    <w:rsid w:val="00B610CE"/>
    <w:rsid w:val="00B615BC"/>
    <w:rsid w:val="00B616E3"/>
    <w:rsid w:val="00B61D9F"/>
    <w:rsid w:val="00B62181"/>
    <w:rsid w:val="00B64610"/>
    <w:rsid w:val="00B64FC9"/>
    <w:rsid w:val="00B66877"/>
    <w:rsid w:val="00B66A9C"/>
    <w:rsid w:val="00B66FED"/>
    <w:rsid w:val="00B71198"/>
    <w:rsid w:val="00B72448"/>
    <w:rsid w:val="00B731FA"/>
    <w:rsid w:val="00B731FF"/>
    <w:rsid w:val="00B73A0D"/>
    <w:rsid w:val="00B747EE"/>
    <w:rsid w:val="00B75CD1"/>
    <w:rsid w:val="00B76F5E"/>
    <w:rsid w:val="00B8090E"/>
    <w:rsid w:val="00B80B23"/>
    <w:rsid w:val="00B80F75"/>
    <w:rsid w:val="00B8202D"/>
    <w:rsid w:val="00B824B3"/>
    <w:rsid w:val="00B8301B"/>
    <w:rsid w:val="00B840B9"/>
    <w:rsid w:val="00B846AB"/>
    <w:rsid w:val="00B846E1"/>
    <w:rsid w:val="00B868BC"/>
    <w:rsid w:val="00B87775"/>
    <w:rsid w:val="00B90132"/>
    <w:rsid w:val="00B906C5"/>
    <w:rsid w:val="00B90830"/>
    <w:rsid w:val="00B908F0"/>
    <w:rsid w:val="00B924A5"/>
    <w:rsid w:val="00B93302"/>
    <w:rsid w:val="00B93532"/>
    <w:rsid w:val="00B93AF7"/>
    <w:rsid w:val="00B93CAB"/>
    <w:rsid w:val="00B945BA"/>
    <w:rsid w:val="00B95CCD"/>
    <w:rsid w:val="00B95CF3"/>
    <w:rsid w:val="00B966A5"/>
    <w:rsid w:val="00B9747A"/>
    <w:rsid w:val="00B9798E"/>
    <w:rsid w:val="00B97FBB"/>
    <w:rsid w:val="00BA049F"/>
    <w:rsid w:val="00BA1177"/>
    <w:rsid w:val="00BA11E5"/>
    <w:rsid w:val="00BA1814"/>
    <w:rsid w:val="00BA283A"/>
    <w:rsid w:val="00BA296F"/>
    <w:rsid w:val="00BA316E"/>
    <w:rsid w:val="00BA32C1"/>
    <w:rsid w:val="00BA3CB9"/>
    <w:rsid w:val="00BA4AA2"/>
    <w:rsid w:val="00BA52D0"/>
    <w:rsid w:val="00BA5760"/>
    <w:rsid w:val="00BA7F79"/>
    <w:rsid w:val="00BB1CCB"/>
    <w:rsid w:val="00BB1DED"/>
    <w:rsid w:val="00BB2781"/>
    <w:rsid w:val="00BB280F"/>
    <w:rsid w:val="00BB2BBF"/>
    <w:rsid w:val="00BB2EE2"/>
    <w:rsid w:val="00BB50C1"/>
    <w:rsid w:val="00BB5198"/>
    <w:rsid w:val="00BB5240"/>
    <w:rsid w:val="00BB6029"/>
    <w:rsid w:val="00BB6994"/>
    <w:rsid w:val="00BB6E67"/>
    <w:rsid w:val="00BB7FA6"/>
    <w:rsid w:val="00BC19D0"/>
    <w:rsid w:val="00BC3C6E"/>
    <w:rsid w:val="00BC3FD5"/>
    <w:rsid w:val="00BC43F3"/>
    <w:rsid w:val="00BC49B6"/>
    <w:rsid w:val="00BC633C"/>
    <w:rsid w:val="00BC6458"/>
    <w:rsid w:val="00BC6989"/>
    <w:rsid w:val="00BC7525"/>
    <w:rsid w:val="00BD04AD"/>
    <w:rsid w:val="00BD05D5"/>
    <w:rsid w:val="00BD0E47"/>
    <w:rsid w:val="00BD21A5"/>
    <w:rsid w:val="00BD25B6"/>
    <w:rsid w:val="00BD3349"/>
    <w:rsid w:val="00BD4208"/>
    <w:rsid w:val="00BD4C2F"/>
    <w:rsid w:val="00BD4D9C"/>
    <w:rsid w:val="00BD527D"/>
    <w:rsid w:val="00BD64E2"/>
    <w:rsid w:val="00BD6CC3"/>
    <w:rsid w:val="00BD7902"/>
    <w:rsid w:val="00BE1712"/>
    <w:rsid w:val="00BE31E1"/>
    <w:rsid w:val="00BE3A92"/>
    <w:rsid w:val="00BE3FD1"/>
    <w:rsid w:val="00BE46F4"/>
    <w:rsid w:val="00BE498E"/>
    <w:rsid w:val="00BE4AED"/>
    <w:rsid w:val="00BE4EE4"/>
    <w:rsid w:val="00BE52AC"/>
    <w:rsid w:val="00BE5E39"/>
    <w:rsid w:val="00BE612E"/>
    <w:rsid w:val="00BE6425"/>
    <w:rsid w:val="00BE71C1"/>
    <w:rsid w:val="00BE7477"/>
    <w:rsid w:val="00BE767D"/>
    <w:rsid w:val="00BF1735"/>
    <w:rsid w:val="00BF182E"/>
    <w:rsid w:val="00BF2060"/>
    <w:rsid w:val="00BF3D88"/>
    <w:rsid w:val="00BF5173"/>
    <w:rsid w:val="00BF546E"/>
    <w:rsid w:val="00BF567C"/>
    <w:rsid w:val="00BF56DB"/>
    <w:rsid w:val="00BF5A4C"/>
    <w:rsid w:val="00BF5B78"/>
    <w:rsid w:val="00BF7C8A"/>
    <w:rsid w:val="00C00211"/>
    <w:rsid w:val="00C01266"/>
    <w:rsid w:val="00C01503"/>
    <w:rsid w:val="00C0299D"/>
    <w:rsid w:val="00C035CE"/>
    <w:rsid w:val="00C03635"/>
    <w:rsid w:val="00C06933"/>
    <w:rsid w:val="00C069DC"/>
    <w:rsid w:val="00C06D39"/>
    <w:rsid w:val="00C11389"/>
    <w:rsid w:val="00C11754"/>
    <w:rsid w:val="00C11A2B"/>
    <w:rsid w:val="00C11B97"/>
    <w:rsid w:val="00C12AAC"/>
    <w:rsid w:val="00C1307E"/>
    <w:rsid w:val="00C13294"/>
    <w:rsid w:val="00C1386F"/>
    <w:rsid w:val="00C139B3"/>
    <w:rsid w:val="00C14074"/>
    <w:rsid w:val="00C14458"/>
    <w:rsid w:val="00C153E2"/>
    <w:rsid w:val="00C15FE9"/>
    <w:rsid w:val="00C17AD5"/>
    <w:rsid w:val="00C20745"/>
    <w:rsid w:val="00C20BB1"/>
    <w:rsid w:val="00C20C12"/>
    <w:rsid w:val="00C215BD"/>
    <w:rsid w:val="00C22646"/>
    <w:rsid w:val="00C22C74"/>
    <w:rsid w:val="00C23658"/>
    <w:rsid w:val="00C2401B"/>
    <w:rsid w:val="00C25063"/>
    <w:rsid w:val="00C25549"/>
    <w:rsid w:val="00C263C5"/>
    <w:rsid w:val="00C267B9"/>
    <w:rsid w:val="00C26D1C"/>
    <w:rsid w:val="00C3001C"/>
    <w:rsid w:val="00C30841"/>
    <w:rsid w:val="00C30CE7"/>
    <w:rsid w:val="00C30F61"/>
    <w:rsid w:val="00C32160"/>
    <w:rsid w:val="00C322B6"/>
    <w:rsid w:val="00C32537"/>
    <w:rsid w:val="00C32A65"/>
    <w:rsid w:val="00C33301"/>
    <w:rsid w:val="00C3378F"/>
    <w:rsid w:val="00C33E16"/>
    <w:rsid w:val="00C3463D"/>
    <w:rsid w:val="00C34774"/>
    <w:rsid w:val="00C3479D"/>
    <w:rsid w:val="00C347C2"/>
    <w:rsid w:val="00C34817"/>
    <w:rsid w:val="00C34F65"/>
    <w:rsid w:val="00C3530B"/>
    <w:rsid w:val="00C36062"/>
    <w:rsid w:val="00C36C19"/>
    <w:rsid w:val="00C37735"/>
    <w:rsid w:val="00C37CB7"/>
    <w:rsid w:val="00C37D08"/>
    <w:rsid w:val="00C40339"/>
    <w:rsid w:val="00C41815"/>
    <w:rsid w:val="00C42C0F"/>
    <w:rsid w:val="00C446D6"/>
    <w:rsid w:val="00C44852"/>
    <w:rsid w:val="00C44E79"/>
    <w:rsid w:val="00C44FE4"/>
    <w:rsid w:val="00C4511B"/>
    <w:rsid w:val="00C45923"/>
    <w:rsid w:val="00C45C7C"/>
    <w:rsid w:val="00C46BE9"/>
    <w:rsid w:val="00C47838"/>
    <w:rsid w:val="00C47C1C"/>
    <w:rsid w:val="00C512BC"/>
    <w:rsid w:val="00C5219F"/>
    <w:rsid w:val="00C526CA"/>
    <w:rsid w:val="00C527DD"/>
    <w:rsid w:val="00C52C08"/>
    <w:rsid w:val="00C52F59"/>
    <w:rsid w:val="00C53B12"/>
    <w:rsid w:val="00C54DDA"/>
    <w:rsid w:val="00C56C2D"/>
    <w:rsid w:val="00C57B71"/>
    <w:rsid w:val="00C613A7"/>
    <w:rsid w:val="00C614A2"/>
    <w:rsid w:val="00C61D4B"/>
    <w:rsid w:val="00C622E9"/>
    <w:rsid w:val="00C64170"/>
    <w:rsid w:val="00C65E7D"/>
    <w:rsid w:val="00C660E2"/>
    <w:rsid w:val="00C669EB"/>
    <w:rsid w:val="00C66E5C"/>
    <w:rsid w:val="00C672E6"/>
    <w:rsid w:val="00C673D1"/>
    <w:rsid w:val="00C677A3"/>
    <w:rsid w:val="00C67D01"/>
    <w:rsid w:val="00C7008E"/>
    <w:rsid w:val="00C707D4"/>
    <w:rsid w:val="00C70C69"/>
    <w:rsid w:val="00C713DA"/>
    <w:rsid w:val="00C7174A"/>
    <w:rsid w:val="00C7175C"/>
    <w:rsid w:val="00C73263"/>
    <w:rsid w:val="00C742B6"/>
    <w:rsid w:val="00C747F0"/>
    <w:rsid w:val="00C74BDB"/>
    <w:rsid w:val="00C750AE"/>
    <w:rsid w:val="00C76171"/>
    <w:rsid w:val="00C77C09"/>
    <w:rsid w:val="00C803D6"/>
    <w:rsid w:val="00C80F76"/>
    <w:rsid w:val="00C84DD8"/>
    <w:rsid w:val="00C85486"/>
    <w:rsid w:val="00C87EF0"/>
    <w:rsid w:val="00C90304"/>
    <w:rsid w:val="00C9046E"/>
    <w:rsid w:val="00C90B20"/>
    <w:rsid w:val="00C90E25"/>
    <w:rsid w:val="00C913CB"/>
    <w:rsid w:val="00C9179B"/>
    <w:rsid w:val="00C91977"/>
    <w:rsid w:val="00C91A36"/>
    <w:rsid w:val="00C92E7F"/>
    <w:rsid w:val="00C93758"/>
    <w:rsid w:val="00C938D2"/>
    <w:rsid w:val="00C93AFC"/>
    <w:rsid w:val="00C93ED9"/>
    <w:rsid w:val="00C94DE4"/>
    <w:rsid w:val="00C95509"/>
    <w:rsid w:val="00C965C7"/>
    <w:rsid w:val="00C96C6B"/>
    <w:rsid w:val="00C9700F"/>
    <w:rsid w:val="00CA02E9"/>
    <w:rsid w:val="00CA0DA6"/>
    <w:rsid w:val="00CA1EBC"/>
    <w:rsid w:val="00CA2843"/>
    <w:rsid w:val="00CA4C0C"/>
    <w:rsid w:val="00CA4C55"/>
    <w:rsid w:val="00CA538E"/>
    <w:rsid w:val="00CA5DD8"/>
    <w:rsid w:val="00CA7AC0"/>
    <w:rsid w:val="00CA7F97"/>
    <w:rsid w:val="00CB025B"/>
    <w:rsid w:val="00CB03B0"/>
    <w:rsid w:val="00CB06D0"/>
    <w:rsid w:val="00CB094E"/>
    <w:rsid w:val="00CB0D00"/>
    <w:rsid w:val="00CB237A"/>
    <w:rsid w:val="00CB2EE6"/>
    <w:rsid w:val="00CB3EE6"/>
    <w:rsid w:val="00CB47D6"/>
    <w:rsid w:val="00CB54A2"/>
    <w:rsid w:val="00CB559B"/>
    <w:rsid w:val="00CB57E9"/>
    <w:rsid w:val="00CB585C"/>
    <w:rsid w:val="00CB740D"/>
    <w:rsid w:val="00CC0EF6"/>
    <w:rsid w:val="00CC11C1"/>
    <w:rsid w:val="00CC1E94"/>
    <w:rsid w:val="00CC3FB3"/>
    <w:rsid w:val="00CC4822"/>
    <w:rsid w:val="00CC485B"/>
    <w:rsid w:val="00CC4DDF"/>
    <w:rsid w:val="00CC4F45"/>
    <w:rsid w:val="00CC5892"/>
    <w:rsid w:val="00CC6246"/>
    <w:rsid w:val="00CD0016"/>
    <w:rsid w:val="00CD17EC"/>
    <w:rsid w:val="00CD187D"/>
    <w:rsid w:val="00CD2E67"/>
    <w:rsid w:val="00CD306D"/>
    <w:rsid w:val="00CD3096"/>
    <w:rsid w:val="00CD3AC0"/>
    <w:rsid w:val="00CD445D"/>
    <w:rsid w:val="00CD4584"/>
    <w:rsid w:val="00CD4AE3"/>
    <w:rsid w:val="00CD4C50"/>
    <w:rsid w:val="00CD5C34"/>
    <w:rsid w:val="00CD6EB3"/>
    <w:rsid w:val="00CD757B"/>
    <w:rsid w:val="00CD7631"/>
    <w:rsid w:val="00CD7AAA"/>
    <w:rsid w:val="00CD7DFB"/>
    <w:rsid w:val="00CE02D5"/>
    <w:rsid w:val="00CE1837"/>
    <w:rsid w:val="00CE201C"/>
    <w:rsid w:val="00CE2027"/>
    <w:rsid w:val="00CE23B6"/>
    <w:rsid w:val="00CE2F4E"/>
    <w:rsid w:val="00CE3194"/>
    <w:rsid w:val="00CE31EA"/>
    <w:rsid w:val="00CE4326"/>
    <w:rsid w:val="00CE4623"/>
    <w:rsid w:val="00CE5C16"/>
    <w:rsid w:val="00CE658B"/>
    <w:rsid w:val="00CE6D86"/>
    <w:rsid w:val="00CE7C85"/>
    <w:rsid w:val="00CE7FED"/>
    <w:rsid w:val="00CF0751"/>
    <w:rsid w:val="00CF176D"/>
    <w:rsid w:val="00CF1EFE"/>
    <w:rsid w:val="00CF2762"/>
    <w:rsid w:val="00CF2E9C"/>
    <w:rsid w:val="00CF4215"/>
    <w:rsid w:val="00CF45AE"/>
    <w:rsid w:val="00CF57B9"/>
    <w:rsid w:val="00CF631C"/>
    <w:rsid w:val="00CF66AE"/>
    <w:rsid w:val="00CF6789"/>
    <w:rsid w:val="00CF6FB5"/>
    <w:rsid w:val="00D014EA"/>
    <w:rsid w:val="00D01649"/>
    <w:rsid w:val="00D01858"/>
    <w:rsid w:val="00D02859"/>
    <w:rsid w:val="00D02FF6"/>
    <w:rsid w:val="00D03952"/>
    <w:rsid w:val="00D04B6E"/>
    <w:rsid w:val="00D0502F"/>
    <w:rsid w:val="00D056A9"/>
    <w:rsid w:val="00D06444"/>
    <w:rsid w:val="00D06BE3"/>
    <w:rsid w:val="00D070B7"/>
    <w:rsid w:val="00D1026C"/>
    <w:rsid w:val="00D10701"/>
    <w:rsid w:val="00D10B81"/>
    <w:rsid w:val="00D10FC9"/>
    <w:rsid w:val="00D11558"/>
    <w:rsid w:val="00D1158B"/>
    <w:rsid w:val="00D1180B"/>
    <w:rsid w:val="00D11818"/>
    <w:rsid w:val="00D11E13"/>
    <w:rsid w:val="00D1264E"/>
    <w:rsid w:val="00D12A4F"/>
    <w:rsid w:val="00D12C1B"/>
    <w:rsid w:val="00D1313B"/>
    <w:rsid w:val="00D13CA9"/>
    <w:rsid w:val="00D140AA"/>
    <w:rsid w:val="00D146EF"/>
    <w:rsid w:val="00D14BFF"/>
    <w:rsid w:val="00D14F0B"/>
    <w:rsid w:val="00D168E8"/>
    <w:rsid w:val="00D2014B"/>
    <w:rsid w:val="00D204EB"/>
    <w:rsid w:val="00D21BF7"/>
    <w:rsid w:val="00D22433"/>
    <w:rsid w:val="00D23306"/>
    <w:rsid w:val="00D23456"/>
    <w:rsid w:val="00D25484"/>
    <w:rsid w:val="00D25A23"/>
    <w:rsid w:val="00D27087"/>
    <w:rsid w:val="00D304B4"/>
    <w:rsid w:val="00D305D0"/>
    <w:rsid w:val="00D31B9C"/>
    <w:rsid w:val="00D31D97"/>
    <w:rsid w:val="00D32089"/>
    <w:rsid w:val="00D32282"/>
    <w:rsid w:val="00D32831"/>
    <w:rsid w:val="00D32996"/>
    <w:rsid w:val="00D331AF"/>
    <w:rsid w:val="00D33438"/>
    <w:rsid w:val="00D341AD"/>
    <w:rsid w:val="00D36147"/>
    <w:rsid w:val="00D36AAB"/>
    <w:rsid w:val="00D36D11"/>
    <w:rsid w:val="00D40400"/>
    <w:rsid w:val="00D4040A"/>
    <w:rsid w:val="00D40BFD"/>
    <w:rsid w:val="00D40FD2"/>
    <w:rsid w:val="00D41324"/>
    <w:rsid w:val="00D440BC"/>
    <w:rsid w:val="00D4535E"/>
    <w:rsid w:val="00D45636"/>
    <w:rsid w:val="00D462E4"/>
    <w:rsid w:val="00D4659C"/>
    <w:rsid w:val="00D467E5"/>
    <w:rsid w:val="00D479C1"/>
    <w:rsid w:val="00D501FC"/>
    <w:rsid w:val="00D507E9"/>
    <w:rsid w:val="00D50C49"/>
    <w:rsid w:val="00D51467"/>
    <w:rsid w:val="00D51F68"/>
    <w:rsid w:val="00D52A36"/>
    <w:rsid w:val="00D5348D"/>
    <w:rsid w:val="00D54877"/>
    <w:rsid w:val="00D54B43"/>
    <w:rsid w:val="00D55C40"/>
    <w:rsid w:val="00D55C80"/>
    <w:rsid w:val="00D55E70"/>
    <w:rsid w:val="00D55FCB"/>
    <w:rsid w:val="00D5622F"/>
    <w:rsid w:val="00D56A4C"/>
    <w:rsid w:val="00D56D48"/>
    <w:rsid w:val="00D6095F"/>
    <w:rsid w:val="00D6347E"/>
    <w:rsid w:val="00D643CF"/>
    <w:rsid w:val="00D64549"/>
    <w:rsid w:val="00D64584"/>
    <w:rsid w:val="00D64C6F"/>
    <w:rsid w:val="00D67304"/>
    <w:rsid w:val="00D674EC"/>
    <w:rsid w:val="00D7111F"/>
    <w:rsid w:val="00D711A9"/>
    <w:rsid w:val="00D71278"/>
    <w:rsid w:val="00D72088"/>
    <w:rsid w:val="00D725A4"/>
    <w:rsid w:val="00D72677"/>
    <w:rsid w:val="00D7344F"/>
    <w:rsid w:val="00D73B0D"/>
    <w:rsid w:val="00D745E4"/>
    <w:rsid w:val="00D74EFE"/>
    <w:rsid w:val="00D75B54"/>
    <w:rsid w:val="00D75EF2"/>
    <w:rsid w:val="00D7610C"/>
    <w:rsid w:val="00D7674B"/>
    <w:rsid w:val="00D767ED"/>
    <w:rsid w:val="00D76884"/>
    <w:rsid w:val="00D779C1"/>
    <w:rsid w:val="00D77C1B"/>
    <w:rsid w:val="00D80604"/>
    <w:rsid w:val="00D809D1"/>
    <w:rsid w:val="00D81615"/>
    <w:rsid w:val="00D82568"/>
    <w:rsid w:val="00D8259D"/>
    <w:rsid w:val="00D82D89"/>
    <w:rsid w:val="00D82DD9"/>
    <w:rsid w:val="00D83362"/>
    <w:rsid w:val="00D8345E"/>
    <w:rsid w:val="00D83623"/>
    <w:rsid w:val="00D83BFE"/>
    <w:rsid w:val="00D83FEF"/>
    <w:rsid w:val="00D85217"/>
    <w:rsid w:val="00D852F8"/>
    <w:rsid w:val="00D85688"/>
    <w:rsid w:val="00D8574B"/>
    <w:rsid w:val="00D8661A"/>
    <w:rsid w:val="00D86CBD"/>
    <w:rsid w:val="00D87A7A"/>
    <w:rsid w:val="00D908AB"/>
    <w:rsid w:val="00D92B04"/>
    <w:rsid w:val="00D92FA8"/>
    <w:rsid w:val="00D930ED"/>
    <w:rsid w:val="00D93455"/>
    <w:rsid w:val="00D94167"/>
    <w:rsid w:val="00D944DE"/>
    <w:rsid w:val="00D9457E"/>
    <w:rsid w:val="00D95441"/>
    <w:rsid w:val="00D957D7"/>
    <w:rsid w:val="00D9702C"/>
    <w:rsid w:val="00D97183"/>
    <w:rsid w:val="00D974D1"/>
    <w:rsid w:val="00D97A4C"/>
    <w:rsid w:val="00D97E83"/>
    <w:rsid w:val="00DA033C"/>
    <w:rsid w:val="00DA2155"/>
    <w:rsid w:val="00DA238C"/>
    <w:rsid w:val="00DA2AF7"/>
    <w:rsid w:val="00DA3F53"/>
    <w:rsid w:val="00DA462C"/>
    <w:rsid w:val="00DA491C"/>
    <w:rsid w:val="00DA500F"/>
    <w:rsid w:val="00DA51CE"/>
    <w:rsid w:val="00DA52C6"/>
    <w:rsid w:val="00DA52F9"/>
    <w:rsid w:val="00DA67D0"/>
    <w:rsid w:val="00DA6B34"/>
    <w:rsid w:val="00DA6EFF"/>
    <w:rsid w:val="00DA7276"/>
    <w:rsid w:val="00DA7616"/>
    <w:rsid w:val="00DB0408"/>
    <w:rsid w:val="00DB1627"/>
    <w:rsid w:val="00DB19DD"/>
    <w:rsid w:val="00DB1C2A"/>
    <w:rsid w:val="00DB3270"/>
    <w:rsid w:val="00DB3784"/>
    <w:rsid w:val="00DB4AC4"/>
    <w:rsid w:val="00DB5382"/>
    <w:rsid w:val="00DB5B64"/>
    <w:rsid w:val="00DB5BE8"/>
    <w:rsid w:val="00DB602A"/>
    <w:rsid w:val="00DB6447"/>
    <w:rsid w:val="00DB7360"/>
    <w:rsid w:val="00DB7C4E"/>
    <w:rsid w:val="00DB7EFF"/>
    <w:rsid w:val="00DB7F72"/>
    <w:rsid w:val="00DC00EE"/>
    <w:rsid w:val="00DC12F2"/>
    <w:rsid w:val="00DC163C"/>
    <w:rsid w:val="00DC2228"/>
    <w:rsid w:val="00DC2EE6"/>
    <w:rsid w:val="00DC324F"/>
    <w:rsid w:val="00DC3930"/>
    <w:rsid w:val="00DC4664"/>
    <w:rsid w:val="00DC5168"/>
    <w:rsid w:val="00DC59DC"/>
    <w:rsid w:val="00DC59E1"/>
    <w:rsid w:val="00DC71A8"/>
    <w:rsid w:val="00DC7557"/>
    <w:rsid w:val="00DC7E4B"/>
    <w:rsid w:val="00DC848A"/>
    <w:rsid w:val="00DD04AA"/>
    <w:rsid w:val="00DD0B5B"/>
    <w:rsid w:val="00DD12E4"/>
    <w:rsid w:val="00DD1307"/>
    <w:rsid w:val="00DD2045"/>
    <w:rsid w:val="00DD2187"/>
    <w:rsid w:val="00DD2508"/>
    <w:rsid w:val="00DD3807"/>
    <w:rsid w:val="00DD4B74"/>
    <w:rsid w:val="00DD4EF6"/>
    <w:rsid w:val="00DD4F85"/>
    <w:rsid w:val="00DD5261"/>
    <w:rsid w:val="00DD5846"/>
    <w:rsid w:val="00DD758F"/>
    <w:rsid w:val="00DD75E0"/>
    <w:rsid w:val="00DE00D0"/>
    <w:rsid w:val="00DE0D95"/>
    <w:rsid w:val="00DE10B0"/>
    <w:rsid w:val="00DE1B7F"/>
    <w:rsid w:val="00DE1CC1"/>
    <w:rsid w:val="00DE1E39"/>
    <w:rsid w:val="00DE266B"/>
    <w:rsid w:val="00DE285C"/>
    <w:rsid w:val="00DE3DF8"/>
    <w:rsid w:val="00DE42E9"/>
    <w:rsid w:val="00DE49F5"/>
    <w:rsid w:val="00DE4C6D"/>
    <w:rsid w:val="00DE5846"/>
    <w:rsid w:val="00DE73E6"/>
    <w:rsid w:val="00DE7B32"/>
    <w:rsid w:val="00DE7D36"/>
    <w:rsid w:val="00DE7FD2"/>
    <w:rsid w:val="00DF05EE"/>
    <w:rsid w:val="00DF0B40"/>
    <w:rsid w:val="00DF10D9"/>
    <w:rsid w:val="00DF1664"/>
    <w:rsid w:val="00DF1CD2"/>
    <w:rsid w:val="00DF2E41"/>
    <w:rsid w:val="00DF39EE"/>
    <w:rsid w:val="00DF3B28"/>
    <w:rsid w:val="00DF3D75"/>
    <w:rsid w:val="00DF4A45"/>
    <w:rsid w:val="00DF50D3"/>
    <w:rsid w:val="00DF5DF0"/>
    <w:rsid w:val="00DF6536"/>
    <w:rsid w:val="00DF6573"/>
    <w:rsid w:val="00DF6DE7"/>
    <w:rsid w:val="00DF7567"/>
    <w:rsid w:val="00DF7DC9"/>
    <w:rsid w:val="00E0332B"/>
    <w:rsid w:val="00E033AD"/>
    <w:rsid w:val="00E036D5"/>
    <w:rsid w:val="00E03A8D"/>
    <w:rsid w:val="00E03B35"/>
    <w:rsid w:val="00E04822"/>
    <w:rsid w:val="00E0533B"/>
    <w:rsid w:val="00E057E3"/>
    <w:rsid w:val="00E05E11"/>
    <w:rsid w:val="00E0600E"/>
    <w:rsid w:val="00E07C57"/>
    <w:rsid w:val="00E109DF"/>
    <w:rsid w:val="00E10D8C"/>
    <w:rsid w:val="00E10DB9"/>
    <w:rsid w:val="00E11B81"/>
    <w:rsid w:val="00E11E24"/>
    <w:rsid w:val="00E1231D"/>
    <w:rsid w:val="00E123E4"/>
    <w:rsid w:val="00E129BE"/>
    <w:rsid w:val="00E12D16"/>
    <w:rsid w:val="00E147C9"/>
    <w:rsid w:val="00E14940"/>
    <w:rsid w:val="00E14EFE"/>
    <w:rsid w:val="00E14F17"/>
    <w:rsid w:val="00E17565"/>
    <w:rsid w:val="00E176B4"/>
    <w:rsid w:val="00E17DA0"/>
    <w:rsid w:val="00E20905"/>
    <w:rsid w:val="00E20C82"/>
    <w:rsid w:val="00E218A4"/>
    <w:rsid w:val="00E230BB"/>
    <w:rsid w:val="00E23A6F"/>
    <w:rsid w:val="00E24524"/>
    <w:rsid w:val="00E25960"/>
    <w:rsid w:val="00E25E00"/>
    <w:rsid w:val="00E26660"/>
    <w:rsid w:val="00E2763C"/>
    <w:rsid w:val="00E278E4"/>
    <w:rsid w:val="00E3046A"/>
    <w:rsid w:val="00E3092C"/>
    <w:rsid w:val="00E309D7"/>
    <w:rsid w:val="00E3235F"/>
    <w:rsid w:val="00E3296D"/>
    <w:rsid w:val="00E32B75"/>
    <w:rsid w:val="00E33239"/>
    <w:rsid w:val="00E33B25"/>
    <w:rsid w:val="00E3586E"/>
    <w:rsid w:val="00E35BDC"/>
    <w:rsid w:val="00E36524"/>
    <w:rsid w:val="00E3696F"/>
    <w:rsid w:val="00E37ACE"/>
    <w:rsid w:val="00E40100"/>
    <w:rsid w:val="00E40316"/>
    <w:rsid w:val="00E40A2B"/>
    <w:rsid w:val="00E40FCA"/>
    <w:rsid w:val="00E4100E"/>
    <w:rsid w:val="00E412FE"/>
    <w:rsid w:val="00E417FF"/>
    <w:rsid w:val="00E43C84"/>
    <w:rsid w:val="00E44D3E"/>
    <w:rsid w:val="00E4573E"/>
    <w:rsid w:val="00E45F30"/>
    <w:rsid w:val="00E4666D"/>
    <w:rsid w:val="00E467D7"/>
    <w:rsid w:val="00E46ABA"/>
    <w:rsid w:val="00E46D6B"/>
    <w:rsid w:val="00E475F9"/>
    <w:rsid w:val="00E47673"/>
    <w:rsid w:val="00E477AB"/>
    <w:rsid w:val="00E50A08"/>
    <w:rsid w:val="00E5204D"/>
    <w:rsid w:val="00E520FC"/>
    <w:rsid w:val="00E52EB9"/>
    <w:rsid w:val="00E55D7E"/>
    <w:rsid w:val="00E56F10"/>
    <w:rsid w:val="00E571D8"/>
    <w:rsid w:val="00E57AD0"/>
    <w:rsid w:val="00E60DAB"/>
    <w:rsid w:val="00E612DC"/>
    <w:rsid w:val="00E62217"/>
    <w:rsid w:val="00E63CEC"/>
    <w:rsid w:val="00E64425"/>
    <w:rsid w:val="00E658EA"/>
    <w:rsid w:val="00E659FD"/>
    <w:rsid w:val="00E65D4C"/>
    <w:rsid w:val="00E66152"/>
    <w:rsid w:val="00E661C5"/>
    <w:rsid w:val="00E6736C"/>
    <w:rsid w:val="00E70DF4"/>
    <w:rsid w:val="00E717E1"/>
    <w:rsid w:val="00E724C4"/>
    <w:rsid w:val="00E7309B"/>
    <w:rsid w:val="00E73793"/>
    <w:rsid w:val="00E73848"/>
    <w:rsid w:val="00E73EC9"/>
    <w:rsid w:val="00E743E7"/>
    <w:rsid w:val="00E744F3"/>
    <w:rsid w:val="00E74823"/>
    <w:rsid w:val="00E755C9"/>
    <w:rsid w:val="00E755CE"/>
    <w:rsid w:val="00E75852"/>
    <w:rsid w:val="00E75A45"/>
    <w:rsid w:val="00E75BEB"/>
    <w:rsid w:val="00E75FBE"/>
    <w:rsid w:val="00E7657A"/>
    <w:rsid w:val="00E767EF"/>
    <w:rsid w:val="00E76992"/>
    <w:rsid w:val="00E76B94"/>
    <w:rsid w:val="00E77267"/>
    <w:rsid w:val="00E8061D"/>
    <w:rsid w:val="00E81857"/>
    <w:rsid w:val="00E82544"/>
    <w:rsid w:val="00E85190"/>
    <w:rsid w:val="00E851F4"/>
    <w:rsid w:val="00E85661"/>
    <w:rsid w:val="00E864F2"/>
    <w:rsid w:val="00E8775E"/>
    <w:rsid w:val="00E879B5"/>
    <w:rsid w:val="00E87AC3"/>
    <w:rsid w:val="00E90F63"/>
    <w:rsid w:val="00E9134A"/>
    <w:rsid w:val="00E91849"/>
    <w:rsid w:val="00E91EE4"/>
    <w:rsid w:val="00E92071"/>
    <w:rsid w:val="00E922A6"/>
    <w:rsid w:val="00E923DD"/>
    <w:rsid w:val="00E92A52"/>
    <w:rsid w:val="00E936ED"/>
    <w:rsid w:val="00E945C2"/>
    <w:rsid w:val="00E94756"/>
    <w:rsid w:val="00E94778"/>
    <w:rsid w:val="00E94E0D"/>
    <w:rsid w:val="00E95156"/>
    <w:rsid w:val="00E962D3"/>
    <w:rsid w:val="00E9646D"/>
    <w:rsid w:val="00E96B10"/>
    <w:rsid w:val="00E971EC"/>
    <w:rsid w:val="00EA013E"/>
    <w:rsid w:val="00EA0A23"/>
    <w:rsid w:val="00EA0D88"/>
    <w:rsid w:val="00EA17C0"/>
    <w:rsid w:val="00EA2002"/>
    <w:rsid w:val="00EA24CB"/>
    <w:rsid w:val="00EA26A3"/>
    <w:rsid w:val="00EA2797"/>
    <w:rsid w:val="00EA2EE7"/>
    <w:rsid w:val="00EA3102"/>
    <w:rsid w:val="00EA4454"/>
    <w:rsid w:val="00EA666A"/>
    <w:rsid w:val="00EA6DA1"/>
    <w:rsid w:val="00EB1B73"/>
    <w:rsid w:val="00EB22B3"/>
    <w:rsid w:val="00EB25EA"/>
    <w:rsid w:val="00EB2DE6"/>
    <w:rsid w:val="00EB4330"/>
    <w:rsid w:val="00EB45D2"/>
    <w:rsid w:val="00EB4894"/>
    <w:rsid w:val="00EB55CA"/>
    <w:rsid w:val="00EB7476"/>
    <w:rsid w:val="00EC06B1"/>
    <w:rsid w:val="00EC1C5F"/>
    <w:rsid w:val="00EC1DC5"/>
    <w:rsid w:val="00EC2285"/>
    <w:rsid w:val="00EC2636"/>
    <w:rsid w:val="00EC27BB"/>
    <w:rsid w:val="00EC2846"/>
    <w:rsid w:val="00EC2DD1"/>
    <w:rsid w:val="00EC39DB"/>
    <w:rsid w:val="00EC489E"/>
    <w:rsid w:val="00EC4E7A"/>
    <w:rsid w:val="00EC52A2"/>
    <w:rsid w:val="00EC6DC8"/>
    <w:rsid w:val="00EC6FE4"/>
    <w:rsid w:val="00ED0178"/>
    <w:rsid w:val="00ED0CD4"/>
    <w:rsid w:val="00ED0FE3"/>
    <w:rsid w:val="00ED134A"/>
    <w:rsid w:val="00ED1943"/>
    <w:rsid w:val="00ED2078"/>
    <w:rsid w:val="00ED2F2F"/>
    <w:rsid w:val="00ED2F71"/>
    <w:rsid w:val="00ED32A1"/>
    <w:rsid w:val="00ED399D"/>
    <w:rsid w:val="00ED3A7E"/>
    <w:rsid w:val="00ED47FA"/>
    <w:rsid w:val="00ED4E22"/>
    <w:rsid w:val="00ED4ED5"/>
    <w:rsid w:val="00ED5949"/>
    <w:rsid w:val="00ED618C"/>
    <w:rsid w:val="00ED6CC2"/>
    <w:rsid w:val="00ED6D6B"/>
    <w:rsid w:val="00ED7673"/>
    <w:rsid w:val="00ED791D"/>
    <w:rsid w:val="00ED7A2E"/>
    <w:rsid w:val="00ED7AB8"/>
    <w:rsid w:val="00ED7CB8"/>
    <w:rsid w:val="00ED7E45"/>
    <w:rsid w:val="00ED7EB0"/>
    <w:rsid w:val="00EE0774"/>
    <w:rsid w:val="00EE0F93"/>
    <w:rsid w:val="00EE2C2F"/>
    <w:rsid w:val="00EE5944"/>
    <w:rsid w:val="00EE6543"/>
    <w:rsid w:val="00EE6921"/>
    <w:rsid w:val="00EE7037"/>
    <w:rsid w:val="00EE74FB"/>
    <w:rsid w:val="00EE7A3A"/>
    <w:rsid w:val="00EF03FA"/>
    <w:rsid w:val="00EF2C3A"/>
    <w:rsid w:val="00EF3818"/>
    <w:rsid w:val="00EF3B95"/>
    <w:rsid w:val="00EF3DFC"/>
    <w:rsid w:val="00EF41B7"/>
    <w:rsid w:val="00EF45E1"/>
    <w:rsid w:val="00EF4989"/>
    <w:rsid w:val="00EF51D5"/>
    <w:rsid w:val="00EF7296"/>
    <w:rsid w:val="00F004D8"/>
    <w:rsid w:val="00F01BE4"/>
    <w:rsid w:val="00F024D6"/>
    <w:rsid w:val="00F02772"/>
    <w:rsid w:val="00F03E44"/>
    <w:rsid w:val="00F04134"/>
    <w:rsid w:val="00F0533B"/>
    <w:rsid w:val="00F06F31"/>
    <w:rsid w:val="00F10474"/>
    <w:rsid w:val="00F10829"/>
    <w:rsid w:val="00F10934"/>
    <w:rsid w:val="00F114B4"/>
    <w:rsid w:val="00F11E62"/>
    <w:rsid w:val="00F124A0"/>
    <w:rsid w:val="00F12770"/>
    <w:rsid w:val="00F129D0"/>
    <w:rsid w:val="00F1355B"/>
    <w:rsid w:val="00F1444D"/>
    <w:rsid w:val="00F14E1E"/>
    <w:rsid w:val="00F151AE"/>
    <w:rsid w:val="00F16667"/>
    <w:rsid w:val="00F1737F"/>
    <w:rsid w:val="00F1798A"/>
    <w:rsid w:val="00F21166"/>
    <w:rsid w:val="00F233B0"/>
    <w:rsid w:val="00F236D6"/>
    <w:rsid w:val="00F2430C"/>
    <w:rsid w:val="00F2463C"/>
    <w:rsid w:val="00F248C1"/>
    <w:rsid w:val="00F26E9F"/>
    <w:rsid w:val="00F27712"/>
    <w:rsid w:val="00F27D7D"/>
    <w:rsid w:val="00F30166"/>
    <w:rsid w:val="00F313E7"/>
    <w:rsid w:val="00F31BBF"/>
    <w:rsid w:val="00F32563"/>
    <w:rsid w:val="00F32F00"/>
    <w:rsid w:val="00F33368"/>
    <w:rsid w:val="00F33375"/>
    <w:rsid w:val="00F33533"/>
    <w:rsid w:val="00F33F40"/>
    <w:rsid w:val="00F34282"/>
    <w:rsid w:val="00F347F5"/>
    <w:rsid w:val="00F35DE6"/>
    <w:rsid w:val="00F36D1D"/>
    <w:rsid w:val="00F36E68"/>
    <w:rsid w:val="00F36FB5"/>
    <w:rsid w:val="00F379CD"/>
    <w:rsid w:val="00F41B84"/>
    <w:rsid w:val="00F456E7"/>
    <w:rsid w:val="00F45844"/>
    <w:rsid w:val="00F458CC"/>
    <w:rsid w:val="00F47A7B"/>
    <w:rsid w:val="00F5074C"/>
    <w:rsid w:val="00F50CA0"/>
    <w:rsid w:val="00F52CBB"/>
    <w:rsid w:val="00F5315A"/>
    <w:rsid w:val="00F537FE"/>
    <w:rsid w:val="00F53A6F"/>
    <w:rsid w:val="00F53BE3"/>
    <w:rsid w:val="00F543EF"/>
    <w:rsid w:val="00F546BE"/>
    <w:rsid w:val="00F54FB0"/>
    <w:rsid w:val="00F54FC6"/>
    <w:rsid w:val="00F5606F"/>
    <w:rsid w:val="00F573CF"/>
    <w:rsid w:val="00F57B21"/>
    <w:rsid w:val="00F60909"/>
    <w:rsid w:val="00F61283"/>
    <w:rsid w:val="00F61357"/>
    <w:rsid w:val="00F6227D"/>
    <w:rsid w:val="00F622BE"/>
    <w:rsid w:val="00F625F5"/>
    <w:rsid w:val="00F627F9"/>
    <w:rsid w:val="00F632CA"/>
    <w:rsid w:val="00F65553"/>
    <w:rsid w:val="00F6669B"/>
    <w:rsid w:val="00F66896"/>
    <w:rsid w:val="00F66FBC"/>
    <w:rsid w:val="00F67947"/>
    <w:rsid w:val="00F67F8B"/>
    <w:rsid w:val="00F70D7A"/>
    <w:rsid w:val="00F727D9"/>
    <w:rsid w:val="00F72BA3"/>
    <w:rsid w:val="00F73268"/>
    <w:rsid w:val="00F735AD"/>
    <w:rsid w:val="00F73C41"/>
    <w:rsid w:val="00F74121"/>
    <w:rsid w:val="00F75A72"/>
    <w:rsid w:val="00F77126"/>
    <w:rsid w:val="00F77736"/>
    <w:rsid w:val="00F80269"/>
    <w:rsid w:val="00F80750"/>
    <w:rsid w:val="00F811CB"/>
    <w:rsid w:val="00F81673"/>
    <w:rsid w:val="00F81DF8"/>
    <w:rsid w:val="00F81E0F"/>
    <w:rsid w:val="00F8275A"/>
    <w:rsid w:val="00F82801"/>
    <w:rsid w:val="00F828A8"/>
    <w:rsid w:val="00F83F21"/>
    <w:rsid w:val="00F8475A"/>
    <w:rsid w:val="00F84940"/>
    <w:rsid w:val="00F85B0B"/>
    <w:rsid w:val="00F8675F"/>
    <w:rsid w:val="00F8685C"/>
    <w:rsid w:val="00F87ED9"/>
    <w:rsid w:val="00F9017E"/>
    <w:rsid w:val="00F9042E"/>
    <w:rsid w:val="00F9094E"/>
    <w:rsid w:val="00F90F73"/>
    <w:rsid w:val="00F91517"/>
    <w:rsid w:val="00F91D55"/>
    <w:rsid w:val="00F91D6A"/>
    <w:rsid w:val="00F92275"/>
    <w:rsid w:val="00F929F4"/>
    <w:rsid w:val="00F935F0"/>
    <w:rsid w:val="00F945D0"/>
    <w:rsid w:val="00FA02AC"/>
    <w:rsid w:val="00FA0410"/>
    <w:rsid w:val="00FA0E2C"/>
    <w:rsid w:val="00FA13EF"/>
    <w:rsid w:val="00FA16EE"/>
    <w:rsid w:val="00FA26CA"/>
    <w:rsid w:val="00FA270C"/>
    <w:rsid w:val="00FA2A79"/>
    <w:rsid w:val="00FA345F"/>
    <w:rsid w:val="00FA36F0"/>
    <w:rsid w:val="00FA50D3"/>
    <w:rsid w:val="00FA51AB"/>
    <w:rsid w:val="00FA58AB"/>
    <w:rsid w:val="00FA58E9"/>
    <w:rsid w:val="00FA6B21"/>
    <w:rsid w:val="00FA6D44"/>
    <w:rsid w:val="00FA7091"/>
    <w:rsid w:val="00FA777B"/>
    <w:rsid w:val="00FB092F"/>
    <w:rsid w:val="00FB1474"/>
    <w:rsid w:val="00FB180A"/>
    <w:rsid w:val="00FB4F0F"/>
    <w:rsid w:val="00FB6C40"/>
    <w:rsid w:val="00FB7542"/>
    <w:rsid w:val="00FB7834"/>
    <w:rsid w:val="00FC018F"/>
    <w:rsid w:val="00FC0BF3"/>
    <w:rsid w:val="00FC0EF2"/>
    <w:rsid w:val="00FC1D1F"/>
    <w:rsid w:val="00FC25A9"/>
    <w:rsid w:val="00FC290C"/>
    <w:rsid w:val="00FC7038"/>
    <w:rsid w:val="00FC75D3"/>
    <w:rsid w:val="00FC7D6E"/>
    <w:rsid w:val="00FD023F"/>
    <w:rsid w:val="00FD02AE"/>
    <w:rsid w:val="00FD03D6"/>
    <w:rsid w:val="00FD07FD"/>
    <w:rsid w:val="00FD0A25"/>
    <w:rsid w:val="00FD1739"/>
    <w:rsid w:val="00FD2B7C"/>
    <w:rsid w:val="00FD3F8E"/>
    <w:rsid w:val="00FD4544"/>
    <w:rsid w:val="00FD5890"/>
    <w:rsid w:val="00FD6763"/>
    <w:rsid w:val="00FD6843"/>
    <w:rsid w:val="00FD6E5D"/>
    <w:rsid w:val="00FD74D0"/>
    <w:rsid w:val="00FD7B99"/>
    <w:rsid w:val="00FD7C5A"/>
    <w:rsid w:val="00FE099F"/>
    <w:rsid w:val="00FE151D"/>
    <w:rsid w:val="00FE1A40"/>
    <w:rsid w:val="00FE1E98"/>
    <w:rsid w:val="00FE300B"/>
    <w:rsid w:val="00FE3D2F"/>
    <w:rsid w:val="00FE3D38"/>
    <w:rsid w:val="00FE4EDE"/>
    <w:rsid w:val="00FE5C94"/>
    <w:rsid w:val="00FE5DE1"/>
    <w:rsid w:val="00FE5F11"/>
    <w:rsid w:val="00FE6415"/>
    <w:rsid w:val="00FE6CA4"/>
    <w:rsid w:val="00FF049F"/>
    <w:rsid w:val="00FF10AC"/>
    <w:rsid w:val="00FF135E"/>
    <w:rsid w:val="00FF173E"/>
    <w:rsid w:val="00FF1F42"/>
    <w:rsid w:val="00FF39E7"/>
    <w:rsid w:val="00FF3D05"/>
    <w:rsid w:val="00FF7D57"/>
    <w:rsid w:val="013EB76D"/>
    <w:rsid w:val="02E4B245"/>
    <w:rsid w:val="03E9DB2A"/>
    <w:rsid w:val="045127F7"/>
    <w:rsid w:val="059B557C"/>
    <w:rsid w:val="05A3373F"/>
    <w:rsid w:val="05CD158D"/>
    <w:rsid w:val="05D204BA"/>
    <w:rsid w:val="0699E032"/>
    <w:rsid w:val="06D9602D"/>
    <w:rsid w:val="07057B6E"/>
    <w:rsid w:val="0791E2D1"/>
    <w:rsid w:val="07D6DE20"/>
    <w:rsid w:val="0829CE43"/>
    <w:rsid w:val="094FA06D"/>
    <w:rsid w:val="099B7784"/>
    <w:rsid w:val="09FB3D69"/>
    <w:rsid w:val="0A0F74D0"/>
    <w:rsid w:val="0A11DB12"/>
    <w:rsid w:val="0B086F28"/>
    <w:rsid w:val="0B1A5934"/>
    <w:rsid w:val="0B338C29"/>
    <w:rsid w:val="0BA8A77F"/>
    <w:rsid w:val="0BBA0B15"/>
    <w:rsid w:val="0C6D22C0"/>
    <w:rsid w:val="0DC5DA4E"/>
    <w:rsid w:val="0DF2805F"/>
    <w:rsid w:val="0EA7F1A3"/>
    <w:rsid w:val="0EC0273D"/>
    <w:rsid w:val="0FCA3F37"/>
    <w:rsid w:val="105E438B"/>
    <w:rsid w:val="10EC439F"/>
    <w:rsid w:val="11535CAC"/>
    <w:rsid w:val="120A7F24"/>
    <w:rsid w:val="1281612B"/>
    <w:rsid w:val="128ECE35"/>
    <w:rsid w:val="1313FB60"/>
    <w:rsid w:val="132E34F1"/>
    <w:rsid w:val="1380EF5C"/>
    <w:rsid w:val="13CB2DAB"/>
    <w:rsid w:val="13DCD14B"/>
    <w:rsid w:val="14E85D32"/>
    <w:rsid w:val="166B79B5"/>
    <w:rsid w:val="170CE702"/>
    <w:rsid w:val="174D4839"/>
    <w:rsid w:val="183ED932"/>
    <w:rsid w:val="191551E1"/>
    <w:rsid w:val="19399437"/>
    <w:rsid w:val="19769DC6"/>
    <w:rsid w:val="197A2D49"/>
    <w:rsid w:val="1A4F5E84"/>
    <w:rsid w:val="1B49D4A8"/>
    <w:rsid w:val="1B84C11E"/>
    <w:rsid w:val="1BD5596B"/>
    <w:rsid w:val="1D329276"/>
    <w:rsid w:val="1E23628B"/>
    <w:rsid w:val="1F7A69F4"/>
    <w:rsid w:val="1FC4CA7C"/>
    <w:rsid w:val="2022B16F"/>
    <w:rsid w:val="2041EC61"/>
    <w:rsid w:val="20903537"/>
    <w:rsid w:val="20B63FE2"/>
    <w:rsid w:val="21368EE4"/>
    <w:rsid w:val="21B85344"/>
    <w:rsid w:val="227A5918"/>
    <w:rsid w:val="22F71CA4"/>
    <w:rsid w:val="238FFE1E"/>
    <w:rsid w:val="241F5504"/>
    <w:rsid w:val="244AD34B"/>
    <w:rsid w:val="24867253"/>
    <w:rsid w:val="255D9FF4"/>
    <w:rsid w:val="25B1F9DA"/>
    <w:rsid w:val="25E48047"/>
    <w:rsid w:val="268BC467"/>
    <w:rsid w:val="272C08AB"/>
    <w:rsid w:val="275C7267"/>
    <w:rsid w:val="27C557B0"/>
    <w:rsid w:val="285A61AD"/>
    <w:rsid w:val="285D7AF4"/>
    <w:rsid w:val="2888FCDB"/>
    <w:rsid w:val="28BCA7B2"/>
    <w:rsid w:val="29CAFA03"/>
    <w:rsid w:val="2A258CBF"/>
    <w:rsid w:val="2A346EFB"/>
    <w:rsid w:val="2AFA919A"/>
    <w:rsid w:val="2B4E54D1"/>
    <w:rsid w:val="2C31E29A"/>
    <w:rsid w:val="2CE126BB"/>
    <w:rsid w:val="2D02ED8D"/>
    <w:rsid w:val="2D5B2F7B"/>
    <w:rsid w:val="2DEB4CDE"/>
    <w:rsid w:val="2DFCE800"/>
    <w:rsid w:val="2DFDE5DC"/>
    <w:rsid w:val="2EFE7C75"/>
    <w:rsid w:val="2F933285"/>
    <w:rsid w:val="2F9D1BCA"/>
    <w:rsid w:val="3032A6AD"/>
    <w:rsid w:val="30A8BFDB"/>
    <w:rsid w:val="319DCD61"/>
    <w:rsid w:val="32CFF6CE"/>
    <w:rsid w:val="3314D249"/>
    <w:rsid w:val="33228BDA"/>
    <w:rsid w:val="336A476F"/>
    <w:rsid w:val="34065331"/>
    <w:rsid w:val="342290F8"/>
    <w:rsid w:val="344946B7"/>
    <w:rsid w:val="3499AFDB"/>
    <w:rsid w:val="34BDEDA8"/>
    <w:rsid w:val="354600D3"/>
    <w:rsid w:val="355FAF97"/>
    <w:rsid w:val="35DC619F"/>
    <w:rsid w:val="373E1CF5"/>
    <w:rsid w:val="37742345"/>
    <w:rsid w:val="377C82C7"/>
    <w:rsid w:val="37CD84EC"/>
    <w:rsid w:val="37E3C8AF"/>
    <w:rsid w:val="38DE5666"/>
    <w:rsid w:val="3A0A566E"/>
    <w:rsid w:val="3B2F737C"/>
    <w:rsid w:val="3C4FF3EA"/>
    <w:rsid w:val="3C58D20E"/>
    <w:rsid w:val="3D2D11E9"/>
    <w:rsid w:val="3E104B00"/>
    <w:rsid w:val="3E38FABC"/>
    <w:rsid w:val="3EAEF753"/>
    <w:rsid w:val="3EAFCEA3"/>
    <w:rsid w:val="3F6E6C4F"/>
    <w:rsid w:val="3FE68DD0"/>
    <w:rsid w:val="40DC7FC5"/>
    <w:rsid w:val="40E7AB68"/>
    <w:rsid w:val="40F12475"/>
    <w:rsid w:val="4139E272"/>
    <w:rsid w:val="41707F5C"/>
    <w:rsid w:val="4217F14E"/>
    <w:rsid w:val="42BBEA05"/>
    <w:rsid w:val="43744279"/>
    <w:rsid w:val="43B4BDCE"/>
    <w:rsid w:val="43BB2138"/>
    <w:rsid w:val="43E39D32"/>
    <w:rsid w:val="4442B6E2"/>
    <w:rsid w:val="445B05CF"/>
    <w:rsid w:val="44E802C4"/>
    <w:rsid w:val="4602C386"/>
    <w:rsid w:val="472B48B4"/>
    <w:rsid w:val="473364A0"/>
    <w:rsid w:val="4792A691"/>
    <w:rsid w:val="47ACB9D8"/>
    <w:rsid w:val="48A32F09"/>
    <w:rsid w:val="48B12FAD"/>
    <w:rsid w:val="494E79D0"/>
    <w:rsid w:val="49CE1E04"/>
    <w:rsid w:val="4A737A38"/>
    <w:rsid w:val="4B12D4AF"/>
    <w:rsid w:val="4B7A21F1"/>
    <w:rsid w:val="4B869EAF"/>
    <w:rsid w:val="4C0E1D69"/>
    <w:rsid w:val="4C9A83FD"/>
    <w:rsid w:val="4D176832"/>
    <w:rsid w:val="4D4104CA"/>
    <w:rsid w:val="4D4C41E4"/>
    <w:rsid w:val="4E1FAE2F"/>
    <w:rsid w:val="4E589815"/>
    <w:rsid w:val="4EDC82AB"/>
    <w:rsid w:val="4F8ECF1B"/>
    <w:rsid w:val="4F9A98B6"/>
    <w:rsid w:val="4FCD9DCF"/>
    <w:rsid w:val="5062FD8C"/>
    <w:rsid w:val="5120607A"/>
    <w:rsid w:val="517795F8"/>
    <w:rsid w:val="518806A3"/>
    <w:rsid w:val="52233B9E"/>
    <w:rsid w:val="5235336C"/>
    <w:rsid w:val="52A6A7C9"/>
    <w:rsid w:val="539D654B"/>
    <w:rsid w:val="552932E7"/>
    <w:rsid w:val="559817E7"/>
    <w:rsid w:val="56731776"/>
    <w:rsid w:val="57BE3847"/>
    <w:rsid w:val="584A56AF"/>
    <w:rsid w:val="590CEE28"/>
    <w:rsid w:val="59335FE5"/>
    <w:rsid w:val="59D3FE8B"/>
    <w:rsid w:val="59E505DB"/>
    <w:rsid w:val="5A13BA91"/>
    <w:rsid w:val="5A3EB275"/>
    <w:rsid w:val="5A911FA0"/>
    <w:rsid w:val="5A99A8A7"/>
    <w:rsid w:val="5AAF26A4"/>
    <w:rsid w:val="5B14BDB2"/>
    <w:rsid w:val="5B7F4C0E"/>
    <w:rsid w:val="5BB0C203"/>
    <w:rsid w:val="5BBB05B3"/>
    <w:rsid w:val="5BC9EA11"/>
    <w:rsid w:val="5BDDBBB0"/>
    <w:rsid w:val="5BDDCDE6"/>
    <w:rsid w:val="5BF291CE"/>
    <w:rsid w:val="5C5DA3D1"/>
    <w:rsid w:val="5C8FB8F2"/>
    <w:rsid w:val="5CA4EF76"/>
    <w:rsid w:val="5E9AA22F"/>
    <w:rsid w:val="5EAE3448"/>
    <w:rsid w:val="5EEF4ED4"/>
    <w:rsid w:val="5F2CC23C"/>
    <w:rsid w:val="5F658832"/>
    <w:rsid w:val="5FB507CA"/>
    <w:rsid w:val="608DF001"/>
    <w:rsid w:val="61808288"/>
    <w:rsid w:val="61EE8D92"/>
    <w:rsid w:val="61FE375F"/>
    <w:rsid w:val="62527C40"/>
    <w:rsid w:val="626E9D0F"/>
    <w:rsid w:val="62AA2535"/>
    <w:rsid w:val="62DF0788"/>
    <w:rsid w:val="63C36438"/>
    <w:rsid w:val="642DD716"/>
    <w:rsid w:val="64702243"/>
    <w:rsid w:val="64987BE0"/>
    <w:rsid w:val="64BDB5A3"/>
    <w:rsid w:val="64D24687"/>
    <w:rsid w:val="64FD248E"/>
    <w:rsid w:val="65B28C71"/>
    <w:rsid w:val="65D1C082"/>
    <w:rsid w:val="66691789"/>
    <w:rsid w:val="676737EF"/>
    <w:rsid w:val="696558D5"/>
    <w:rsid w:val="69DADDDF"/>
    <w:rsid w:val="6B5B0480"/>
    <w:rsid w:val="6BB4D577"/>
    <w:rsid w:val="6C23143E"/>
    <w:rsid w:val="6C2851DB"/>
    <w:rsid w:val="6C8321AE"/>
    <w:rsid w:val="6E5A5556"/>
    <w:rsid w:val="6E784D52"/>
    <w:rsid w:val="6EA7666C"/>
    <w:rsid w:val="6EE17103"/>
    <w:rsid w:val="6F2C2CFB"/>
    <w:rsid w:val="6FBF08C8"/>
    <w:rsid w:val="6FDF1250"/>
    <w:rsid w:val="70139BCC"/>
    <w:rsid w:val="70288CCB"/>
    <w:rsid w:val="71412F73"/>
    <w:rsid w:val="720D90C0"/>
    <w:rsid w:val="72222EF1"/>
    <w:rsid w:val="723A42DA"/>
    <w:rsid w:val="725EAEED"/>
    <w:rsid w:val="72E59F94"/>
    <w:rsid w:val="72F26332"/>
    <w:rsid w:val="731BA212"/>
    <w:rsid w:val="735594F9"/>
    <w:rsid w:val="735ADFB8"/>
    <w:rsid w:val="73A86F43"/>
    <w:rsid w:val="74549FB4"/>
    <w:rsid w:val="74BB12B1"/>
    <w:rsid w:val="75D2D363"/>
    <w:rsid w:val="75DA2623"/>
    <w:rsid w:val="75EE7011"/>
    <w:rsid w:val="76C2B5DA"/>
    <w:rsid w:val="7702A14D"/>
    <w:rsid w:val="7718DEBD"/>
    <w:rsid w:val="7731BFD5"/>
    <w:rsid w:val="79705186"/>
    <w:rsid w:val="7A107276"/>
    <w:rsid w:val="7A463F54"/>
    <w:rsid w:val="7B499B3F"/>
    <w:rsid w:val="7B8F2D28"/>
    <w:rsid w:val="7BEB1C79"/>
    <w:rsid w:val="7BF93955"/>
    <w:rsid w:val="7C03DBE7"/>
    <w:rsid w:val="7CFC4235"/>
    <w:rsid w:val="7D38C17F"/>
    <w:rsid w:val="7D8F0665"/>
    <w:rsid w:val="7DBE5106"/>
    <w:rsid w:val="7E5D20BF"/>
    <w:rsid w:val="7E77CD96"/>
    <w:rsid w:val="7E965223"/>
    <w:rsid w:val="7EBC1C4D"/>
    <w:rsid w:val="7EBC88C1"/>
    <w:rsid w:val="7EBC90D1"/>
    <w:rsid w:val="7EFDE8B5"/>
    <w:rsid w:val="7F83211E"/>
    <w:rsid w:val="7FD8A59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631C"/>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5D2709"/>
    <w:pPr>
      <w:tabs>
        <w:tab w:val="left" w:pos="480"/>
        <w:tab w:val="right" w:leader="dot" w:pos="9004"/>
      </w:tabs>
      <w:spacing w:before="120"/>
    </w:pPr>
    <w:rPr>
      <w:b/>
      <w:bCs/>
      <w:noProof/>
    </w:rPr>
  </w:style>
  <w:style w:type="paragraph" w:styleId="Verzeichnis2">
    <w:name w:val="toc 2"/>
    <w:basedOn w:val="Standard"/>
    <w:next w:val="Standard"/>
    <w:autoRedefine/>
    <w:uiPriority w:val="39"/>
    <w:rsid w:val="00B5697D"/>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uiPriority w:val="99"/>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8"/>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 w:type="paragraph" w:styleId="Funotentext">
    <w:name w:val="footnote text"/>
    <w:basedOn w:val="Standard"/>
    <w:link w:val="FunotentextZchn"/>
    <w:uiPriority w:val="99"/>
    <w:semiHidden/>
    <w:unhideWhenUsed/>
    <w:rsid w:val="002F07E3"/>
    <w:rPr>
      <w:sz w:val="20"/>
      <w:szCs w:val="20"/>
    </w:rPr>
  </w:style>
  <w:style w:type="character" w:customStyle="1" w:styleId="FunotentextZchn">
    <w:name w:val="Fußnotentext Zchn"/>
    <w:basedOn w:val="Absatz-Standardschriftart"/>
    <w:link w:val="Funotentext"/>
    <w:uiPriority w:val="99"/>
    <w:semiHidden/>
    <w:rsid w:val="002F07E3"/>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6601814">
      <w:bodyDiv w:val="1"/>
      <w:marLeft w:val="0"/>
      <w:marRight w:val="0"/>
      <w:marTop w:val="0"/>
      <w:marBottom w:val="0"/>
      <w:divBdr>
        <w:top w:val="none" w:sz="0" w:space="0" w:color="auto"/>
        <w:left w:val="none" w:sz="0" w:space="0" w:color="auto"/>
        <w:bottom w:val="none" w:sz="0" w:space="0" w:color="auto"/>
        <w:right w:val="none" w:sz="0" w:space="0" w:color="auto"/>
      </w:divBdr>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77733643">
      <w:bodyDiv w:val="1"/>
      <w:marLeft w:val="0"/>
      <w:marRight w:val="0"/>
      <w:marTop w:val="0"/>
      <w:marBottom w:val="0"/>
      <w:divBdr>
        <w:top w:val="none" w:sz="0" w:space="0" w:color="auto"/>
        <w:left w:val="none" w:sz="0" w:space="0" w:color="auto"/>
        <w:bottom w:val="none" w:sz="0" w:space="0" w:color="auto"/>
        <w:right w:val="none" w:sz="0" w:space="0" w:color="auto"/>
      </w:divBdr>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89934149">
      <w:bodyDiv w:val="1"/>
      <w:marLeft w:val="0"/>
      <w:marRight w:val="0"/>
      <w:marTop w:val="0"/>
      <w:marBottom w:val="0"/>
      <w:divBdr>
        <w:top w:val="none" w:sz="0" w:space="0" w:color="auto"/>
        <w:left w:val="none" w:sz="0" w:space="0" w:color="auto"/>
        <w:bottom w:val="none" w:sz="0" w:space="0" w:color="auto"/>
        <w:right w:val="none" w:sz="0" w:space="0" w:color="auto"/>
      </w:divBdr>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967510125">
      <w:bodyDiv w:val="1"/>
      <w:marLeft w:val="0"/>
      <w:marRight w:val="0"/>
      <w:marTop w:val="0"/>
      <w:marBottom w:val="0"/>
      <w:divBdr>
        <w:top w:val="none" w:sz="0" w:space="0" w:color="auto"/>
        <w:left w:val="none" w:sz="0" w:space="0" w:color="auto"/>
        <w:bottom w:val="none" w:sz="0" w:space="0" w:color="auto"/>
        <w:right w:val="none" w:sz="0" w:space="0" w:color="auto"/>
      </w:divBdr>
    </w:div>
    <w:div w:id="1033920987">
      <w:bodyDiv w:val="1"/>
      <w:marLeft w:val="0"/>
      <w:marRight w:val="0"/>
      <w:marTop w:val="0"/>
      <w:marBottom w:val="0"/>
      <w:divBdr>
        <w:top w:val="none" w:sz="0" w:space="0" w:color="auto"/>
        <w:left w:val="none" w:sz="0" w:space="0" w:color="auto"/>
        <w:bottom w:val="none" w:sz="0" w:space="0" w:color="auto"/>
        <w:right w:val="none" w:sz="0" w:space="0" w:color="auto"/>
      </w:divBdr>
    </w:div>
    <w:div w:id="1170408644">
      <w:bodyDiv w:val="1"/>
      <w:marLeft w:val="0"/>
      <w:marRight w:val="0"/>
      <w:marTop w:val="0"/>
      <w:marBottom w:val="0"/>
      <w:divBdr>
        <w:top w:val="none" w:sz="0" w:space="0" w:color="auto"/>
        <w:left w:val="none" w:sz="0" w:space="0" w:color="auto"/>
        <w:bottom w:val="none" w:sz="0" w:space="0" w:color="auto"/>
        <w:right w:val="none" w:sz="0" w:space="0" w:color="auto"/>
      </w:divBdr>
      <w:divsChild>
        <w:div w:id="577130076">
          <w:marLeft w:val="0"/>
          <w:marRight w:val="0"/>
          <w:marTop w:val="0"/>
          <w:marBottom w:val="0"/>
          <w:divBdr>
            <w:top w:val="none" w:sz="0" w:space="0" w:color="auto"/>
            <w:left w:val="none" w:sz="0" w:space="0" w:color="auto"/>
            <w:bottom w:val="none" w:sz="0" w:space="0" w:color="auto"/>
            <w:right w:val="none" w:sz="0" w:space="0" w:color="auto"/>
          </w:divBdr>
        </w:div>
        <w:div w:id="1769347198">
          <w:marLeft w:val="0"/>
          <w:marRight w:val="0"/>
          <w:marTop w:val="0"/>
          <w:marBottom w:val="0"/>
          <w:divBdr>
            <w:top w:val="none" w:sz="0" w:space="0" w:color="auto"/>
            <w:left w:val="none" w:sz="0" w:space="0" w:color="auto"/>
            <w:bottom w:val="none" w:sz="0" w:space="0" w:color="auto"/>
            <w:right w:val="none" w:sz="0" w:space="0" w:color="auto"/>
          </w:divBdr>
          <w:divsChild>
            <w:div w:id="68619261">
              <w:marLeft w:val="0"/>
              <w:marRight w:val="0"/>
              <w:marTop w:val="60"/>
              <w:marBottom w:val="0"/>
              <w:divBdr>
                <w:top w:val="none" w:sz="0" w:space="0" w:color="auto"/>
                <w:left w:val="none" w:sz="0" w:space="0" w:color="auto"/>
                <w:bottom w:val="none" w:sz="0" w:space="0" w:color="auto"/>
                <w:right w:val="none" w:sz="0" w:space="0" w:color="auto"/>
              </w:divBdr>
            </w:div>
          </w:divsChild>
        </w:div>
        <w:div w:id="1979070566">
          <w:marLeft w:val="0"/>
          <w:marRight w:val="0"/>
          <w:marTop w:val="0"/>
          <w:marBottom w:val="0"/>
          <w:divBdr>
            <w:top w:val="none" w:sz="0" w:space="0" w:color="auto"/>
            <w:left w:val="none" w:sz="0" w:space="0" w:color="auto"/>
            <w:bottom w:val="none" w:sz="0" w:space="0" w:color="auto"/>
            <w:right w:val="none" w:sz="0" w:space="0" w:color="auto"/>
          </w:divBdr>
          <w:divsChild>
            <w:div w:id="4678322">
              <w:marLeft w:val="0"/>
              <w:marRight w:val="0"/>
              <w:marTop w:val="0"/>
              <w:marBottom w:val="0"/>
              <w:divBdr>
                <w:top w:val="none" w:sz="0" w:space="0" w:color="auto"/>
                <w:left w:val="none" w:sz="0" w:space="0" w:color="auto"/>
                <w:bottom w:val="none" w:sz="0" w:space="0" w:color="auto"/>
                <w:right w:val="none" w:sz="0" w:space="0" w:color="auto"/>
              </w:divBdr>
              <w:divsChild>
                <w:div w:id="1914775501">
                  <w:marLeft w:val="0"/>
                  <w:marRight w:val="0"/>
                  <w:marTop w:val="0"/>
                  <w:marBottom w:val="0"/>
                  <w:divBdr>
                    <w:top w:val="none" w:sz="0" w:space="0" w:color="auto"/>
                    <w:left w:val="none" w:sz="0" w:space="0" w:color="auto"/>
                    <w:bottom w:val="none" w:sz="0" w:space="0" w:color="auto"/>
                    <w:right w:val="none" w:sz="0" w:space="0" w:color="auto"/>
                  </w:divBdr>
                  <w:divsChild>
                    <w:div w:id="5752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8321">
              <w:marLeft w:val="0"/>
              <w:marRight w:val="0"/>
              <w:marTop w:val="0"/>
              <w:marBottom w:val="0"/>
              <w:divBdr>
                <w:top w:val="none" w:sz="0" w:space="0" w:color="auto"/>
                <w:left w:val="none" w:sz="0" w:space="0" w:color="auto"/>
                <w:bottom w:val="none" w:sz="0" w:space="0" w:color="auto"/>
                <w:right w:val="none" w:sz="0" w:space="0" w:color="auto"/>
              </w:divBdr>
              <w:divsChild>
                <w:div w:id="1610237674">
                  <w:marLeft w:val="0"/>
                  <w:marRight w:val="0"/>
                  <w:marTop w:val="0"/>
                  <w:marBottom w:val="0"/>
                  <w:divBdr>
                    <w:top w:val="none" w:sz="0" w:space="0" w:color="auto"/>
                    <w:left w:val="none" w:sz="0" w:space="0" w:color="auto"/>
                    <w:bottom w:val="none" w:sz="0" w:space="0" w:color="auto"/>
                    <w:right w:val="none" w:sz="0" w:space="0" w:color="auto"/>
                  </w:divBdr>
                  <w:divsChild>
                    <w:div w:id="153954332">
                      <w:marLeft w:val="0"/>
                      <w:marRight w:val="0"/>
                      <w:marTop w:val="0"/>
                      <w:marBottom w:val="0"/>
                      <w:divBdr>
                        <w:top w:val="none" w:sz="0" w:space="0" w:color="auto"/>
                        <w:left w:val="none" w:sz="0" w:space="0" w:color="auto"/>
                        <w:bottom w:val="none" w:sz="0" w:space="0" w:color="auto"/>
                        <w:right w:val="none" w:sz="0" w:space="0" w:color="auto"/>
                      </w:divBdr>
                      <w:divsChild>
                        <w:div w:id="837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4294">
      <w:bodyDiv w:val="1"/>
      <w:marLeft w:val="0"/>
      <w:marRight w:val="0"/>
      <w:marTop w:val="0"/>
      <w:marBottom w:val="0"/>
      <w:divBdr>
        <w:top w:val="none" w:sz="0" w:space="0" w:color="auto"/>
        <w:left w:val="none" w:sz="0" w:space="0" w:color="auto"/>
        <w:bottom w:val="none" w:sz="0" w:space="0" w:color="auto"/>
        <w:right w:val="none" w:sz="0" w:space="0" w:color="auto"/>
      </w:divBdr>
    </w:div>
    <w:div w:id="130268673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59251936">
      <w:bodyDiv w:val="1"/>
      <w:marLeft w:val="0"/>
      <w:marRight w:val="0"/>
      <w:marTop w:val="0"/>
      <w:marBottom w:val="0"/>
      <w:divBdr>
        <w:top w:val="none" w:sz="0" w:space="0" w:color="auto"/>
        <w:left w:val="none" w:sz="0" w:space="0" w:color="auto"/>
        <w:bottom w:val="none" w:sz="0" w:space="0" w:color="auto"/>
        <w:right w:val="none" w:sz="0" w:space="0" w:color="auto"/>
      </w:divBdr>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5612424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 w:id="1880432853">
      <w:bodyDiv w:val="1"/>
      <w:marLeft w:val="0"/>
      <w:marRight w:val="0"/>
      <w:marTop w:val="0"/>
      <w:marBottom w:val="0"/>
      <w:divBdr>
        <w:top w:val="none" w:sz="0" w:space="0" w:color="auto"/>
        <w:left w:val="none" w:sz="0" w:space="0" w:color="auto"/>
        <w:bottom w:val="none" w:sz="0" w:space="0" w:color="auto"/>
        <w:right w:val="none" w:sz="0" w:space="0" w:color="auto"/>
      </w:divBdr>
      <w:divsChild>
        <w:div w:id="1074669262">
          <w:marLeft w:val="0"/>
          <w:marRight w:val="0"/>
          <w:marTop w:val="0"/>
          <w:marBottom w:val="0"/>
          <w:divBdr>
            <w:top w:val="none" w:sz="0" w:space="0" w:color="auto"/>
            <w:left w:val="none" w:sz="0" w:space="0" w:color="auto"/>
            <w:bottom w:val="none" w:sz="0" w:space="0" w:color="auto"/>
            <w:right w:val="none" w:sz="0" w:space="0" w:color="auto"/>
          </w:divBdr>
        </w:div>
        <w:div w:id="1335108075">
          <w:marLeft w:val="0"/>
          <w:marRight w:val="0"/>
          <w:marTop w:val="0"/>
          <w:marBottom w:val="0"/>
          <w:divBdr>
            <w:top w:val="none" w:sz="0" w:space="0" w:color="auto"/>
            <w:left w:val="none" w:sz="0" w:space="0" w:color="auto"/>
            <w:bottom w:val="none" w:sz="0" w:space="0" w:color="auto"/>
            <w:right w:val="none" w:sz="0" w:space="0" w:color="auto"/>
          </w:divBdr>
          <w:divsChild>
            <w:div w:id="988090408">
              <w:marLeft w:val="0"/>
              <w:marRight w:val="0"/>
              <w:marTop w:val="60"/>
              <w:marBottom w:val="0"/>
              <w:divBdr>
                <w:top w:val="none" w:sz="0" w:space="0" w:color="auto"/>
                <w:left w:val="none" w:sz="0" w:space="0" w:color="auto"/>
                <w:bottom w:val="none" w:sz="0" w:space="0" w:color="auto"/>
                <w:right w:val="none" w:sz="0" w:space="0" w:color="auto"/>
              </w:divBdr>
            </w:div>
          </w:divsChild>
        </w:div>
        <w:div w:id="1414204583">
          <w:marLeft w:val="0"/>
          <w:marRight w:val="0"/>
          <w:marTop w:val="0"/>
          <w:marBottom w:val="0"/>
          <w:divBdr>
            <w:top w:val="none" w:sz="0" w:space="0" w:color="auto"/>
            <w:left w:val="none" w:sz="0" w:space="0" w:color="auto"/>
            <w:bottom w:val="none" w:sz="0" w:space="0" w:color="auto"/>
            <w:right w:val="none" w:sz="0" w:space="0" w:color="auto"/>
          </w:divBdr>
          <w:divsChild>
            <w:div w:id="344407073">
              <w:marLeft w:val="0"/>
              <w:marRight w:val="0"/>
              <w:marTop w:val="0"/>
              <w:marBottom w:val="0"/>
              <w:divBdr>
                <w:top w:val="none" w:sz="0" w:space="0" w:color="auto"/>
                <w:left w:val="none" w:sz="0" w:space="0" w:color="auto"/>
                <w:bottom w:val="none" w:sz="0" w:space="0" w:color="auto"/>
                <w:right w:val="none" w:sz="0" w:space="0" w:color="auto"/>
              </w:divBdr>
              <w:divsChild>
                <w:div w:id="2046830028">
                  <w:marLeft w:val="0"/>
                  <w:marRight w:val="0"/>
                  <w:marTop w:val="0"/>
                  <w:marBottom w:val="0"/>
                  <w:divBdr>
                    <w:top w:val="none" w:sz="0" w:space="0" w:color="auto"/>
                    <w:left w:val="none" w:sz="0" w:space="0" w:color="auto"/>
                    <w:bottom w:val="none" w:sz="0" w:space="0" w:color="auto"/>
                    <w:right w:val="none" w:sz="0" w:space="0" w:color="auto"/>
                  </w:divBdr>
                  <w:divsChild>
                    <w:div w:id="888420976">
                      <w:marLeft w:val="0"/>
                      <w:marRight w:val="0"/>
                      <w:marTop w:val="0"/>
                      <w:marBottom w:val="0"/>
                      <w:divBdr>
                        <w:top w:val="none" w:sz="0" w:space="0" w:color="auto"/>
                        <w:left w:val="none" w:sz="0" w:space="0" w:color="auto"/>
                        <w:bottom w:val="none" w:sz="0" w:space="0" w:color="auto"/>
                        <w:right w:val="none" w:sz="0" w:space="0" w:color="auto"/>
                      </w:divBdr>
                      <w:divsChild>
                        <w:div w:id="1140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62349">
              <w:marLeft w:val="0"/>
              <w:marRight w:val="0"/>
              <w:marTop w:val="0"/>
              <w:marBottom w:val="0"/>
              <w:divBdr>
                <w:top w:val="none" w:sz="0" w:space="0" w:color="auto"/>
                <w:left w:val="none" w:sz="0" w:space="0" w:color="auto"/>
                <w:bottom w:val="none" w:sz="0" w:space="0" w:color="auto"/>
                <w:right w:val="none" w:sz="0" w:space="0" w:color="auto"/>
              </w:divBdr>
              <w:divsChild>
                <w:div w:id="48698122">
                  <w:marLeft w:val="0"/>
                  <w:marRight w:val="0"/>
                  <w:marTop w:val="0"/>
                  <w:marBottom w:val="0"/>
                  <w:divBdr>
                    <w:top w:val="none" w:sz="0" w:space="0" w:color="auto"/>
                    <w:left w:val="none" w:sz="0" w:space="0" w:color="auto"/>
                    <w:bottom w:val="none" w:sz="0" w:space="0" w:color="auto"/>
                    <w:right w:val="none" w:sz="0" w:space="0" w:color="auto"/>
                  </w:divBdr>
                  <w:divsChild>
                    <w:div w:id="1420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0177">
      <w:bodyDiv w:val="1"/>
      <w:marLeft w:val="0"/>
      <w:marRight w:val="0"/>
      <w:marTop w:val="0"/>
      <w:marBottom w:val="0"/>
      <w:divBdr>
        <w:top w:val="none" w:sz="0" w:space="0" w:color="auto"/>
        <w:left w:val="none" w:sz="0" w:space="0" w:color="auto"/>
        <w:bottom w:val="none" w:sz="0" w:space="0" w:color="auto"/>
        <w:right w:val="none" w:sz="0" w:space="0" w:color="auto"/>
      </w:divBdr>
      <w:divsChild>
        <w:div w:id="1567372088">
          <w:marLeft w:val="0"/>
          <w:marRight w:val="0"/>
          <w:marTop w:val="220"/>
          <w:marBottom w:val="0"/>
          <w:divBdr>
            <w:top w:val="none" w:sz="0" w:space="0" w:color="auto"/>
            <w:left w:val="none" w:sz="0" w:space="0" w:color="auto"/>
            <w:bottom w:val="none" w:sz="0" w:space="0" w:color="auto"/>
            <w:right w:val="none" w:sz="0" w:space="0" w:color="auto"/>
          </w:divBdr>
          <w:divsChild>
            <w:div w:id="389500913">
              <w:marLeft w:val="0"/>
              <w:marRight w:val="0"/>
              <w:marTop w:val="120"/>
              <w:marBottom w:val="0"/>
              <w:divBdr>
                <w:top w:val="none" w:sz="0" w:space="0" w:color="auto"/>
                <w:left w:val="none" w:sz="0" w:space="0" w:color="auto"/>
                <w:bottom w:val="none" w:sz="0" w:space="0" w:color="auto"/>
                <w:right w:val="none" w:sz="0" w:space="0" w:color="auto"/>
              </w:divBdr>
            </w:div>
            <w:div w:id="1285388251">
              <w:marLeft w:val="0"/>
              <w:marRight w:val="0"/>
              <w:marTop w:val="80"/>
              <w:marBottom w:val="0"/>
              <w:divBdr>
                <w:top w:val="none" w:sz="0" w:space="0" w:color="auto"/>
                <w:left w:val="none" w:sz="0" w:space="0" w:color="auto"/>
                <w:bottom w:val="none" w:sz="0" w:space="0" w:color="auto"/>
                <w:right w:val="none" w:sz="0" w:space="0" w:color="auto"/>
              </w:divBdr>
            </w:div>
            <w:div w:id="1730379277">
              <w:marLeft w:val="0"/>
              <w:marRight w:val="0"/>
              <w:marTop w:val="80"/>
              <w:marBottom w:val="0"/>
              <w:divBdr>
                <w:top w:val="none" w:sz="0" w:space="0" w:color="auto"/>
                <w:left w:val="none" w:sz="0" w:space="0" w:color="auto"/>
                <w:bottom w:val="none" w:sz="0" w:space="0" w:color="auto"/>
                <w:right w:val="none" w:sz="0" w:space="0" w:color="auto"/>
              </w:divBdr>
              <w:divsChild>
                <w:div w:id="1090271863">
                  <w:marLeft w:val="284"/>
                  <w:marRight w:val="0"/>
                  <w:marTop w:val="60"/>
                  <w:marBottom w:val="0"/>
                  <w:divBdr>
                    <w:top w:val="none" w:sz="0" w:space="0" w:color="auto"/>
                    <w:left w:val="none" w:sz="0" w:space="0" w:color="auto"/>
                    <w:bottom w:val="none" w:sz="0" w:space="0" w:color="auto"/>
                    <w:right w:val="none" w:sz="0" w:space="0" w:color="auto"/>
                  </w:divBdr>
                </w:div>
                <w:div w:id="2133664469">
                  <w:marLeft w:val="284"/>
                  <w:marRight w:val="0"/>
                  <w:marTop w:val="60"/>
                  <w:marBottom w:val="0"/>
                  <w:divBdr>
                    <w:top w:val="none" w:sz="0" w:space="0" w:color="auto"/>
                    <w:left w:val="none" w:sz="0" w:space="0" w:color="auto"/>
                    <w:bottom w:val="none" w:sz="0" w:space="0" w:color="auto"/>
                    <w:right w:val="none" w:sz="0" w:space="0" w:color="auto"/>
                  </w:divBdr>
                </w:div>
              </w:divsChild>
            </w:div>
            <w:div w:id="1885830899">
              <w:marLeft w:val="0"/>
              <w:marRight w:val="0"/>
              <w:marTop w:val="80"/>
              <w:marBottom w:val="0"/>
              <w:divBdr>
                <w:top w:val="none" w:sz="0" w:space="0" w:color="auto"/>
                <w:left w:val="none" w:sz="0" w:space="0" w:color="auto"/>
                <w:bottom w:val="none" w:sz="0" w:space="0" w:color="auto"/>
                <w:right w:val="none" w:sz="0" w:space="0" w:color="auto"/>
              </w:divBdr>
            </w:div>
          </w:divsChild>
        </w:div>
        <w:div w:id="1843741007">
          <w:marLeft w:val="0"/>
          <w:marRight w:val="0"/>
          <w:marTop w:val="300"/>
          <w:marBottom w:val="0"/>
          <w:divBdr>
            <w:top w:val="none" w:sz="0" w:space="0" w:color="auto"/>
            <w:left w:val="none" w:sz="0" w:space="0" w:color="auto"/>
            <w:bottom w:val="none" w:sz="0" w:space="0" w:color="auto"/>
            <w:right w:val="none" w:sz="0" w:space="0" w:color="auto"/>
          </w:divBdr>
        </w:div>
      </w:divsChild>
    </w:div>
    <w:div w:id="21305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B028946F5F1242AE5196ADBF81C242" ma:contentTypeVersion="3" ma:contentTypeDescription="Ein neues Dokument erstellen." ma:contentTypeScope="" ma:versionID="62bc2d407fe235f45ff038f385ab52fe">
  <xsd:schema xmlns:xsd="http://www.w3.org/2001/XMLSchema" xmlns:xs="http://www.w3.org/2001/XMLSchema" xmlns:p="http://schemas.microsoft.com/office/2006/metadata/properties" xmlns:ns2="2a14abaf-4fa0-4b89-83f4-749b866dd9d6" targetNamespace="http://schemas.microsoft.com/office/2006/metadata/properties" ma:root="true" ma:fieldsID="d0cf747cc860d0d27bb32c29c2c39545" ns2:_="">
    <xsd:import namespace="2a14abaf-4fa0-4b89-83f4-749b866dd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4abaf-4fa0-4b89-83f4-749b866d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3518-396A-4DB2-AD7D-E64471C09D3A}">
  <ds:schemaRefs>
    <ds:schemaRef ds:uri="http://schemas.microsoft.com/sharepoint/v3/contenttype/forms"/>
  </ds:schemaRefs>
</ds:datastoreItem>
</file>

<file path=customXml/itemProps2.xml><?xml version="1.0" encoding="utf-8"?>
<ds:datastoreItem xmlns:ds="http://schemas.openxmlformats.org/officeDocument/2006/customXml" ds:itemID="{3F875528-0692-4389-98C0-51646BD959E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2a14abaf-4fa0-4b89-83f4-749b866dd9d6"/>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825B11A4-AE48-4E83-832B-258321DC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4abaf-4fa0-4b89-83f4-749b866d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E5347-C1EB-4FBD-9516-EB0AE194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5018</Words>
  <Characters>33082</Characters>
  <Application>Microsoft Office Word</Application>
  <DocSecurity>0</DocSecurity>
  <Lines>275</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38024</CharactersWithSpaces>
  <SharedDoc>false</SharedDoc>
  <HLinks>
    <vt:vector size="168" baseType="variant">
      <vt:variant>
        <vt:i4>1769531</vt:i4>
      </vt:variant>
      <vt:variant>
        <vt:i4>164</vt:i4>
      </vt:variant>
      <vt:variant>
        <vt:i4>0</vt:i4>
      </vt:variant>
      <vt:variant>
        <vt:i4>5</vt:i4>
      </vt:variant>
      <vt:variant>
        <vt:lpwstr/>
      </vt:variant>
      <vt:variant>
        <vt:lpwstr>_Toc141788370</vt:lpwstr>
      </vt:variant>
      <vt:variant>
        <vt:i4>1703995</vt:i4>
      </vt:variant>
      <vt:variant>
        <vt:i4>158</vt:i4>
      </vt:variant>
      <vt:variant>
        <vt:i4>0</vt:i4>
      </vt:variant>
      <vt:variant>
        <vt:i4>5</vt:i4>
      </vt:variant>
      <vt:variant>
        <vt:lpwstr/>
      </vt:variant>
      <vt:variant>
        <vt:lpwstr>_Toc141788369</vt:lpwstr>
      </vt:variant>
      <vt:variant>
        <vt:i4>1703995</vt:i4>
      </vt:variant>
      <vt:variant>
        <vt:i4>152</vt:i4>
      </vt:variant>
      <vt:variant>
        <vt:i4>0</vt:i4>
      </vt:variant>
      <vt:variant>
        <vt:i4>5</vt:i4>
      </vt:variant>
      <vt:variant>
        <vt:lpwstr/>
      </vt:variant>
      <vt:variant>
        <vt:lpwstr>_Toc141788368</vt:lpwstr>
      </vt:variant>
      <vt:variant>
        <vt:i4>1703995</vt:i4>
      </vt:variant>
      <vt:variant>
        <vt:i4>146</vt:i4>
      </vt:variant>
      <vt:variant>
        <vt:i4>0</vt:i4>
      </vt:variant>
      <vt:variant>
        <vt:i4>5</vt:i4>
      </vt:variant>
      <vt:variant>
        <vt:lpwstr/>
      </vt:variant>
      <vt:variant>
        <vt:lpwstr>_Toc141788367</vt:lpwstr>
      </vt:variant>
      <vt:variant>
        <vt:i4>1703995</vt:i4>
      </vt:variant>
      <vt:variant>
        <vt:i4>140</vt:i4>
      </vt:variant>
      <vt:variant>
        <vt:i4>0</vt:i4>
      </vt:variant>
      <vt:variant>
        <vt:i4>5</vt:i4>
      </vt:variant>
      <vt:variant>
        <vt:lpwstr/>
      </vt:variant>
      <vt:variant>
        <vt:lpwstr>_Toc141788366</vt:lpwstr>
      </vt:variant>
      <vt:variant>
        <vt:i4>1703995</vt:i4>
      </vt:variant>
      <vt:variant>
        <vt:i4>134</vt:i4>
      </vt:variant>
      <vt:variant>
        <vt:i4>0</vt:i4>
      </vt:variant>
      <vt:variant>
        <vt:i4>5</vt:i4>
      </vt:variant>
      <vt:variant>
        <vt:lpwstr/>
      </vt:variant>
      <vt:variant>
        <vt:lpwstr>_Toc141788365</vt:lpwstr>
      </vt:variant>
      <vt:variant>
        <vt:i4>1703995</vt:i4>
      </vt:variant>
      <vt:variant>
        <vt:i4>128</vt:i4>
      </vt:variant>
      <vt:variant>
        <vt:i4>0</vt:i4>
      </vt:variant>
      <vt:variant>
        <vt:i4>5</vt:i4>
      </vt:variant>
      <vt:variant>
        <vt:lpwstr/>
      </vt:variant>
      <vt:variant>
        <vt:lpwstr>_Toc141788364</vt:lpwstr>
      </vt:variant>
      <vt:variant>
        <vt:i4>1703995</vt:i4>
      </vt:variant>
      <vt:variant>
        <vt:i4>122</vt:i4>
      </vt:variant>
      <vt:variant>
        <vt:i4>0</vt:i4>
      </vt:variant>
      <vt:variant>
        <vt:i4>5</vt:i4>
      </vt:variant>
      <vt:variant>
        <vt:lpwstr/>
      </vt:variant>
      <vt:variant>
        <vt:lpwstr>_Toc141788363</vt:lpwstr>
      </vt:variant>
      <vt:variant>
        <vt:i4>1703995</vt:i4>
      </vt:variant>
      <vt:variant>
        <vt:i4>116</vt:i4>
      </vt:variant>
      <vt:variant>
        <vt:i4>0</vt:i4>
      </vt:variant>
      <vt:variant>
        <vt:i4>5</vt:i4>
      </vt:variant>
      <vt:variant>
        <vt:lpwstr/>
      </vt:variant>
      <vt:variant>
        <vt:lpwstr>_Toc141788362</vt:lpwstr>
      </vt:variant>
      <vt:variant>
        <vt:i4>1703995</vt:i4>
      </vt:variant>
      <vt:variant>
        <vt:i4>110</vt:i4>
      </vt:variant>
      <vt:variant>
        <vt:i4>0</vt:i4>
      </vt:variant>
      <vt:variant>
        <vt:i4>5</vt:i4>
      </vt:variant>
      <vt:variant>
        <vt:lpwstr/>
      </vt:variant>
      <vt:variant>
        <vt:lpwstr>_Toc141788361</vt:lpwstr>
      </vt:variant>
      <vt:variant>
        <vt:i4>1703995</vt:i4>
      </vt:variant>
      <vt:variant>
        <vt:i4>104</vt:i4>
      </vt:variant>
      <vt:variant>
        <vt:i4>0</vt:i4>
      </vt:variant>
      <vt:variant>
        <vt:i4>5</vt:i4>
      </vt:variant>
      <vt:variant>
        <vt:lpwstr/>
      </vt:variant>
      <vt:variant>
        <vt:lpwstr>_Toc141788360</vt:lpwstr>
      </vt:variant>
      <vt:variant>
        <vt:i4>1638459</vt:i4>
      </vt:variant>
      <vt:variant>
        <vt:i4>98</vt:i4>
      </vt:variant>
      <vt:variant>
        <vt:i4>0</vt:i4>
      </vt:variant>
      <vt:variant>
        <vt:i4>5</vt:i4>
      </vt:variant>
      <vt:variant>
        <vt:lpwstr/>
      </vt:variant>
      <vt:variant>
        <vt:lpwstr>_Toc141788359</vt:lpwstr>
      </vt:variant>
      <vt:variant>
        <vt:i4>1638459</vt:i4>
      </vt:variant>
      <vt:variant>
        <vt:i4>92</vt:i4>
      </vt:variant>
      <vt:variant>
        <vt:i4>0</vt:i4>
      </vt:variant>
      <vt:variant>
        <vt:i4>5</vt:i4>
      </vt:variant>
      <vt:variant>
        <vt:lpwstr/>
      </vt:variant>
      <vt:variant>
        <vt:lpwstr>_Toc141788358</vt:lpwstr>
      </vt:variant>
      <vt:variant>
        <vt:i4>1638459</vt:i4>
      </vt:variant>
      <vt:variant>
        <vt:i4>86</vt:i4>
      </vt:variant>
      <vt:variant>
        <vt:i4>0</vt:i4>
      </vt:variant>
      <vt:variant>
        <vt:i4>5</vt:i4>
      </vt:variant>
      <vt:variant>
        <vt:lpwstr/>
      </vt:variant>
      <vt:variant>
        <vt:lpwstr>_Toc141788357</vt:lpwstr>
      </vt:variant>
      <vt:variant>
        <vt:i4>1638459</vt:i4>
      </vt:variant>
      <vt:variant>
        <vt:i4>80</vt:i4>
      </vt:variant>
      <vt:variant>
        <vt:i4>0</vt:i4>
      </vt:variant>
      <vt:variant>
        <vt:i4>5</vt:i4>
      </vt:variant>
      <vt:variant>
        <vt:lpwstr/>
      </vt:variant>
      <vt:variant>
        <vt:lpwstr>_Toc141788356</vt:lpwstr>
      </vt:variant>
      <vt:variant>
        <vt:i4>1638459</vt:i4>
      </vt:variant>
      <vt:variant>
        <vt:i4>74</vt:i4>
      </vt:variant>
      <vt:variant>
        <vt:i4>0</vt:i4>
      </vt:variant>
      <vt:variant>
        <vt:i4>5</vt:i4>
      </vt:variant>
      <vt:variant>
        <vt:lpwstr/>
      </vt:variant>
      <vt:variant>
        <vt:lpwstr>_Toc141788355</vt:lpwstr>
      </vt:variant>
      <vt:variant>
        <vt:i4>1638459</vt:i4>
      </vt:variant>
      <vt:variant>
        <vt:i4>68</vt:i4>
      </vt:variant>
      <vt:variant>
        <vt:i4>0</vt:i4>
      </vt:variant>
      <vt:variant>
        <vt:i4>5</vt:i4>
      </vt:variant>
      <vt:variant>
        <vt:lpwstr/>
      </vt:variant>
      <vt:variant>
        <vt:lpwstr>_Toc141788354</vt:lpwstr>
      </vt:variant>
      <vt:variant>
        <vt:i4>1638459</vt:i4>
      </vt:variant>
      <vt:variant>
        <vt:i4>62</vt:i4>
      </vt:variant>
      <vt:variant>
        <vt:i4>0</vt:i4>
      </vt:variant>
      <vt:variant>
        <vt:i4>5</vt:i4>
      </vt:variant>
      <vt:variant>
        <vt:lpwstr/>
      </vt:variant>
      <vt:variant>
        <vt:lpwstr>_Toc141788353</vt:lpwstr>
      </vt:variant>
      <vt:variant>
        <vt:i4>1638459</vt:i4>
      </vt:variant>
      <vt:variant>
        <vt:i4>56</vt:i4>
      </vt:variant>
      <vt:variant>
        <vt:i4>0</vt:i4>
      </vt:variant>
      <vt:variant>
        <vt:i4>5</vt:i4>
      </vt:variant>
      <vt:variant>
        <vt:lpwstr/>
      </vt:variant>
      <vt:variant>
        <vt:lpwstr>_Toc141788352</vt:lpwstr>
      </vt:variant>
      <vt:variant>
        <vt:i4>1638459</vt:i4>
      </vt:variant>
      <vt:variant>
        <vt:i4>50</vt:i4>
      </vt:variant>
      <vt:variant>
        <vt:i4>0</vt:i4>
      </vt:variant>
      <vt:variant>
        <vt:i4>5</vt:i4>
      </vt:variant>
      <vt:variant>
        <vt:lpwstr/>
      </vt:variant>
      <vt:variant>
        <vt:lpwstr>_Toc141788351</vt:lpwstr>
      </vt:variant>
      <vt:variant>
        <vt:i4>1638459</vt:i4>
      </vt:variant>
      <vt:variant>
        <vt:i4>44</vt:i4>
      </vt:variant>
      <vt:variant>
        <vt:i4>0</vt:i4>
      </vt:variant>
      <vt:variant>
        <vt:i4>5</vt:i4>
      </vt:variant>
      <vt:variant>
        <vt:lpwstr/>
      </vt:variant>
      <vt:variant>
        <vt:lpwstr>_Toc141788350</vt:lpwstr>
      </vt:variant>
      <vt:variant>
        <vt:i4>1572923</vt:i4>
      </vt:variant>
      <vt:variant>
        <vt:i4>38</vt:i4>
      </vt:variant>
      <vt:variant>
        <vt:i4>0</vt:i4>
      </vt:variant>
      <vt:variant>
        <vt:i4>5</vt:i4>
      </vt:variant>
      <vt:variant>
        <vt:lpwstr/>
      </vt:variant>
      <vt:variant>
        <vt:lpwstr>_Toc141788349</vt:lpwstr>
      </vt:variant>
      <vt:variant>
        <vt:i4>1572923</vt:i4>
      </vt:variant>
      <vt:variant>
        <vt:i4>32</vt:i4>
      </vt:variant>
      <vt:variant>
        <vt:i4>0</vt:i4>
      </vt:variant>
      <vt:variant>
        <vt:i4>5</vt:i4>
      </vt:variant>
      <vt:variant>
        <vt:lpwstr/>
      </vt:variant>
      <vt:variant>
        <vt:lpwstr>_Toc141788348</vt:lpwstr>
      </vt:variant>
      <vt:variant>
        <vt:i4>1572923</vt:i4>
      </vt:variant>
      <vt:variant>
        <vt:i4>26</vt:i4>
      </vt:variant>
      <vt:variant>
        <vt:i4>0</vt:i4>
      </vt:variant>
      <vt:variant>
        <vt:i4>5</vt:i4>
      </vt:variant>
      <vt:variant>
        <vt:lpwstr/>
      </vt:variant>
      <vt:variant>
        <vt:lpwstr>_Toc141788347</vt:lpwstr>
      </vt:variant>
      <vt:variant>
        <vt:i4>1572923</vt:i4>
      </vt:variant>
      <vt:variant>
        <vt:i4>20</vt:i4>
      </vt:variant>
      <vt:variant>
        <vt:i4>0</vt:i4>
      </vt:variant>
      <vt:variant>
        <vt:i4>5</vt:i4>
      </vt:variant>
      <vt:variant>
        <vt:lpwstr/>
      </vt:variant>
      <vt:variant>
        <vt:lpwstr>_Toc141788346</vt:lpwstr>
      </vt:variant>
      <vt:variant>
        <vt:i4>1572923</vt:i4>
      </vt:variant>
      <vt:variant>
        <vt:i4>14</vt:i4>
      </vt:variant>
      <vt:variant>
        <vt:i4>0</vt:i4>
      </vt:variant>
      <vt:variant>
        <vt:i4>5</vt:i4>
      </vt:variant>
      <vt:variant>
        <vt:lpwstr/>
      </vt:variant>
      <vt:variant>
        <vt:lpwstr>_Toc141788345</vt:lpwstr>
      </vt:variant>
      <vt:variant>
        <vt:i4>1572923</vt:i4>
      </vt:variant>
      <vt:variant>
        <vt:i4>8</vt:i4>
      </vt:variant>
      <vt:variant>
        <vt:i4>0</vt:i4>
      </vt:variant>
      <vt:variant>
        <vt:i4>5</vt:i4>
      </vt:variant>
      <vt:variant>
        <vt:lpwstr/>
      </vt:variant>
      <vt:variant>
        <vt:lpwstr>_Toc141788344</vt:lpwstr>
      </vt:variant>
      <vt:variant>
        <vt:i4>1572923</vt:i4>
      </vt:variant>
      <vt:variant>
        <vt:i4>2</vt:i4>
      </vt:variant>
      <vt:variant>
        <vt:i4>0</vt:i4>
      </vt:variant>
      <vt:variant>
        <vt:i4>5</vt:i4>
      </vt:variant>
      <vt:variant>
        <vt:lpwstr/>
      </vt:variant>
      <vt:variant>
        <vt:lpwstr>_Toc141788343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2023-10-09T15:13:00Z</dcterms:created>
  <dcterms:modified xsi:type="dcterms:W3CDTF">2023-10-19T07:24:00Z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0x01010093B028946F5F1242AE5196ADBF81C242</vt:lpwstr>
  </property>
</Properties>
</file>