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D8" w:rsidRPr="00576C0D" w:rsidRDefault="006D7732" w:rsidP="00910D91">
      <w:pPr>
        <w:suppressAutoHyphens/>
        <w:spacing w:before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F931A1">
        <w:rPr>
          <w:rFonts w:ascii="Arial" w:hAnsi="Arial" w:cs="Arial"/>
          <w:b/>
          <w:sz w:val="28"/>
          <w:szCs w:val="28"/>
        </w:rPr>
        <w:t xml:space="preserve">ericht </w:t>
      </w:r>
      <w:r w:rsidR="00910D91">
        <w:rPr>
          <w:rFonts w:ascii="Arial" w:hAnsi="Arial" w:cs="Arial"/>
          <w:b/>
          <w:sz w:val="28"/>
          <w:szCs w:val="28"/>
        </w:rPr>
        <w:t>der</w:t>
      </w:r>
      <w:r w:rsidR="00910D91" w:rsidRPr="00576C0D">
        <w:rPr>
          <w:rFonts w:ascii="Arial" w:hAnsi="Arial" w:cs="Arial"/>
          <w:b/>
          <w:sz w:val="28"/>
          <w:szCs w:val="28"/>
        </w:rPr>
        <w:t xml:space="preserve"> </w:t>
      </w:r>
      <w:r w:rsidR="00910D91">
        <w:rPr>
          <w:rFonts w:ascii="Arial" w:hAnsi="Arial" w:cs="Arial"/>
          <w:b/>
          <w:sz w:val="28"/>
          <w:szCs w:val="28"/>
        </w:rPr>
        <w:t xml:space="preserve">Revisionsstelle </w:t>
      </w:r>
      <w:r w:rsidR="00F931A1" w:rsidRPr="00F931A1">
        <w:rPr>
          <w:rFonts w:ascii="Arial" w:hAnsi="Arial" w:cs="Arial"/>
          <w:b/>
          <w:sz w:val="28"/>
          <w:szCs w:val="28"/>
        </w:rPr>
        <w:t xml:space="preserve">über die Prüfung der </w:t>
      </w:r>
      <w:proofErr w:type="spellStart"/>
      <w:r w:rsidR="00F931A1" w:rsidRPr="00F931A1">
        <w:rPr>
          <w:rFonts w:ascii="Arial" w:hAnsi="Arial" w:cs="Arial"/>
          <w:b/>
          <w:sz w:val="28"/>
          <w:szCs w:val="28"/>
        </w:rPr>
        <w:t>Solvab</w:t>
      </w:r>
      <w:r w:rsidR="00910D91">
        <w:rPr>
          <w:rFonts w:ascii="Arial" w:hAnsi="Arial" w:cs="Arial"/>
          <w:b/>
          <w:sz w:val="28"/>
          <w:szCs w:val="28"/>
        </w:rPr>
        <w:t>i</w:t>
      </w:r>
      <w:r w:rsidR="00F931A1" w:rsidRPr="00F931A1">
        <w:rPr>
          <w:rFonts w:ascii="Arial" w:hAnsi="Arial" w:cs="Arial"/>
          <w:b/>
          <w:sz w:val="28"/>
          <w:szCs w:val="28"/>
        </w:rPr>
        <w:t>litäts</w:t>
      </w:r>
      <w:r w:rsidR="004043AA">
        <w:rPr>
          <w:rFonts w:ascii="Arial" w:hAnsi="Arial" w:cs="Arial"/>
          <w:b/>
          <w:sz w:val="28"/>
          <w:szCs w:val="28"/>
        </w:rPr>
        <w:t>bilanz</w:t>
      </w:r>
      <w:proofErr w:type="spellEnd"/>
      <w:r w:rsidR="0014476B">
        <w:rPr>
          <w:rFonts w:ascii="Arial" w:hAnsi="Arial" w:cs="Arial"/>
          <w:b/>
          <w:sz w:val="28"/>
          <w:szCs w:val="28"/>
        </w:rPr>
        <w:t xml:space="preserve"> </w:t>
      </w:r>
      <w:r w:rsidR="00F931A1">
        <w:rPr>
          <w:rFonts w:ascii="Arial" w:hAnsi="Arial" w:cs="Arial"/>
          <w:b/>
          <w:sz w:val="28"/>
          <w:szCs w:val="28"/>
        </w:rPr>
        <w:t xml:space="preserve">an die </w:t>
      </w:r>
      <w:r w:rsidR="007D3F42">
        <w:rPr>
          <w:rFonts w:ascii="Arial" w:hAnsi="Arial" w:cs="Arial"/>
          <w:b/>
          <w:sz w:val="28"/>
          <w:szCs w:val="28"/>
        </w:rPr>
        <w:t>Finanzmarktaufsicht Liechtenstein</w:t>
      </w:r>
      <w:r w:rsidR="00E815CC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</w:p>
    <w:p w:rsidR="00A329DC" w:rsidRDefault="00A329DC" w:rsidP="00AB6C56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6672B6" w:rsidRPr="00423F0C" w:rsidRDefault="004043AA" w:rsidP="00840109">
      <w:pPr>
        <w:pStyle w:val="berschrift1"/>
        <w:jc w:val="both"/>
      </w:pPr>
      <w:r>
        <w:t xml:space="preserve">Bericht </w:t>
      </w:r>
      <w:r w:rsidR="006D7732" w:rsidRPr="006D7732">
        <w:t xml:space="preserve">der Revisionsstelle </w:t>
      </w:r>
      <w:r w:rsidR="009612D4">
        <w:t xml:space="preserve">zur </w:t>
      </w:r>
      <w:proofErr w:type="spellStart"/>
      <w:r w:rsidR="00F931A1">
        <w:t>Solvabilitäts</w:t>
      </w:r>
      <w:r w:rsidR="00CB5EA1">
        <w:t>bilanz</w:t>
      </w:r>
      <w:proofErr w:type="spellEnd"/>
    </w:p>
    <w:p w:rsidR="004043AA" w:rsidRDefault="00F931A1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F931A1">
        <w:rPr>
          <w:rFonts w:ascii="Arial" w:hAnsi="Arial" w:cs="Arial"/>
          <w:sz w:val="22"/>
          <w:szCs w:val="22"/>
        </w:rPr>
        <w:t>Wir haben die b</w:t>
      </w:r>
      <w:r w:rsidR="004043AA">
        <w:rPr>
          <w:rFonts w:ascii="Arial" w:hAnsi="Arial" w:cs="Arial"/>
          <w:sz w:val="22"/>
          <w:szCs w:val="22"/>
        </w:rPr>
        <w:t>eigefügte Solvabilitätsbilanz</w:t>
      </w:r>
      <w:r w:rsidRPr="00F931A1">
        <w:rPr>
          <w:rFonts w:ascii="Arial" w:hAnsi="Arial" w:cs="Arial"/>
          <w:sz w:val="22"/>
          <w:szCs w:val="22"/>
        </w:rPr>
        <w:t xml:space="preserve"> der </w:t>
      </w:r>
      <w:r w:rsidRPr="006F74AE">
        <w:rPr>
          <w:rFonts w:ascii="Arial" w:hAnsi="Arial" w:cs="Arial"/>
          <w:bCs/>
          <w:sz w:val="22"/>
          <w:szCs w:val="22"/>
          <w:highlight w:val="yellow"/>
        </w:rPr>
        <w:fldChar w:fldCharType="begin"/>
      </w:r>
      <w:r w:rsidRPr="006F74AE">
        <w:rPr>
          <w:rFonts w:ascii="Arial" w:hAnsi="Arial" w:cs="Arial"/>
          <w:bCs/>
          <w:sz w:val="22"/>
          <w:szCs w:val="22"/>
          <w:highlight w:val="yellow"/>
        </w:rPr>
        <w:instrText xml:space="preserve"> macrobutton dummy [Name des Versicherungsunternehmens]</w:instrText>
      </w:r>
      <w:r w:rsidRPr="006F74A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4043AA">
        <w:rPr>
          <w:rFonts w:ascii="Arial" w:hAnsi="Arial" w:cs="Arial"/>
          <w:sz w:val="22"/>
          <w:szCs w:val="22"/>
        </w:rPr>
        <w:t xml:space="preserve">zum 31. </w:t>
      </w:r>
      <w:r w:rsidR="00063AA2" w:rsidRPr="007A1480">
        <w:rPr>
          <w:rFonts w:ascii="Arial" w:hAnsi="Arial" w:cs="Arial"/>
          <w:sz w:val="22"/>
        </w:rPr>
        <w:t xml:space="preserve">Dezember </w:t>
      </w:r>
      <w:r w:rsidR="00063AA2" w:rsidRPr="0083794E">
        <w:rPr>
          <w:rFonts w:ascii="Arial" w:hAnsi="Arial" w:cs="Arial"/>
          <w:sz w:val="22"/>
          <w:szCs w:val="22"/>
          <w:highlight w:val="yellow"/>
        </w:rPr>
        <w:t>[Jahr]</w:t>
      </w:r>
      <w:r w:rsidR="00063AA2" w:rsidRPr="00A81DD6">
        <w:rPr>
          <w:rFonts w:ascii="Arial" w:hAnsi="Arial" w:cs="Arial"/>
          <w:i/>
          <w:sz w:val="22"/>
          <w:szCs w:val="22"/>
        </w:rPr>
        <w:t xml:space="preserve"> </w:t>
      </w:r>
      <w:r w:rsidRPr="00F931A1">
        <w:rPr>
          <w:rFonts w:ascii="Arial" w:hAnsi="Arial" w:cs="Arial"/>
          <w:sz w:val="22"/>
          <w:szCs w:val="22"/>
        </w:rPr>
        <w:t xml:space="preserve">geprüft. </w:t>
      </w:r>
    </w:p>
    <w:p w:rsidR="004043AA" w:rsidRDefault="004043AA" w:rsidP="00AB6C56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6672B6" w:rsidRDefault="006672B6" w:rsidP="00AB6C56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60DCA" w:rsidRPr="00423F0C" w:rsidRDefault="00860DCA" w:rsidP="00840109">
      <w:pPr>
        <w:spacing w:before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23F0C">
        <w:rPr>
          <w:rFonts w:ascii="Arial" w:hAnsi="Arial" w:cs="Arial"/>
          <w:b/>
          <w:sz w:val="22"/>
          <w:szCs w:val="22"/>
        </w:rPr>
        <w:t>Verantwortung des Verwaltungsrates</w:t>
      </w:r>
      <w:r w:rsidR="003E7C5A">
        <w:rPr>
          <w:rFonts w:ascii="Arial" w:hAnsi="Arial" w:cs="Arial"/>
          <w:b/>
          <w:sz w:val="22"/>
          <w:szCs w:val="22"/>
        </w:rPr>
        <w:t xml:space="preserve"> </w:t>
      </w:r>
    </w:p>
    <w:p w:rsidR="004043AA" w:rsidRPr="004043AA" w:rsidRDefault="004043AA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4043AA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>Verwaltungsrat</w:t>
      </w:r>
      <w:r w:rsidRPr="004043AA">
        <w:rPr>
          <w:rFonts w:ascii="Arial" w:hAnsi="Arial" w:cs="Arial"/>
          <w:sz w:val="22"/>
          <w:szCs w:val="22"/>
        </w:rPr>
        <w:t xml:space="preserve"> ist verantwortlich für die Aufste</w:t>
      </w:r>
      <w:r>
        <w:rPr>
          <w:rFonts w:ascii="Arial" w:hAnsi="Arial" w:cs="Arial"/>
          <w:sz w:val="22"/>
          <w:szCs w:val="22"/>
        </w:rPr>
        <w:t>llung der Solvabilitätsbilanz nach den Art. 74 bis 79</w:t>
      </w:r>
      <w:r w:rsidRPr="004043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</w:t>
      </w:r>
      <w:r w:rsidRPr="004043AA">
        <w:rPr>
          <w:rFonts w:ascii="Arial" w:hAnsi="Arial" w:cs="Arial"/>
          <w:sz w:val="22"/>
          <w:szCs w:val="22"/>
        </w:rPr>
        <w:t>AG</w:t>
      </w:r>
      <w:r w:rsidR="0066626F">
        <w:rPr>
          <w:rFonts w:ascii="Arial" w:hAnsi="Arial" w:cs="Arial"/>
          <w:sz w:val="22"/>
          <w:szCs w:val="22"/>
        </w:rPr>
        <w:t xml:space="preserve"> unter Beachtung der anwendbaren Durchführungsvorschriften zur Richtlinie 2009/138/EG sowie </w:t>
      </w:r>
      <w:proofErr w:type="gramStart"/>
      <w:r w:rsidR="0066626F">
        <w:rPr>
          <w:rFonts w:ascii="Arial" w:hAnsi="Arial" w:cs="Arial"/>
          <w:sz w:val="22"/>
          <w:szCs w:val="22"/>
        </w:rPr>
        <w:t xml:space="preserve">den </w:t>
      </w:r>
      <w:proofErr w:type="spellStart"/>
      <w:r w:rsidR="0066626F">
        <w:rPr>
          <w:rFonts w:ascii="Arial" w:hAnsi="Arial" w:cs="Arial"/>
          <w:sz w:val="22"/>
          <w:szCs w:val="22"/>
        </w:rPr>
        <w:t>massgeblichen</w:t>
      </w:r>
      <w:proofErr w:type="spellEnd"/>
      <w:r w:rsidR="0066626F">
        <w:rPr>
          <w:rFonts w:ascii="Arial" w:hAnsi="Arial" w:cs="Arial"/>
          <w:sz w:val="22"/>
          <w:szCs w:val="22"/>
        </w:rPr>
        <w:t xml:space="preserve"> Leitlinien</w:t>
      </w:r>
      <w:proofErr w:type="gramEnd"/>
      <w:r w:rsidR="0066626F">
        <w:rPr>
          <w:rFonts w:ascii="Arial" w:hAnsi="Arial" w:cs="Arial"/>
          <w:sz w:val="22"/>
          <w:szCs w:val="22"/>
        </w:rPr>
        <w:t xml:space="preserve"> der EIOPA</w:t>
      </w:r>
      <w:r>
        <w:rPr>
          <w:rFonts w:ascii="Arial" w:hAnsi="Arial" w:cs="Arial"/>
          <w:sz w:val="22"/>
          <w:szCs w:val="22"/>
        </w:rPr>
        <w:t xml:space="preserve"> </w:t>
      </w:r>
      <w:r w:rsidRPr="004043AA">
        <w:rPr>
          <w:rFonts w:ascii="Arial" w:hAnsi="Arial" w:cs="Arial"/>
          <w:sz w:val="22"/>
          <w:szCs w:val="22"/>
          <w:highlight w:val="yellow"/>
        </w:rPr>
        <w:t>[und unt</w:t>
      </w:r>
      <w:r>
        <w:rPr>
          <w:rFonts w:ascii="Arial" w:hAnsi="Arial" w:cs="Arial"/>
          <w:sz w:val="22"/>
          <w:szCs w:val="22"/>
          <w:highlight w:val="yellow"/>
        </w:rPr>
        <w:t>er Berücksichtigung von Genehmigungen der Finanzmarkt</w:t>
      </w:r>
      <w:r w:rsidRPr="004043AA">
        <w:rPr>
          <w:rFonts w:ascii="Arial" w:hAnsi="Arial" w:cs="Arial"/>
          <w:sz w:val="22"/>
          <w:szCs w:val="22"/>
          <w:highlight w:val="yellow"/>
        </w:rPr>
        <w:t>aufsicht</w:t>
      </w:r>
      <w:r w:rsidR="002105E4">
        <w:rPr>
          <w:rFonts w:ascii="Arial" w:hAnsi="Arial" w:cs="Arial"/>
          <w:sz w:val="22"/>
          <w:szCs w:val="22"/>
          <w:highlight w:val="yellow"/>
        </w:rPr>
        <w:t xml:space="preserve"> Liechtenstein</w:t>
      </w:r>
      <w:r w:rsidRPr="004043AA">
        <w:rPr>
          <w:rFonts w:ascii="Arial" w:hAnsi="Arial" w:cs="Arial"/>
          <w:sz w:val="22"/>
          <w:szCs w:val="22"/>
          <w:highlight w:val="yellow"/>
        </w:rPr>
        <w:t>]</w:t>
      </w:r>
      <w:r w:rsidRPr="004043AA">
        <w:rPr>
          <w:rFonts w:ascii="Arial" w:hAnsi="Arial" w:cs="Arial"/>
          <w:sz w:val="22"/>
          <w:szCs w:val="22"/>
        </w:rPr>
        <w:t>. Die Solvabilität</w:t>
      </w:r>
      <w:r>
        <w:rPr>
          <w:rFonts w:ascii="Arial" w:hAnsi="Arial" w:cs="Arial"/>
          <w:sz w:val="22"/>
          <w:szCs w:val="22"/>
        </w:rPr>
        <w:t>sbilanz ist gemäss Art. 74 Abs. 1 Vers</w:t>
      </w:r>
      <w:r w:rsidRPr="004043AA">
        <w:rPr>
          <w:rFonts w:ascii="Arial" w:hAnsi="Arial" w:cs="Arial"/>
          <w:sz w:val="22"/>
          <w:szCs w:val="22"/>
        </w:rPr>
        <w:t>AG e</w:t>
      </w:r>
      <w:r>
        <w:rPr>
          <w:rFonts w:ascii="Arial" w:hAnsi="Arial" w:cs="Arial"/>
          <w:sz w:val="22"/>
          <w:szCs w:val="22"/>
        </w:rPr>
        <w:t xml:space="preserve">ine Gegenüberstellung von </w:t>
      </w:r>
      <w:r w:rsidR="00CB5EA1">
        <w:rPr>
          <w:rFonts w:ascii="Arial" w:hAnsi="Arial" w:cs="Arial"/>
          <w:sz w:val="22"/>
          <w:szCs w:val="22"/>
        </w:rPr>
        <w:t>Vermögenswerten und Verbindlichkeiten sowie versicherungstechnischen Rückstellungen</w:t>
      </w:r>
      <w:r w:rsidRPr="004043AA">
        <w:rPr>
          <w:rFonts w:ascii="Arial" w:hAnsi="Arial" w:cs="Arial"/>
          <w:sz w:val="22"/>
          <w:szCs w:val="22"/>
        </w:rPr>
        <w:t xml:space="preserve"> zum Zweck der Bestimmung der vorha</w:t>
      </w:r>
      <w:r>
        <w:rPr>
          <w:rFonts w:ascii="Arial" w:hAnsi="Arial" w:cs="Arial"/>
          <w:sz w:val="22"/>
          <w:szCs w:val="22"/>
        </w:rPr>
        <w:t>ndenen Eigenmittel. Der Verwaltungsrat</w:t>
      </w:r>
      <w:r w:rsidRPr="004043AA">
        <w:rPr>
          <w:rFonts w:ascii="Arial" w:hAnsi="Arial" w:cs="Arial"/>
          <w:sz w:val="22"/>
          <w:szCs w:val="22"/>
        </w:rPr>
        <w:t xml:space="preserve"> ist au</w:t>
      </w:r>
      <w:r>
        <w:rPr>
          <w:rFonts w:ascii="Arial" w:hAnsi="Arial" w:cs="Arial"/>
          <w:sz w:val="22"/>
          <w:szCs w:val="22"/>
        </w:rPr>
        <w:t>ch verantwortlich für die inter</w:t>
      </w:r>
      <w:r w:rsidRPr="004043AA">
        <w:rPr>
          <w:rFonts w:ascii="Arial" w:hAnsi="Arial" w:cs="Arial"/>
          <w:sz w:val="22"/>
          <w:szCs w:val="22"/>
        </w:rPr>
        <w:t>nen Kontrollen, die er als notwendig erachtet, um die Aufstellung de</w:t>
      </w:r>
      <w:r>
        <w:rPr>
          <w:rFonts w:ascii="Arial" w:hAnsi="Arial" w:cs="Arial"/>
          <w:sz w:val="22"/>
          <w:szCs w:val="22"/>
        </w:rPr>
        <w:t>r Solvabilitätsbilanz</w:t>
      </w:r>
      <w:r w:rsidRPr="004043AA">
        <w:rPr>
          <w:rFonts w:ascii="Arial" w:hAnsi="Arial" w:cs="Arial"/>
          <w:sz w:val="22"/>
          <w:szCs w:val="22"/>
        </w:rPr>
        <w:t xml:space="preserve"> zu ermöglichen, die frei von wesentlichen – beabsichtigten oder unbeabsichtigten – falschen Angaben ist.</w:t>
      </w:r>
    </w:p>
    <w:p w:rsidR="004043AA" w:rsidRPr="00720207" w:rsidRDefault="00720207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 w:rsidR="002105E4">
        <w:rPr>
          <w:rFonts w:ascii="Arial" w:hAnsi="Arial" w:cs="Arial"/>
          <w:sz w:val="22"/>
          <w:szCs w:val="22"/>
          <w:highlight w:val="yellow"/>
        </w:rPr>
        <w:t>Der Verwaltungsrat hat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05E4">
        <w:rPr>
          <w:rFonts w:ascii="Arial" w:hAnsi="Arial" w:cs="Arial"/>
          <w:sz w:val="22"/>
          <w:szCs w:val="22"/>
          <w:highlight w:val="yellow"/>
        </w:rPr>
        <w:t xml:space="preserve">folgende Genehmigungen </w:t>
      </w:r>
      <w:r>
        <w:rPr>
          <w:rFonts w:ascii="Arial" w:hAnsi="Arial" w:cs="Arial"/>
          <w:sz w:val="22"/>
          <w:szCs w:val="22"/>
          <w:highlight w:val="yellow"/>
        </w:rPr>
        <w:t xml:space="preserve">der </w:t>
      </w:r>
      <w:r w:rsidR="002105E4">
        <w:rPr>
          <w:rFonts w:ascii="Arial" w:hAnsi="Arial" w:cs="Arial"/>
          <w:sz w:val="22"/>
          <w:szCs w:val="22"/>
          <w:highlight w:val="yellow"/>
        </w:rPr>
        <w:t>Finanzmarktaufsicht Liechtenstein</w:t>
      </w:r>
      <w:r w:rsidR="004043AA" w:rsidRPr="00720207">
        <w:rPr>
          <w:rFonts w:ascii="Arial" w:hAnsi="Arial" w:cs="Arial"/>
          <w:sz w:val="22"/>
          <w:szCs w:val="22"/>
          <w:highlight w:val="yellow"/>
        </w:rPr>
        <w:t xml:space="preserve"> berücksichtigt:</w:t>
      </w:r>
    </w:p>
    <w:p w:rsidR="004043AA" w:rsidRDefault="004043AA" w:rsidP="00840109">
      <w:pPr>
        <w:numPr>
          <w:ilvl w:val="0"/>
          <w:numId w:val="6"/>
        </w:numPr>
        <w:tabs>
          <w:tab w:val="clear" w:pos="851"/>
          <w:tab w:val="left" w:pos="567"/>
        </w:tabs>
        <w:spacing w:before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0207">
        <w:rPr>
          <w:rFonts w:ascii="Arial" w:hAnsi="Arial" w:cs="Arial"/>
          <w:sz w:val="22"/>
          <w:szCs w:val="22"/>
          <w:highlight w:val="yellow"/>
        </w:rPr>
        <w:t>Auflistung der erteilten Genehmigung (soweit nicht bereits ein Hinweis auf die</w:t>
      </w:r>
      <w:r w:rsidR="00720207">
        <w:rPr>
          <w:rFonts w:ascii="Arial" w:hAnsi="Arial" w:cs="Arial"/>
          <w:sz w:val="22"/>
          <w:szCs w:val="22"/>
          <w:highlight w:val="yellow"/>
        </w:rPr>
        <w:t>se in der Solvabilitätsbilanz</w:t>
      </w:r>
      <w:r w:rsidRPr="00720207">
        <w:rPr>
          <w:rFonts w:ascii="Arial" w:hAnsi="Arial" w:cs="Arial"/>
          <w:sz w:val="22"/>
          <w:szCs w:val="22"/>
          <w:highlight w:val="yellow"/>
        </w:rPr>
        <w:t xml:space="preserve"> erfolgte)]</w:t>
      </w:r>
    </w:p>
    <w:p w:rsidR="006672B6" w:rsidRPr="00A81DD6" w:rsidRDefault="006672B6" w:rsidP="00AB6C56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342681" w:rsidRDefault="00342681" w:rsidP="00AB6C56">
      <w:pPr>
        <w:spacing w:before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860DCA" w:rsidRPr="00423F0C" w:rsidRDefault="00860DCA" w:rsidP="00840109">
      <w:pPr>
        <w:spacing w:before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23F0C">
        <w:rPr>
          <w:rFonts w:ascii="Arial" w:hAnsi="Arial" w:cs="Arial"/>
          <w:b/>
          <w:sz w:val="22"/>
          <w:szCs w:val="22"/>
        </w:rPr>
        <w:t xml:space="preserve">Verantwortung </w:t>
      </w:r>
      <w:r w:rsidR="006D7732" w:rsidRPr="006D7732">
        <w:rPr>
          <w:rFonts w:ascii="Arial" w:hAnsi="Arial" w:cs="Arial"/>
          <w:b/>
          <w:sz w:val="22"/>
          <w:szCs w:val="22"/>
        </w:rPr>
        <w:t>der Revisionsstelle</w:t>
      </w:r>
      <w:r w:rsidR="006D7732">
        <w:rPr>
          <w:rFonts w:ascii="Arial" w:hAnsi="Arial" w:cs="Arial"/>
          <w:b/>
          <w:sz w:val="22"/>
          <w:szCs w:val="22"/>
        </w:rPr>
        <w:t xml:space="preserve"> </w:t>
      </w:r>
    </w:p>
    <w:p w:rsidR="00720207" w:rsidRPr="00910D91" w:rsidRDefault="00720207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  <w:lang w:val="de-CH"/>
        </w:rPr>
      </w:pPr>
      <w:r w:rsidRPr="00F0293A">
        <w:rPr>
          <w:rFonts w:ascii="Arial" w:hAnsi="Arial" w:cs="Arial"/>
          <w:sz w:val="22"/>
          <w:szCs w:val="22"/>
          <w:lang w:val="de-CH"/>
        </w:rPr>
        <w:t xml:space="preserve">Unsere </w:t>
      </w:r>
      <w:r>
        <w:rPr>
          <w:rFonts w:ascii="Arial" w:hAnsi="Arial" w:cs="Arial"/>
          <w:sz w:val="22"/>
          <w:szCs w:val="22"/>
          <w:lang w:val="de-CH"/>
        </w:rPr>
        <w:t xml:space="preserve">Verantwortung 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ist es, </w:t>
      </w:r>
      <w:r>
        <w:rPr>
          <w:rFonts w:ascii="Arial" w:hAnsi="Arial" w:cs="Arial"/>
          <w:sz w:val="22"/>
          <w:szCs w:val="22"/>
          <w:lang w:val="de-CH"/>
        </w:rPr>
        <w:t xml:space="preserve">aufgrund </w:t>
      </w:r>
      <w:r w:rsidRPr="00F0293A">
        <w:rPr>
          <w:rFonts w:ascii="Arial" w:hAnsi="Arial" w:cs="Arial"/>
          <w:sz w:val="22"/>
          <w:szCs w:val="22"/>
          <w:lang w:val="de-CH"/>
        </w:rPr>
        <w:t>unserer Prüfung ein</w:t>
      </w:r>
      <w:r>
        <w:rPr>
          <w:rFonts w:ascii="Arial" w:hAnsi="Arial" w:cs="Arial"/>
          <w:sz w:val="22"/>
          <w:szCs w:val="22"/>
          <w:lang w:val="de-CH"/>
        </w:rPr>
        <w:t xml:space="preserve"> Prüfungsurteil über die Solvabilitätsbilanz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abzugeben. Wir haben unsere Prüfung in Übereinstimmung mit den </w:t>
      </w:r>
      <w:r>
        <w:rPr>
          <w:rFonts w:ascii="Arial" w:hAnsi="Arial" w:cs="Arial"/>
          <w:sz w:val="22"/>
          <w:szCs w:val="22"/>
          <w:lang w:val="de-CH"/>
        </w:rPr>
        <w:t>Interna</w:t>
      </w:r>
      <w:r w:rsidRPr="00735D70">
        <w:rPr>
          <w:rFonts w:ascii="Arial" w:hAnsi="Arial" w:cs="Arial"/>
          <w:sz w:val="22"/>
          <w:szCs w:val="22"/>
          <w:lang w:val="de-CH"/>
        </w:rPr>
        <w:t>tional Standards on Auditing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durchgeführt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. Nach diesen Standards haben wir die </w:t>
      </w:r>
      <w:r>
        <w:rPr>
          <w:rFonts w:ascii="Arial" w:hAnsi="Arial" w:cs="Arial"/>
          <w:sz w:val="22"/>
          <w:szCs w:val="22"/>
          <w:lang w:val="de-CH"/>
        </w:rPr>
        <w:t xml:space="preserve">Prüfung so zu planen und durchzuführen, 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dass hinreichende Sicherheit </w:t>
      </w:r>
      <w:r>
        <w:rPr>
          <w:rFonts w:ascii="Arial" w:hAnsi="Arial" w:cs="Arial"/>
          <w:sz w:val="22"/>
          <w:szCs w:val="22"/>
          <w:lang w:val="de-CH"/>
        </w:rPr>
        <w:t>darüber erlangt wird, ob die Solvabilitätsbilanz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frei von wesentlichen falschen </w:t>
      </w:r>
      <w:r>
        <w:rPr>
          <w:rFonts w:ascii="Arial" w:hAnsi="Arial" w:cs="Arial"/>
          <w:sz w:val="22"/>
          <w:szCs w:val="22"/>
          <w:lang w:val="de-CH"/>
        </w:rPr>
        <w:t>Angaben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ist.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910D91">
        <w:rPr>
          <w:rFonts w:ascii="Arial" w:hAnsi="Arial" w:cs="Arial"/>
          <w:sz w:val="22"/>
          <w:szCs w:val="22"/>
          <w:lang w:val="de-CH"/>
        </w:rPr>
        <w:t xml:space="preserve">Die Solvabilitätsbilanz ist gemäss Art. 74 Abs. 1 VersAG zur Bestimmung der </w:t>
      </w:r>
      <w:r w:rsidR="00BE182C" w:rsidRPr="00910D91">
        <w:rPr>
          <w:rFonts w:ascii="Arial" w:hAnsi="Arial" w:cs="Arial"/>
          <w:sz w:val="22"/>
          <w:szCs w:val="22"/>
          <w:lang w:val="de-CH"/>
        </w:rPr>
        <w:t>zur Bedeckung der Mindest- und Solvenzkapitalanforderung anrechnungsfähigen</w:t>
      </w:r>
      <w:r w:rsidRPr="00910D91">
        <w:rPr>
          <w:rFonts w:ascii="Arial" w:hAnsi="Arial" w:cs="Arial"/>
          <w:sz w:val="22"/>
          <w:szCs w:val="22"/>
          <w:lang w:val="de-CH"/>
        </w:rPr>
        <w:t xml:space="preserve"> Eigenmittel zu erstellen</w:t>
      </w:r>
      <w:r w:rsidR="00BE182C" w:rsidRPr="00910D91">
        <w:rPr>
          <w:rFonts w:ascii="Arial" w:hAnsi="Arial" w:cs="Arial"/>
          <w:sz w:val="22"/>
          <w:szCs w:val="22"/>
          <w:lang w:val="de-CH"/>
        </w:rPr>
        <w:t>.</w:t>
      </w:r>
      <w:r w:rsidRPr="00910D91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7A1480" w:rsidRDefault="007A1480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F0293A" w:rsidRDefault="007A1480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</w:rPr>
        <w:t>Die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Prüfung </w:t>
      </w:r>
      <w:r>
        <w:rPr>
          <w:rFonts w:ascii="Arial" w:hAnsi="Arial" w:cs="Arial"/>
          <w:sz w:val="22"/>
          <w:szCs w:val="22"/>
          <w:lang w:val="de-CH"/>
        </w:rPr>
        <w:t xml:space="preserve">der Solvabilitätsbilanz </w:t>
      </w:r>
      <w:r w:rsidRPr="00F0293A">
        <w:rPr>
          <w:rFonts w:ascii="Arial" w:hAnsi="Arial" w:cs="Arial"/>
          <w:sz w:val="22"/>
          <w:szCs w:val="22"/>
          <w:lang w:val="de-CH"/>
        </w:rPr>
        <w:t>beinhaltet die Durchführung von Prüfungshandlungen</w:t>
      </w:r>
      <w:r>
        <w:rPr>
          <w:rFonts w:ascii="Arial" w:hAnsi="Arial" w:cs="Arial"/>
          <w:sz w:val="22"/>
          <w:szCs w:val="22"/>
          <w:lang w:val="de-CH"/>
        </w:rPr>
        <w:t xml:space="preserve"> zur Erlangung von </w:t>
      </w:r>
      <w:r w:rsidRPr="00F0293A">
        <w:rPr>
          <w:rFonts w:ascii="Arial" w:hAnsi="Arial" w:cs="Arial"/>
          <w:sz w:val="22"/>
          <w:szCs w:val="22"/>
          <w:lang w:val="de-CH"/>
        </w:rPr>
        <w:t>Prüfungsnachweise</w:t>
      </w:r>
      <w:r>
        <w:rPr>
          <w:rFonts w:ascii="Arial" w:hAnsi="Arial" w:cs="Arial"/>
          <w:sz w:val="22"/>
          <w:szCs w:val="22"/>
          <w:lang w:val="de-CH"/>
        </w:rPr>
        <w:t>n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für die in der Solvabilitätsbilanz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enthaltenen Wertansätze und sonstigen Angaben. Die Auswahl der Prüfungshandlungen liegt i</w:t>
      </w:r>
      <w:r>
        <w:rPr>
          <w:rFonts w:ascii="Arial" w:hAnsi="Arial" w:cs="Arial"/>
          <w:sz w:val="22"/>
          <w:szCs w:val="22"/>
          <w:lang w:val="de-CH"/>
        </w:rPr>
        <w:t>m pflichtgemässen Ermessen des Wirtschaftsp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rüfers. Dies schliesst </w:t>
      </w:r>
      <w:r>
        <w:rPr>
          <w:rFonts w:ascii="Arial" w:hAnsi="Arial" w:cs="Arial"/>
          <w:sz w:val="22"/>
          <w:szCs w:val="22"/>
          <w:lang w:val="de-CH"/>
        </w:rPr>
        <w:t>die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 Beurteilung der Risiken wesentlicher </w:t>
      </w:r>
      <w:r>
        <w:rPr>
          <w:rFonts w:ascii="Arial" w:hAnsi="Arial" w:cs="Arial"/>
          <w:sz w:val="22"/>
          <w:szCs w:val="22"/>
          <w:lang w:val="de-CH"/>
        </w:rPr>
        <w:t xml:space="preserve">falscher Angaben in der Solvabilitätsbilanz als Folge von Verstössen oder Irrtümern ein. </w:t>
      </w:r>
      <w:r w:rsidRPr="00F0293A">
        <w:rPr>
          <w:rFonts w:ascii="Arial" w:hAnsi="Arial" w:cs="Arial"/>
          <w:sz w:val="22"/>
          <w:szCs w:val="22"/>
          <w:lang w:val="de-CH"/>
        </w:rPr>
        <w:t xml:space="preserve">Bei der Beurteilung dieser Risiken berücksichtigt </w:t>
      </w:r>
      <w:r>
        <w:rPr>
          <w:rFonts w:ascii="Arial" w:hAnsi="Arial" w:cs="Arial"/>
          <w:sz w:val="22"/>
          <w:szCs w:val="22"/>
          <w:lang w:val="de-CH"/>
        </w:rPr>
        <w:t>der Wirtschaftsp</w:t>
      </w:r>
      <w:r w:rsidRPr="00C83763">
        <w:rPr>
          <w:rFonts w:ascii="Arial" w:hAnsi="Arial" w:cs="Arial"/>
          <w:sz w:val="22"/>
          <w:szCs w:val="22"/>
          <w:lang w:val="de-CH"/>
        </w:rPr>
        <w:t>rüfer das interne Kontrollsystem, soweit es für di</w:t>
      </w:r>
      <w:r>
        <w:rPr>
          <w:rFonts w:ascii="Arial" w:hAnsi="Arial" w:cs="Arial"/>
          <w:sz w:val="22"/>
          <w:szCs w:val="22"/>
          <w:lang w:val="de-CH"/>
        </w:rPr>
        <w:t>e Aufstellung der Solvabilitätsbilanz</w:t>
      </w:r>
      <w:r w:rsidRPr="00C83763">
        <w:rPr>
          <w:rFonts w:ascii="Arial" w:hAnsi="Arial" w:cs="Arial"/>
          <w:sz w:val="22"/>
          <w:szCs w:val="22"/>
          <w:lang w:val="de-CH"/>
        </w:rPr>
        <w:t xml:space="preserve"> von Bedeutung ist, um die den Umständen entsprechenden Prüfungshandlungen festzulegen, nicht aber um ein Prüfungsurteil über die Wirksamkeit des internen Kontrollsystems abzugeben. Die Prüfung </w:t>
      </w:r>
      <w:r>
        <w:rPr>
          <w:rFonts w:ascii="Arial" w:hAnsi="Arial" w:cs="Arial"/>
          <w:sz w:val="22"/>
          <w:szCs w:val="22"/>
          <w:lang w:val="de-CH"/>
        </w:rPr>
        <w:t xml:space="preserve">der Solvabilitätsbilanz </w:t>
      </w:r>
      <w:r w:rsidRPr="00C83763">
        <w:rPr>
          <w:rFonts w:ascii="Arial" w:hAnsi="Arial" w:cs="Arial"/>
          <w:sz w:val="22"/>
          <w:szCs w:val="22"/>
          <w:lang w:val="de-CH"/>
        </w:rPr>
        <w:t xml:space="preserve">umfasst zudem die Beurteilung der Angemessenheit der angewandten Rechnungslegungsmethoden, der Plausibilität der </w:t>
      </w:r>
      <w:r w:rsidRPr="00C83763">
        <w:rPr>
          <w:rFonts w:ascii="Arial" w:hAnsi="Arial" w:cs="Arial"/>
          <w:sz w:val="22"/>
          <w:szCs w:val="22"/>
          <w:lang w:val="de-CH"/>
        </w:rPr>
        <w:lastRenderedPageBreak/>
        <w:t>vorgenommenen Schätzungen sowie eine Würdigung der Gesa</w:t>
      </w:r>
      <w:r>
        <w:rPr>
          <w:rFonts w:ascii="Arial" w:hAnsi="Arial" w:cs="Arial"/>
          <w:sz w:val="22"/>
          <w:szCs w:val="22"/>
          <w:lang w:val="de-CH"/>
        </w:rPr>
        <w:t>mtdarstellung der Solvabilitäts</w:t>
      </w:r>
      <w:r w:rsidR="00D2283B">
        <w:rPr>
          <w:rFonts w:ascii="Arial" w:hAnsi="Arial" w:cs="Arial"/>
          <w:sz w:val="22"/>
          <w:szCs w:val="22"/>
          <w:lang w:val="de-CH"/>
        </w:rPr>
        <w:t>bilanz</w:t>
      </w:r>
      <w:r w:rsidRPr="00C83763">
        <w:rPr>
          <w:rFonts w:ascii="Arial" w:hAnsi="Arial" w:cs="Arial"/>
          <w:sz w:val="22"/>
          <w:szCs w:val="22"/>
          <w:lang w:val="de-CH"/>
        </w:rPr>
        <w:t>. Wir sind der Auffassung, dass die von uns erlangten Prüfungsnachweise eine ausreichende und angemessene Grundlage für unser Prüfungsurteil bilden.</w:t>
      </w:r>
    </w:p>
    <w:p w:rsidR="00F115B3" w:rsidRDefault="00F115B3" w:rsidP="00AB6C56">
      <w:pPr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AB6C56" w:rsidRDefault="00AB6C56" w:rsidP="00AB6C56">
      <w:pPr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342681" w:rsidRDefault="00342681" w:rsidP="00AB6C56">
      <w:pPr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735D70" w:rsidRPr="00423F0C" w:rsidRDefault="00735D70" w:rsidP="00AB6C56">
      <w:pPr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423F0C">
        <w:rPr>
          <w:rFonts w:ascii="Arial" w:hAnsi="Arial" w:cs="Arial"/>
          <w:b/>
          <w:sz w:val="22"/>
          <w:szCs w:val="22"/>
          <w:lang w:val="de-CH"/>
        </w:rPr>
        <w:t>Prüfungsurteil</w:t>
      </w:r>
    </w:p>
    <w:p w:rsidR="007A1480" w:rsidRDefault="007A1480" w:rsidP="00840109">
      <w:pPr>
        <w:spacing w:before="0" w:line="240" w:lineRule="auto"/>
        <w:jc w:val="both"/>
        <w:rPr>
          <w:rFonts w:ascii="Arial" w:hAnsi="Arial" w:cs="Arial"/>
          <w:sz w:val="22"/>
        </w:rPr>
      </w:pPr>
      <w:r w:rsidRPr="007A1480">
        <w:rPr>
          <w:rFonts w:ascii="Arial" w:hAnsi="Arial" w:cs="Arial"/>
          <w:sz w:val="22"/>
        </w:rPr>
        <w:t xml:space="preserve">Nach unserer Beurteilung </w:t>
      </w:r>
      <w:r>
        <w:rPr>
          <w:rFonts w:ascii="Arial" w:hAnsi="Arial" w:cs="Arial"/>
          <w:sz w:val="22"/>
        </w:rPr>
        <w:t>ist die Solvabilitätsbilanz</w:t>
      </w:r>
      <w:r w:rsidRPr="007A1480">
        <w:rPr>
          <w:rFonts w:ascii="Arial" w:hAnsi="Arial" w:cs="Arial"/>
          <w:sz w:val="22"/>
        </w:rPr>
        <w:t xml:space="preserve"> zum 31. Dezember </w:t>
      </w:r>
      <w:r w:rsidRPr="0083794E">
        <w:rPr>
          <w:rFonts w:ascii="Arial" w:hAnsi="Arial" w:cs="Arial"/>
          <w:sz w:val="22"/>
          <w:szCs w:val="22"/>
          <w:highlight w:val="yellow"/>
        </w:rPr>
        <w:t>[Jahr]</w:t>
      </w:r>
      <w:r w:rsidRPr="00A81DD6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Pr="007A1480">
        <w:rPr>
          <w:rFonts w:ascii="Arial" w:hAnsi="Arial" w:cs="Arial"/>
          <w:sz w:val="22"/>
        </w:rPr>
        <w:t xml:space="preserve">in allen wesentlichen Belangen nach </w:t>
      </w:r>
      <w:r>
        <w:rPr>
          <w:rFonts w:ascii="Arial" w:hAnsi="Arial" w:cs="Arial"/>
          <w:sz w:val="22"/>
        </w:rPr>
        <w:t xml:space="preserve">den Vorschriften in </w:t>
      </w:r>
      <w:r w:rsidR="00EB1D17">
        <w:rPr>
          <w:rFonts w:ascii="Arial" w:hAnsi="Arial" w:cs="Arial"/>
          <w:sz w:val="22"/>
        </w:rPr>
        <w:t xml:space="preserve">den </w:t>
      </w:r>
      <w:r>
        <w:rPr>
          <w:rFonts w:ascii="Arial" w:hAnsi="Arial" w:cs="Arial"/>
          <w:sz w:val="22"/>
        </w:rPr>
        <w:t>Art</w:t>
      </w:r>
      <w:r w:rsidR="00EB1D17">
        <w:rPr>
          <w:rFonts w:ascii="Arial" w:hAnsi="Arial" w:cs="Arial"/>
          <w:sz w:val="22"/>
        </w:rPr>
        <w:t>.</w:t>
      </w:r>
      <w:r w:rsidRPr="007A1480">
        <w:rPr>
          <w:rFonts w:ascii="Arial" w:hAnsi="Arial" w:cs="Arial"/>
          <w:sz w:val="22"/>
        </w:rPr>
        <w:t xml:space="preserve"> 74 </w:t>
      </w:r>
      <w:r>
        <w:rPr>
          <w:rFonts w:ascii="Arial" w:hAnsi="Arial" w:cs="Arial"/>
          <w:sz w:val="22"/>
        </w:rPr>
        <w:t xml:space="preserve">bis </w:t>
      </w:r>
      <w:r w:rsidRPr="007A1480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9</w:t>
      </w:r>
      <w:r w:rsidRPr="007A1480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ers</w:t>
      </w:r>
      <w:r w:rsidRPr="007A1480">
        <w:rPr>
          <w:rFonts w:ascii="Arial" w:hAnsi="Arial" w:cs="Arial"/>
          <w:sz w:val="22"/>
        </w:rPr>
        <w:t>AG</w:t>
      </w:r>
      <w:r w:rsidR="00382F9D">
        <w:rPr>
          <w:rFonts w:ascii="Arial" w:hAnsi="Arial" w:cs="Arial"/>
          <w:sz w:val="22"/>
        </w:rPr>
        <w:t xml:space="preserve"> und </w:t>
      </w:r>
      <w:r w:rsidR="00382F9D">
        <w:rPr>
          <w:rFonts w:ascii="Arial" w:hAnsi="Arial" w:cs="Arial"/>
          <w:sz w:val="22"/>
          <w:szCs w:val="22"/>
        </w:rPr>
        <w:t>unter Beachtung der anwendbaren Durchführungsvorschriften zur Richtlinie 2009/138/EG</w:t>
      </w:r>
      <w:r w:rsidR="00CC1884">
        <w:rPr>
          <w:rFonts w:ascii="Arial" w:hAnsi="Arial" w:cs="Arial"/>
          <w:sz w:val="22"/>
          <w:szCs w:val="22"/>
        </w:rPr>
        <w:t>,</w:t>
      </w:r>
      <w:r w:rsidR="00EB1D17">
        <w:rPr>
          <w:rFonts w:ascii="Arial" w:hAnsi="Arial" w:cs="Arial"/>
          <w:sz w:val="22"/>
          <w:szCs w:val="22"/>
        </w:rPr>
        <w:t xml:space="preserve"> </w:t>
      </w:r>
      <w:r w:rsidR="00382F9D">
        <w:rPr>
          <w:rFonts w:ascii="Arial" w:hAnsi="Arial" w:cs="Arial"/>
          <w:sz w:val="22"/>
          <w:szCs w:val="22"/>
        </w:rPr>
        <w:t xml:space="preserve">den </w:t>
      </w:r>
      <w:proofErr w:type="spellStart"/>
      <w:r w:rsidR="00382F9D">
        <w:rPr>
          <w:rFonts w:ascii="Arial" w:hAnsi="Arial" w:cs="Arial"/>
          <w:sz w:val="22"/>
          <w:szCs w:val="22"/>
        </w:rPr>
        <w:t>massgeblichen</w:t>
      </w:r>
      <w:proofErr w:type="spellEnd"/>
      <w:r w:rsidR="00382F9D">
        <w:rPr>
          <w:rFonts w:ascii="Arial" w:hAnsi="Arial" w:cs="Arial"/>
          <w:sz w:val="22"/>
          <w:szCs w:val="22"/>
        </w:rPr>
        <w:t xml:space="preserve"> Leitlinien der EIOPA</w:t>
      </w:r>
      <w:r w:rsidRPr="007A1480">
        <w:rPr>
          <w:rFonts w:ascii="Arial" w:hAnsi="Arial" w:cs="Arial"/>
          <w:sz w:val="22"/>
        </w:rPr>
        <w:t xml:space="preserve"> </w:t>
      </w:r>
      <w:r w:rsidRPr="007A1480">
        <w:rPr>
          <w:rFonts w:ascii="Arial" w:hAnsi="Arial" w:cs="Arial"/>
          <w:sz w:val="22"/>
          <w:highlight w:val="yellow"/>
        </w:rPr>
        <w:t>[</w:t>
      </w:r>
      <w:r w:rsidR="004B7B43">
        <w:rPr>
          <w:rFonts w:ascii="Arial" w:hAnsi="Arial" w:cs="Arial"/>
          <w:sz w:val="22"/>
          <w:highlight w:val="yellow"/>
        </w:rPr>
        <w:t xml:space="preserve">sowie </w:t>
      </w:r>
      <w:r w:rsidR="002105E4">
        <w:rPr>
          <w:rFonts w:ascii="Arial" w:hAnsi="Arial" w:cs="Arial"/>
          <w:sz w:val="22"/>
          <w:highlight w:val="yellow"/>
        </w:rPr>
        <w:t>der</w:t>
      </w:r>
      <w:r w:rsidRPr="007A1480">
        <w:rPr>
          <w:rFonts w:ascii="Arial" w:hAnsi="Arial" w:cs="Arial"/>
          <w:sz w:val="22"/>
          <w:highlight w:val="yellow"/>
        </w:rPr>
        <w:t xml:space="preserve"> Genehmigungen der Finanzmarktaufsicht</w:t>
      </w:r>
      <w:r w:rsidR="002105E4">
        <w:rPr>
          <w:rFonts w:ascii="Arial" w:hAnsi="Arial" w:cs="Arial"/>
          <w:sz w:val="22"/>
          <w:highlight w:val="yellow"/>
        </w:rPr>
        <w:t xml:space="preserve"> Liechtenstein</w:t>
      </w:r>
      <w:r w:rsidRPr="007A1480">
        <w:rPr>
          <w:rFonts w:ascii="Arial" w:hAnsi="Arial" w:cs="Arial"/>
          <w:sz w:val="22"/>
          <w:highlight w:val="yellow"/>
        </w:rPr>
        <w:t>]</w:t>
      </w:r>
      <w:r w:rsidRPr="007A1480">
        <w:rPr>
          <w:rFonts w:ascii="Arial" w:hAnsi="Arial" w:cs="Arial"/>
          <w:sz w:val="22"/>
        </w:rPr>
        <w:t xml:space="preserve"> aufgestellt.</w:t>
      </w:r>
    </w:p>
    <w:p w:rsidR="00343B00" w:rsidRDefault="00343B00" w:rsidP="00AB6C56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7A1480" w:rsidRPr="007A1480" w:rsidRDefault="007A1480" w:rsidP="00AB6C56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7A1480">
        <w:rPr>
          <w:rFonts w:ascii="Arial" w:hAnsi="Arial" w:cs="Arial"/>
          <w:b/>
          <w:sz w:val="22"/>
          <w:szCs w:val="22"/>
          <w:lang w:val="de-CH"/>
        </w:rPr>
        <w:t>Hinweis zu den inhärenten Grenzen der Prüfung</w:t>
      </w:r>
    </w:p>
    <w:p w:rsidR="007A1480" w:rsidRDefault="007A1480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7A1480">
        <w:rPr>
          <w:rFonts w:ascii="Arial" w:hAnsi="Arial" w:cs="Arial"/>
          <w:sz w:val="22"/>
          <w:szCs w:val="22"/>
        </w:rPr>
        <w:t>Die Wertansät</w:t>
      </w:r>
      <w:r>
        <w:rPr>
          <w:rFonts w:ascii="Arial" w:hAnsi="Arial" w:cs="Arial"/>
          <w:sz w:val="22"/>
          <w:szCs w:val="22"/>
        </w:rPr>
        <w:t>ze in der Solvabilitätsbilanz</w:t>
      </w:r>
      <w:r w:rsidRPr="007A1480">
        <w:rPr>
          <w:rFonts w:ascii="Arial" w:hAnsi="Arial" w:cs="Arial"/>
          <w:sz w:val="22"/>
          <w:szCs w:val="22"/>
        </w:rPr>
        <w:t xml:space="preserve"> basieren a</w:t>
      </w:r>
      <w:r>
        <w:rPr>
          <w:rFonts w:ascii="Arial" w:hAnsi="Arial" w:cs="Arial"/>
          <w:sz w:val="22"/>
          <w:szCs w:val="22"/>
        </w:rPr>
        <w:t>uf zahlreichen Annahmen über zu</w:t>
      </w:r>
      <w:r w:rsidRPr="007A1480">
        <w:rPr>
          <w:rFonts w:ascii="Arial" w:hAnsi="Arial" w:cs="Arial"/>
          <w:sz w:val="22"/>
          <w:szCs w:val="22"/>
        </w:rPr>
        <w:t>künftig</w:t>
      </w:r>
      <w:r>
        <w:rPr>
          <w:rFonts w:ascii="Arial" w:hAnsi="Arial" w:cs="Arial"/>
          <w:sz w:val="22"/>
          <w:szCs w:val="22"/>
        </w:rPr>
        <w:t xml:space="preserve">e Zahlungsströme, die </w:t>
      </w:r>
      <w:proofErr w:type="spellStart"/>
      <w:r>
        <w:rPr>
          <w:rFonts w:ascii="Arial" w:hAnsi="Arial" w:cs="Arial"/>
          <w:sz w:val="22"/>
          <w:szCs w:val="22"/>
        </w:rPr>
        <w:t>naturgemäss</w:t>
      </w:r>
      <w:proofErr w:type="spellEnd"/>
      <w:r w:rsidRPr="007A1480">
        <w:rPr>
          <w:rFonts w:ascii="Arial" w:hAnsi="Arial" w:cs="Arial"/>
          <w:sz w:val="22"/>
          <w:szCs w:val="22"/>
        </w:rPr>
        <w:t xml:space="preserve"> mit Unsicherheiten behaftet sind. Es ist daher möglich, dass die zukünftigen Zahlungsströme von </w:t>
      </w:r>
      <w:r>
        <w:rPr>
          <w:rFonts w:ascii="Arial" w:hAnsi="Arial" w:cs="Arial"/>
          <w:sz w:val="22"/>
          <w:szCs w:val="22"/>
        </w:rPr>
        <w:t>den in der Solvabilitätsbilanz</w:t>
      </w:r>
      <w:r w:rsidRPr="007A1480">
        <w:rPr>
          <w:rFonts w:ascii="Arial" w:hAnsi="Arial" w:cs="Arial"/>
          <w:sz w:val="22"/>
          <w:szCs w:val="22"/>
        </w:rPr>
        <w:t xml:space="preserve"> zugrunde gelegten Zahlungsströmen wesentlich abweichen.</w:t>
      </w:r>
    </w:p>
    <w:p w:rsidR="007A1480" w:rsidRPr="007A1480" w:rsidRDefault="007A1480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7955DE" w:rsidRDefault="007955DE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55DE">
        <w:rPr>
          <w:rFonts w:ascii="Arial" w:hAnsi="Arial" w:cs="Arial"/>
          <w:b/>
          <w:sz w:val="22"/>
          <w:szCs w:val="22"/>
        </w:rPr>
        <w:t>Rechnungslegungsgrundlage und Beschränkung der Weitergabe und Verwendung</w:t>
      </w:r>
    </w:p>
    <w:p w:rsidR="007A1480" w:rsidRPr="007A1480" w:rsidRDefault="007A1480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7A1480">
        <w:rPr>
          <w:rFonts w:ascii="Arial" w:hAnsi="Arial" w:cs="Arial"/>
          <w:sz w:val="22"/>
          <w:szCs w:val="22"/>
        </w:rPr>
        <w:t xml:space="preserve">Ohne unser Prüfungsurteil </w:t>
      </w:r>
      <w:r w:rsidR="007955DE">
        <w:rPr>
          <w:rFonts w:ascii="Arial" w:hAnsi="Arial" w:cs="Arial"/>
          <w:sz w:val="22"/>
          <w:szCs w:val="22"/>
        </w:rPr>
        <w:t>zu modifizieren</w:t>
      </w:r>
      <w:r w:rsidRPr="007A1480">
        <w:rPr>
          <w:rFonts w:ascii="Arial" w:hAnsi="Arial" w:cs="Arial"/>
          <w:sz w:val="22"/>
          <w:szCs w:val="22"/>
        </w:rPr>
        <w:t>, weisen wir auf die der Au</w:t>
      </w:r>
      <w:r>
        <w:rPr>
          <w:rFonts w:ascii="Arial" w:hAnsi="Arial" w:cs="Arial"/>
          <w:sz w:val="22"/>
          <w:szCs w:val="22"/>
        </w:rPr>
        <w:t xml:space="preserve">fstellung </w:t>
      </w:r>
      <w:proofErr w:type="spellStart"/>
      <w:r>
        <w:rPr>
          <w:rFonts w:ascii="Arial" w:hAnsi="Arial" w:cs="Arial"/>
          <w:sz w:val="22"/>
          <w:szCs w:val="22"/>
        </w:rPr>
        <w:t>zugrundelie-genden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mass</w:t>
      </w:r>
      <w:r w:rsidRPr="007A1480">
        <w:rPr>
          <w:rFonts w:ascii="Arial" w:hAnsi="Arial" w:cs="Arial"/>
          <w:sz w:val="22"/>
          <w:szCs w:val="22"/>
        </w:rPr>
        <w:t>geblichen</w:t>
      </w:r>
      <w:proofErr w:type="spellEnd"/>
      <w:r w:rsidRPr="007A1480">
        <w:rPr>
          <w:rFonts w:ascii="Arial" w:hAnsi="Arial" w:cs="Arial"/>
          <w:sz w:val="22"/>
          <w:szCs w:val="22"/>
        </w:rPr>
        <w:t xml:space="preserve"> Rechnungslegungs</w:t>
      </w:r>
      <w:r>
        <w:rPr>
          <w:rFonts w:ascii="Arial" w:hAnsi="Arial" w:cs="Arial"/>
          <w:sz w:val="22"/>
          <w:szCs w:val="22"/>
        </w:rPr>
        <w:t xml:space="preserve">grundsätze </w:t>
      </w:r>
      <w:r w:rsidR="00887D5D">
        <w:rPr>
          <w:rFonts w:ascii="Arial" w:hAnsi="Arial" w:cs="Arial"/>
          <w:sz w:val="22"/>
          <w:szCs w:val="22"/>
        </w:rPr>
        <w:t>von Art. 74 bis 79</w:t>
      </w:r>
      <w:r w:rsidRPr="007A1480">
        <w:rPr>
          <w:rFonts w:ascii="Arial" w:hAnsi="Arial" w:cs="Arial"/>
          <w:sz w:val="22"/>
          <w:szCs w:val="22"/>
        </w:rPr>
        <w:t xml:space="preserve"> V</w:t>
      </w:r>
      <w:r w:rsidR="00887D5D">
        <w:rPr>
          <w:rFonts w:ascii="Arial" w:hAnsi="Arial" w:cs="Arial"/>
          <w:sz w:val="22"/>
          <w:szCs w:val="22"/>
        </w:rPr>
        <w:t xml:space="preserve">ersAG </w:t>
      </w:r>
      <w:r w:rsidR="00887D5D" w:rsidRPr="007955DE">
        <w:rPr>
          <w:rFonts w:ascii="Arial" w:hAnsi="Arial" w:cs="Arial"/>
          <w:sz w:val="22"/>
          <w:szCs w:val="22"/>
          <w:highlight w:val="yellow"/>
        </w:rPr>
        <w:t>[und unter Berück</w:t>
      </w:r>
      <w:r w:rsidRPr="007955DE">
        <w:rPr>
          <w:rFonts w:ascii="Arial" w:hAnsi="Arial" w:cs="Arial"/>
          <w:sz w:val="22"/>
          <w:szCs w:val="22"/>
          <w:highlight w:val="yellow"/>
        </w:rPr>
        <w:t xml:space="preserve">sichtigung </w:t>
      </w:r>
      <w:r w:rsidR="002105E4">
        <w:rPr>
          <w:rFonts w:ascii="Arial" w:hAnsi="Arial" w:cs="Arial"/>
          <w:sz w:val="22"/>
          <w:szCs w:val="22"/>
          <w:highlight w:val="yellow"/>
        </w:rPr>
        <w:t>der</w:t>
      </w:r>
      <w:r w:rsidRPr="007955DE">
        <w:rPr>
          <w:rFonts w:ascii="Arial" w:hAnsi="Arial" w:cs="Arial"/>
          <w:sz w:val="22"/>
          <w:szCs w:val="22"/>
          <w:highlight w:val="yellow"/>
        </w:rPr>
        <w:t xml:space="preserve"> G</w:t>
      </w:r>
      <w:r w:rsidR="00887D5D" w:rsidRPr="007955DE">
        <w:rPr>
          <w:rFonts w:ascii="Arial" w:hAnsi="Arial" w:cs="Arial"/>
          <w:sz w:val="22"/>
          <w:szCs w:val="22"/>
          <w:highlight w:val="yellow"/>
        </w:rPr>
        <w:t>enehmigungen der Finanzmarktaufsicht</w:t>
      </w:r>
      <w:r w:rsidR="002105E4">
        <w:rPr>
          <w:rFonts w:ascii="Arial" w:hAnsi="Arial" w:cs="Arial"/>
          <w:sz w:val="22"/>
          <w:szCs w:val="22"/>
          <w:highlight w:val="yellow"/>
        </w:rPr>
        <w:t xml:space="preserve"> Liechtenstein</w:t>
      </w:r>
      <w:r w:rsidRPr="007955DE">
        <w:rPr>
          <w:rFonts w:ascii="Arial" w:hAnsi="Arial" w:cs="Arial"/>
          <w:sz w:val="22"/>
          <w:szCs w:val="22"/>
          <w:highlight w:val="yellow"/>
        </w:rPr>
        <w:t>]</w:t>
      </w:r>
      <w:r w:rsidR="00887D5D">
        <w:rPr>
          <w:rFonts w:ascii="Arial" w:hAnsi="Arial" w:cs="Arial"/>
          <w:sz w:val="22"/>
          <w:szCs w:val="22"/>
        </w:rPr>
        <w:t xml:space="preserve"> hin. Die Solvabilitätsbilanz</w:t>
      </w:r>
      <w:r w:rsidRPr="007A1480">
        <w:rPr>
          <w:rFonts w:ascii="Arial" w:hAnsi="Arial" w:cs="Arial"/>
          <w:sz w:val="22"/>
          <w:szCs w:val="22"/>
        </w:rPr>
        <w:t xml:space="preserve"> wurde für aufsichtsrechtliche Zwe</w:t>
      </w:r>
      <w:r w:rsidR="00887D5D">
        <w:rPr>
          <w:rFonts w:ascii="Arial" w:hAnsi="Arial" w:cs="Arial"/>
          <w:sz w:val="22"/>
          <w:szCs w:val="22"/>
        </w:rPr>
        <w:t>cke zur Bestimmung der vorhande</w:t>
      </w:r>
      <w:r w:rsidRPr="007A1480">
        <w:rPr>
          <w:rFonts w:ascii="Arial" w:hAnsi="Arial" w:cs="Arial"/>
          <w:sz w:val="22"/>
          <w:szCs w:val="22"/>
        </w:rPr>
        <w:t>nen Eigenmittel aufgestellt. Folglic</w:t>
      </w:r>
      <w:r w:rsidR="00887D5D">
        <w:rPr>
          <w:rFonts w:ascii="Arial" w:hAnsi="Arial" w:cs="Arial"/>
          <w:sz w:val="22"/>
          <w:szCs w:val="22"/>
        </w:rPr>
        <w:t>h ist die Solvabilitätsbilanz</w:t>
      </w:r>
      <w:r w:rsidRPr="007A1480">
        <w:rPr>
          <w:rFonts w:ascii="Arial" w:hAnsi="Arial" w:cs="Arial"/>
          <w:sz w:val="22"/>
          <w:szCs w:val="22"/>
        </w:rPr>
        <w:t xml:space="preserve"> möglicherweise für einen anderen als den vorgenannten Zweck nicht geeignet.</w:t>
      </w:r>
    </w:p>
    <w:p w:rsidR="00887D5D" w:rsidRDefault="00887D5D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7A1480" w:rsidRDefault="007955DE" w:rsidP="00840109">
      <w:pPr>
        <w:tabs>
          <w:tab w:val="left" w:pos="510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 Bericht</w:t>
      </w:r>
      <w:r w:rsidR="007A1480" w:rsidRPr="007A1480">
        <w:rPr>
          <w:rFonts w:ascii="Arial" w:hAnsi="Arial" w:cs="Arial"/>
          <w:sz w:val="22"/>
          <w:szCs w:val="22"/>
        </w:rPr>
        <w:t xml:space="preserve"> ist </w:t>
      </w:r>
      <w:proofErr w:type="spellStart"/>
      <w:r w:rsidR="007A1480" w:rsidRPr="007A1480">
        <w:rPr>
          <w:rFonts w:ascii="Arial" w:hAnsi="Arial" w:cs="Arial"/>
          <w:sz w:val="22"/>
          <w:szCs w:val="22"/>
        </w:rPr>
        <w:t>ausschli</w:t>
      </w:r>
      <w:r w:rsidR="002105E4">
        <w:rPr>
          <w:rFonts w:ascii="Arial" w:hAnsi="Arial" w:cs="Arial"/>
          <w:sz w:val="22"/>
          <w:szCs w:val="22"/>
        </w:rPr>
        <w:t>ess</w:t>
      </w:r>
      <w:r w:rsidR="007A1480" w:rsidRPr="007A1480">
        <w:rPr>
          <w:rFonts w:ascii="Arial" w:hAnsi="Arial" w:cs="Arial"/>
          <w:sz w:val="22"/>
          <w:szCs w:val="22"/>
        </w:rPr>
        <w:t>lich</w:t>
      </w:r>
      <w:proofErr w:type="spellEnd"/>
      <w:r w:rsidR="007A1480" w:rsidRPr="007A1480">
        <w:rPr>
          <w:rFonts w:ascii="Arial" w:hAnsi="Arial" w:cs="Arial"/>
          <w:sz w:val="22"/>
          <w:szCs w:val="22"/>
        </w:rPr>
        <w:t xml:space="preserve"> für</w:t>
      </w:r>
      <w:r w:rsidR="00887D5D">
        <w:rPr>
          <w:rFonts w:ascii="Arial" w:hAnsi="Arial" w:cs="Arial"/>
          <w:sz w:val="22"/>
          <w:szCs w:val="22"/>
        </w:rPr>
        <w:t xml:space="preserve"> die</w:t>
      </w:r>
      <w:r w:rsidR="007A1480" w:rsidRPr="007A1480">
        <w:rPr>
          <w:rFonts w:ascii="Arial" w:hAnsi="Arial" w:cs="Arial"/>
          <w:sz w:val="22"/>
          <w:szCs w:val="22"/>
        </w:rPr>
        <w:t xml:space="preserve"> </w:t>
      </w:r>
      <w:r w:rsidR="00887D5D" w:rsidRPr="006F74AE">
        <w:rPr>
          <w:rFonts w:ascii="Arial" w:hAnsi="Arial" w:cs="Arial"/>
          <w:bCs/>
          <w:sz w:val="22"/>
          <w:szCs w:val="22"/>
          <w:highlight w:val="yellow"/>
        </w:rPr>
        <w:fldChar w:fldCharType="begin"/>
      </w:r>
      <w:r w:rsidR="00887D5D" w:rsidRPr="006F74AE">
        <w:rPr>
          <w:rFonts w:ascii="Arial" w:hAnsi="Arial" w:cs="Arial"/>
          <w:bCs/>
          <w:sz w:val="22"/>
          <w:szCs w:val="22"/>
          <w:highlight w:val="yellow"/>
        </w:rPr>
        <w:instrText xml:space="preserve"> macrobutton dummy [Name des Versicherungsunternehmens]</w:instrText>
      </w:r>
      <w:r w:rsidR="00887D5D" w:rsidRPr="006F74A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A1480" w:rsidRPr="007A1480">
        <w:rPr>
          <w:rFonts w:ascii="Arial" w:hAnsi="Arial" w:cs="Arial"/>
          <w:sz w:val="22"/>
          <w:szCs w:val="22"/>
        </w:rPr>
        <w:t xml:space="preserve"> und die </w:t>
      </w:r>
      <w:r w:rsidR="00887D5D">
        <w:rPr>
          <w:rFonts w:ascii="Arial" w:hAnsi="Arial" w:cs="Arial"/>
          <w:sz w:val="22"/>
          <w:szCs w:val="22"/>
        </w:rPr>
        <w:t>Finanzmarktaufsicht</w:t>
      </w:r>
      <w:r w:rsidR="007A1480" w:rsidRPr="007A1480">
        <w:rPr>
          <w:rFonts w:ascii="Arial" w:hAnsi="Arial" w:cs="Arial"/>
          <w:sz w:val="22"/>
          <w:szCs w:val="22"/>
        </w:rPr>
        <w:t xml:space="preserve"> bestimmt und darf nicht ohne unsere Zustimmung an Dritte weitergegeben und auch nicht von Dritten verwendet werden. </w:t>
      </w:r>
      <w:r w:rsidR="007A1480" w:rsidRPr="00887D5D">
        <w:rPr>
          <w:rFonts w:ascii="Arial" w:hAnsi="Arial" w:cs="Arial"/>
          <w:sz w:val="22"/>
          <w:szCs w:val="22"/>
          <w:highlight w:val="yellow"/>
        </w:rPr>
        <w:t xml:space="preserve">[Dritte im Rahmen dieser Regelung sind nicht die verbundenen Unternehmen der </w:t>
      </w:r>
      <w:r w:rsidR="00887D5D" w:rsidRPr="00887D5D">
        <w:rPr>
          <w:rFonts w:ascii="Arial" w:hAnsi="Arial" w:cs="Arial"/>
          <w:bCs/>
          <w:sz w:val="22"/>
          <w:szCs w:val="22"/>
          <w:highlight w:val="yellow"/>
        </w:rPr>
        <w:fldChar w:fldCharType="begin"/>
      </w:r>
      <w:r w:rsidR="00887D5D" w:rsidRPr="00887D5D">
        <w:rPr>
          <w:rFonts w:ascii="Arial" w:hAnsi="Arial" w:cs="Arial"/>
          <w:bCs/>
          <w:sz w:val="22"/>
          <w:szCs w:val="22"/>
          <w:highlight w:val="yellow"/>
        </w:rPr>
        <w:instrText xml:space="preserve"> macrobutton dummy [Name des Versicherungsunternehmens]</w:instrText>
      </w:r>
      <w:r w:rsidR="00887D5D" w:rsidRPr="00887D5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A1480" w:rsidRPr="00887D5D">
        <w:rPr>
          <w:rFonts w:ascii="Arial" w:hAnsi="Arial" w:cs="Arial"/>
          <w:sz w:val="22"/>
          <w:szCs w:val="22"/>
          <w:highlight w:val="yellow"/>
        </w:rPr>
        <w:t>.]</w:t>
      </w:r>
    </w:p>
    <w:p w:rsidR="00101839" w:rsidRDefault="00101839" w:rsidP="00840109">
      <w:pPr>
        <w:spacing w:before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8555DA" w:rsidRDefault="008555DA" w:rsidP="00840109">
      <w:pP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555DA" w:rsidRDefault="008555DA" w:rsidP="00840109">
      <w:pPr>
        <w:tabs>
          <w:tab w:val="left" w:pos="414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81DD6">
        <w:rPr>
          <w:rFonts w:ascii="Arial" w:hAnsi="Arial" w:cs="Arial"/>
          <w:sz w:val="22"/>
          <w:szCs w:val="22"/>
        </w:rPr>
        <w:t>Ort und Datum</w:t>
      </w:r>
      <w:r w:rsidRPr="00A81D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7732" w:rsidRPr="006D7732">
        <w:rPr>
          <w:rFonts w:ascii="Arial" w:hAnsi="Arial" w:cs="Arial"/>
          <w:sz w:val="22"/>
          <w:szCs w:val="22"/>
        </w:rPr>
        <w:t>Revisionsstelle</w:t>
      </w:r>
    </w:p>
    <w:p w:rsidR="008555DA" w:rsidRPr="00A329DC" w:rsidRDefault="008555DA" w:rsidP="00840109">
      <w:pPr>
        <w:tabs>
          <w:tab w:val="left" w:pos="4140"/>
        </w:tabs>
        <w:spacing w:before="0" w:line="24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  <w:r w:rsidRPr="00A329DC">
        <w:rPr>
          <w:rFonts w:ascii="Arial" w:hAnsi="Arial" w:cs="Arial"/>
          <w:sz w:val="22"/>
          <w:szCs w:val="22"/>
        </w:rPr>
        <w:t xml:space="preserve"> und Name </w:t>
      </w:r>
    </w:p>
    <w:p w:rsidR="008555DA" w:rsidRDefault="008555DA" w:rsidP="00840109">
      <w:pPr>
        <w:tabs>
          <w:tab w:val="left" w:pos="414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mit Bezeichnung „Leitende(r) Revisor(en)“ </w:t>
      </w:r>
    </w:p>
    <w:p w:rsidR="008555DA" w:rsidRDefault="008555DA" w:rsidP="00840109">
      <w:pPr>
        <w:tabs>
          <w:tab w:val="left" w:pos="450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555DA" w:rsidRDefault="008555DA" w:rsidP="00840109">
      <w:pPr>
        <w:tabs>
          <w:tab w:val="left" w:pos="450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555DA" w:rsidRDefault="008555DA" w:rsidP="00840109">
      <w:pPr>
        <w:tabs>
          <w:tab w:val="left" w:pos="450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555DA" w:rsidRDefault="008555DA" w:rsidP="00840109">
      <w:pPr>
        <w:tabs>
          <w:tab w:val="clear" w:pos="851"/>
        </w:tabs>
        <w:overflowPunct/>
        <w:spacing w:before="0" w:line="240" w:lineRule="auto"/>
        <w:ind w:left="1134" w:hanging="113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Beilage: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63AA2">
        <w:rPr>
          <w:rFonts w:ascii="Arial" w:hAnsi="Arial" w:cs="Arial"/>
          <w:sz w:val="22"/>
          <w:szCs w:val="22"/>
        </w:rPr>
        <w:t>Solvabilitätsbilanz</w:t>
      </w:r>
      <w:proofErr w:type="spellEnd"/>
      <w:r w:rsidR="003476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645">
        <w:rPr>
          <w:rFonts w:ascii="Arial" w:hAnsi="Arial" w:cs="Arial"/>
          <w:sz w:val="22"/>
          <w:szCs w:val="22"/>
        </w:rPr>
        <w:t>gem</w:t>
      </w:r>
      <w:r w:rsidR="00CC1884">
        <w:rPr>
          <w:rFonts w:ascii="Arial" w:hAnsi="Arial" w:cs="Arial"/>
          <w:sz w:val="22"/>
          <w:szCs w:val="22"/>
        </w:rPr>
        <w:t>äss</w:t>
      </w:r>
      <w:proofErr w:type="spellEnd"/>
      <w:r w:rsidR="00347645" w:rsidRPr="00347645">
        <w:rPr>
          <w:rFonts w:ascii="Arial" w:hAnsi="Arial" w:cs="Arial"/>
          <w:sz w:val="22"/>
          <w:szCs w:val="22"/>
          <w:lang w:val="de-CH"/>
        </w:rPr>
        <w:t xml:space="preserve"> </w:t>
      </w:r>
      <w:r w:rsidR="008E4C4F">
        <w:rPr>
          <w:rFonts w:ascii="Arial" w:hAnsi="Arial" w:cs="Arial"/>
          <w:sz w:val="22"/>
          <w:szCs w:val="22"/>
          <w:lang w:val="de-CH"/>
        </w:rPr>
        <w:t>Meldebogen S.02.01.01 aus Anhang I</w:t>
      </w:r>
      <w:r w:rsidR="00347645">
        <w:rPr>
          <w:rFonts w:ascii="Arial" w:hAnsi="Arial" w:cs="Arial"/>
          <w:sz w:val="22"/>
          <w:szCs w:val="22"/>
          <w:lang w:val="de-CH"/>
        </w:rPr>
        <w:t xml:space="preserve"> der Durchführungsverordnung (EU) 2015/2450</w:t>
      </w:r>
    </w:p>
    <w:p w:rsidR="00CB5911" w:rsidRPr="003A167C" w:rsidRDefault="00CB5911" w:rsidP="00AB6C56">
      <w:pPr>
        <w:tabs>
          <w:tab w:val="left" w:pos="1620"/>
          <w:tab w:val="left" w:pos="450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sectPr w:rsidR="00CB5911" w:rsidRPr="003A167C" w:rsidSect="00886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247" w:bottom="1134" w:left="1247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0D" w:rsidRDefault="0067130D">
      <w:pPr>
        <w:spacing w:before="0" w:line="240" w:lineRule="auto"/>
      </w:pPr>
      <w:r>
        <w:separator/>
      </w:r>
    </w:p>
  </w:endnote>
  <w:endnote w:type="continuationSeparator" w:id="0">
    <w:p w:rsidR="0067130D" w:rsidRDefault="006713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30" w:rsidRDefault="00FA43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19" w:rsidRDefault="00143B19" w:rsidP="00213CA2">
    <w:pPr>
      <w:pStyle w:val="Fuzeile"/>
      <w:tabs>
        <w:tab w:val="clear" w:pos="851"/>
      </w:tabs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19" w:rsidRDefault="00143B19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0D" w:rsidRDefault="0067130D">
      <w:pPr>
        <w:spacing w:before="0" w:line="240" w:lineRule="auto"/>
      </w:pPr>
      <w:r>
        <w:separator/>
      </w:r>
    </w:p>
  </w:footnote>
  <w:footnote w:type="continuationSeparator" w:id="0">
    <w:p w:rsidR="0067130D" w:rsidRDefault="0067130D">
      <w:pPr>
        <w:spacing w:before="0" w:line="240" w:lineRule="auto"/>
      </w:pPr>
      <w:r>
        <w:continuationSeparator/>
      </w:r>
    </w:p>
  </w:footnote>
  <w:footnote w:id="1">
    <w:p w:rsidR="00E815CC" w:rsidRPr="00E815CC" w:rsidRDefault="00E815CC" w:rsidP="00E815CC">
      <w:pPr>
        <w:pStyle w:val="Funotentext"/>
        <w:widowControl w:val="0"/>
        <w:spacing w:before="0" w:line="240" w:lineRule="auto"/>
        <w:rPr>
          <w:rFonts w:ascii="Arial" w:hAnsi="Arial" w:cs="Arial"/>
          <w:sz w:val="16"/>
          <w:szCs w:val="16"/>
        </w:rPr>
      </w:pPr>
      <w:r w:rsidRPr="00E815CC">
        <w:rPr>
          <w:rStyle w:val="Funotenzeichen"/>
          <w:rFonts w:ascii="Arial" w:hAnsi="Arial" w:cs="Arial"/>
        </w:rPr>
        <w:footnoteRef/>
      </w:r>
      <w:r w:rsidRPr="00E815CC">
        <w:rPr>
          <w:rFonts w:ascii="Arial" w:hAnsi="Arial" w:cs="Arial"/>
        </w:rPr>
        <w:t xml:space="preserve"> </w:t>
      </w:r>
      <w:r w:rsidRPr="00E815CC">
        <w:rPr>
          <w:rFonts w:ascii="Arial" w:hAnsi="Arial" w:cs="Arial"/>
          <w:sz w:val="16"/>
          <w:szCs w:val="16"/>
        </w:rPr>
        <w:t xml:space="preserve">Die FMA verarbeitet personenbezogene Daten </w:t>
      </w:r>
      <w:proofErr w:type="spellStart"/>
      <w:r w:rsidRPr="00E815CC">
        <w:rPr>
          <w:rFonts w:ascii="Arial" w:hAnsi="Arial" w:cs="Arial"/>
          <w:sz w:val="16"/>
          <w:szCs w:val="16"/>
        </w:rPr>
        <w:t>ausschliesslich</w:t>
      </w:r>
      <w:proofErr w:type="spellEnd"/>
      <w:r w:rsidRPr="00E815CC">
        <w:rPr>
          <w:rFonts w:ascii="Arial" w:hAnsi="Arial" w:cs="Arial"/>
          <w:sz w:val="16"/>
          <w:szCs w:val="16"/>
        </w:rPr>
        <w:t xml:space="preserve"> nach den allgemeinen Datenverarbeitungsgrundsätzen der Verordnung (EU) 2016/679 des Europäischen Parlaments und des Rates vom 27. April 2016 zum Schutz natürlicher Personen bei der Verarbeitung personenbezogener Daten, zum freien Datenverkehr und zur Aufhebung der Richtlinie 95/46/EG (Datenschutz-Grundverordnung) und hält sich an die gesetzlichen Datenschutzbestimmungen. </w:t>
      </w:r>
    </w:p>
    <w:p w:rsidR="00E815CC" w:rsidRPr="00E815CC" w:rsidRDefault="00E815CC" w:rsidP="00E815CC">
      <w:pPr>
        <w:pStyle w:val="Funotentext"/>
        <w:spacing w:before="0" w:line="240" w:lineRule="auto"/>
        <w:rPr>
          <w:rFonts w:ascii="Arial" w:hAnsi="Arial" w:cs="Arial"/>
          <w:sz w:val="16"/>
          <w:szCs w:val="16"/>
        </w:rPr>
      </w:pPr>
    </w:p>
    <w:p w:rsidR="00E815CC" w:rsidRPr="00E815CC" w:rsidRDefault="00E815CC" w:rsidP="00E815CC">
      <w:pPr>
        <w:pStyle w:val="Funotentext"/>
        <w:spacing w:before="0" w:line="240" w:lineRule="auto"/>
        <w:rPr>
          <w:rFonts w:ascii="Arial" w:hAnsi="Arial" w:cs="Arial"/>
          <w:lang w:val="de-AT"/>
        </w:rPr>
      </w:pPr>
      <w:r w:rsidRPr="00E815CC">
        <w:rPr>
          <w:rFonts w:ascii="Arial" w:hAnsi="Arial" w:cs="Arial"/>
          <w:sz w:val="16"/>
          <w:szCs w:val="16"/>
        </w:rPr>
        <w:t xml:space="preserve">Sämtliche relevanten Informationen zur Verarbeitung personenbezogener Daten durch die FMA finden Sie in der FMA-Datenschutzerklärung: </w:t>
      </w:r>
      <w:hyperlink r:id="rId1" w:history="1">
        <w:r w:rsidRPr="00E815CC">
          <w:rPr>
            <w:rStyle w:val="Hyperlink"/>
            <w:rFonts w:ascii="Arial" w:hAnsi="Arial" w:cs="Arial"/>
            <w:sz w:val="16"/>
            <w:szCs w:val="16"/>
          </w:rPr>
          <w:t>https://www.fma-li.li/de/fma/datenschutzerklarung.html</w:t>
        </w:r>
      </w:hyperlink>
      <w:r w:rsidRPr="00E815C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30" w:rsidRDefault="00FA43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30" w:rsidRDefault="00FA43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30" w:rsidRDefault="00FA43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911"/>
    <w:multiLevelType w:val="hybridMultilevel"/>
    <w:tmpl w:val="29C6F326"/>
    <w:lvl w:ilvl="0" w:tplc="C03A21F6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269"/>
    <w:multiLevelType w:val="hybridMultilevel"/>
    <w:tmpl w:val="E7E4D71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27D57"/>
    <w:multiLevelType w:val="hybridMultilevel"/>
    <w:tmpl w:val="984C06DE"/>
    <w:lvl w:ilvl="0" w:tplc="E7927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4C8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625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CC394">
      <w:start w:val="4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A19F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64D9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83E1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2A1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80A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190AD9"/>
    <w:multiLevelType w:val="hybridMultilevel"/>
    <w:tmpl w:val="9FD63E36"/>
    <w:lvl w:ilvl="0" w:tplc="09E4C0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6AA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03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E0B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1F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24E2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4BF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820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C67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597BF2"/>
    <w:multiLevelType w:val="hybridMultilevel"/>
    <w:tmpl w:val="365CD202"/>
    <w:lvl w:ilvl="0" w:tplc="EF1C9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64B"/>
    <w:multiLevelType w:val="hybridMultilevel"/>
    <w:tmpl w:val="C2667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395F"/>
    <w:multiLevelType w:val="hybridMultilevel"/>
    <w:tmpl w:val="41F6F888"/>
    <w:lvl w:ilvl="0" w:tplc="D8FAB17A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50B8"/>
    <w:multiLevelType w:val="hybridMultilevel"/>
    <w:tmpl w:val="CF3CEB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999"/>
    <w:rsid w:val="0000097F"/>
    <w:rsid w:val="00011AA6"/>
    <w:rsid w:val="0001537D"/>
    <w:rsid w:val="00020EA5"/>
    <w:rsid w:val="000421F3"/>
    <w:rsid w:val="0004602F"/>
    <w:rsid w:val="000522DA"/>
    <w:rsid w:val="0005673D"/>
    <w:rsid w:val="00061945"/>
    <w:rsid w:val="00063AA2"/>
    <w:rsid w:val="0006443E"/>
    <w:rsid w:val="00077007"/>
    <w:rsid w:val="0008261B"/>
    <w:rsid w:val="00083F54"/>
    <w:rsid w:val="000A78AD"/>
    <w:rsid w:val="000B1252"/>
    <w:rsid w:val="000B3355"/>
    <w:rsid w:val="000C3A70"/>
    <w:rsid w:val="000D7895"/>
    <w:rsid w:val="00101839"/>
    <w:rsid w:val="001077C3"/>
    <w:rsid w:val="00113C09"/>
    <w:rsid w:val="00134489"/>
    <w:rsid w:val="00143B19"/>
    <w:rsid w:val="0014476B"/>
    <w:rsid w:val="00145A5B"/>
    <w:rsid w:val="00156F83"/>
    <w:rsid w:val="00157973"/>
    <w:rsid w:val="00166113"/>
    <w:rsid w:val="00182A0A"/>
    <w:rsid w:val="00184D06"/>
    <w:rsid w:val="00192FD5"/>
    <w:rsid w:val="001A2FD9"/>
    <w:rsid w:val="001C57BE"/>
    <w:rsid w:val="001C6AC9"/>
    <w:rsid w:val="001D0141"/>
    <w:rsid w:val="001D469F"/>
    <w:rsid w:val="001F0CFA"/>
    <w:rsid w:val="001F3C02"/>
    <w:rsid w:val="002006EB"/>
    <w:rsid w:val="002105E4"/>
    <w:rsid w:val="00213CA2"/>
    <w:rsid w:val="00226401"/>
    <w:rsid w:val="00251293"/>
    <w:rsid w:val="00254FE5"/>
    <w:rsid w:val="00277A5A"/>
    <w:rsid w:val="00291E71"/>
    <w:rsid w:val="00297373"/>
    <w:rsid w:val="002C578F"/>
    <w:rsid w:val="002D3D43"/>
    <w:rsid w:val="002D54E4"/>
    <w:rsid w:val="002E241E"/>
    <w:rsid w:val="002E7538"/>
    <w:rsid w:val="002F66BC"/>
    <w:rsid w:val="00300C4D"/>
    <w:rsid w:val="00314FA4"/>
    <w:rsid w:val="003251C7"/>
    <w:rsid w:val="00325D16"/>
    <w:rsid w:val="003270C1"/>
    <w:rsid w:val="00332696"/>
    <w:rsid w:val="00342681"/>
    <w:rsid w:val="00343535"/>
    <w:rsid w:val="00343B00"/>
    <w:rsid w:val="00347645"/>
    <w:rsid w:val="003823BC"/>
    <w:rsid w:val="00382F9D"/>
    <w:rsid w:val="00383F57"/>
    <w:rsid w:val="003904ED"/>
    <w:rsid w:val="003A167C"/>
    <w:rsid w:val="003E7C5A"/>
    <w:rsid w:val="003F05DE"/>
    <w:rsid w:val="003F7FB7"/>
    <w:rsid w:val="004043AA"/>
    <w:rsid w:val="00423F0C"/>
    <w:rsid w:val="00441237"/>
    <w:rsid w:val="00444B15"/>
    <w:rsid w:val="00447B4C"/>
    <w:rsid w:val="00450C75"/>
    <w:rsid w:val="00451EE9"/>
    <w:rsid w:val="004539F9"/>
    <w:rsid w:val="004627AF"/>
    <w:rsid w:val="004911E2"/>
    <w:rsid w:val="004A4CE0"/>
    <w:rsid w:val="004B5650"/>
    <w:rsid w:val="004B659E"/>
    <w:rsid w:val="004B7B43"/>
    <w:rsid w:val="004D1528"/>
    <w:rsid w:val="005507EB"/>
    <w:rsid w:val="00565C15"/>
    <w:rsid w:val="00576C0D"/>
    <w:rsid w:val="00582946"/>
    <w:rsid w:val="00593EC1"/>
    <w:rsid w:val="005C01D2"/>
    <w:rsid w:val="005C4863"/>
    <w:rsid w:val="00620EC2"/>
    <w:rsid w:val="00635116"/>
    <w:rsid w:val="0064085B"/>
    <w:rsid w:val="0066626F"/>
    <w:rsid w:val="006672B6"/>
    <w:rsid w:val="00670D66"/>
    <w:rsid w:val="0067130D"/>
    <w:rsid w:val="00676035"/>
    <w:rsid w:val="00681394"/>
    <w:rsid w:val="00681687"/>
    <w:rsid w:val="00687E52"/>
    <w:rsid w:val="0069050F"/>
    <w:rsid w:val="00690595"/>
    <w:rsid w:val="006A16D0"/>
    <w:rsid w:val="006B21B5"/>
    <w:rsid w:val="006D1510"/>
    <w:rsid w:val="006D7732"/>
    <w:rsid w:val="006E190E"/>
    <w:rsid w:val="006F74AE"/>
    <w:rsid w:val="00703AF6"/>
    <w:rsid w:val="00711D43"/>
    <w:rsid w:val="00720207"/>
    <w:rsid w:val="00727CE1"/>
    <w:rsid w:val="00730844"/>
    <w:rsid w:val="00735D70"/>
    <w:rsid w:val="00736725"/>
    <w:rsid w:val="00740091"/>
    <w:rsid w:val="00754C15"/>
    <w:rsid w:val="00754FA9"/>
    <w:rsid w:val="00763F1C"/>
    <w:rsid w:val="00764E0A"/>
    <w:rsid w:val="007763B2"/>
    <w:rsid w:val="00780B4B"/>
    <w:rsid w:val="00784407"/>
    <w:rsid w:val="007955DE"/>
    <w:rsid w:val="007A1480"/>
    <w:rsid w:val="007A744E"/>
    <w:rsid w:val="007A76D8"/>
    <w:rsid w:val="007B1600"/>
    <w:rsid w:val="007D0346"/>
    <w:rsid w:val="007D3F42"/>
    <w:rsid w:val="007F1993"/>
    <w:rsid w:val="007F61E3"/>
    <w:rsid w:val="008042CA"/>
    <w:rsid w:val="00804650"/>
    <w:rsid w:val="00814D24"/>
    <w:rsid w:val="00833843"/>
    <w:rsid w:val="0083794E"/>
    <w:rsid w:val="00840109"/>
    <w:rsid w:val="00854912"/>
    <w:rsid w:val="008555DA"/>
    <w:rsid w:val="00860DCA"/>
    <w:rsid w:val="00873D4F"/>
    <w:rsid w:val="008865CF"/>
    <w:rsid w:val="00887D5D"/>
    <w:rsid w:val="00893278"/>
    <w:rsid w:val="008B077C"/>
    <w:rsid w:val="008B12B4"/>
    <w:rsid w:val="008B3734"/>
    <w:rsid w:val="008E1454"/>
    <w:rsid w:val="008E4C4F"/>
    <w:rsid w:val="00910D91"/>
    <w:rsid w:val="00915293"/>
    <w:rsid w:val="00933AE4"/>
    <w:rsid w:val="0093576F"/>
    <w:rsid w:val="00942DC7"/>
    <w:rsid w:val="00956003"/>
    <w:rsid w:val="009612D4"/>
    <w:rsid w:val="009863DF"/>
    <w:rsid w:val="009B2BFB"/>
    <w:rsid w:val="009F7E0D"/>
    <w:rsid w:val="00A00284"/>
    <w:rsid w:val="00A05464"/>
    <w:rsid w:val="00A25187"/>
    <w:rsid w:val="00A27792"/>
    <w:rsid w:val="00A31F28"/>
    <w:rsid w:val="00A329DC"/>
    <w:rsid w:val="00A4006C"/>
    <w:rsid w:val="00A5403B"/>
    <w:rsid w:val="00A562F9"/>
    <w:rsid w:val="00A6077C"/>
    <w:rsid w:val="00A75DBD"/>
    <w:rsid w:val="00A81DD6"/>
    <w:rsid w:val="00A850B4"/>
    <w:rsid w:val="00AB6C56"/>
    <w:rsid w:val="00AE7F36"/>
    <w:rsid w:val="00AF074B"/>
    <w:rsid w:val="00B07E64"/>
    <w:rsid w:val="00B15CAB"/>
    <w:rsid w:val="00B24B58"/>
    <w:rsid w:val="00B4318A"/>
    <w:rsid w:val="00B437A0"/>
    <w:rsid w:val="00B50F46"/>
    <w:rsid w:val="00B600B4"/>
    <w:rsid w:val="00B75165"/>
    <w:rsid w:val="00B76B1A"/>
    <w:rsid w:val="00B82A4F"/>
    <w:rsid w:val="00BB6C47"/>
    <w:rsid w:val="00BB7676"/>
    <w:rsid w:val="00BC49EF"/>
    <w:rsid w:val="00BE182C"/>
    <w:rsid w:val="00BF0148"/>
    <w:rsid w:val="00C05D2C"/>
    <w:rsid w:val="00C1565D"/>
    <w:rsid w:val="00C225E3"/>
    <w:rsid w:val="00C31E1D"/>
    <w:rsid w:val="00C346A3"/>
    <w:rsid w:val="00C37B81"/>
    <w:rsid w:val="00C411E4"/>
    <w:rsid w:val="00C4772E"/>
    <w:rsid w:val="00C5679B"/>
    <w:rsid w:val="00C83763"/>
    <w:rsid w:val="00CB5911"/>
    <w:rsid w:val="00CB5EA1"/>
    <w:rsid w:val="00CC1884"/>
    <w:rsid w:val="00CD5235"/>
    <w:rsid w:val="00CF5471"/>
    <w:rsid w:val="00D0094E"/>
    <w:rsid w:val="00D21429"/>
    <w:rsid w:val="00D2283B"/>
    <w:rsid w:val="00D272EB"/>
    <w:rsid w:val="00D415F0"/>
    <w:rsid w:val="00D56928"/>
    <w:rsid w:val="00D5752C"/>
    <w:rsid w:val="00D6166C"/>
    <w:rsid w:val="00D738CC"/>
    <w:rsid w:val="00D91F29"/>
    <w:rsid w:val="00DB28E5"/>
    <w:rsid w:val="00DB4977"/>
    <w:rsid w:val="00DB71D6"/>
    <w:rsid w:val="00DC471F"/>
    <w:rsid w:val="00DC6C80"/>
    <w:rsid w:val="00DD66FC"/>
    <w:rsid w:val="00DE3D7B"/>
    <w:rsid w:val="00E034D5"/>
    <w:rsid w:val="00E0482F"/>
    <w:rsid w:val="00E13138"/>
    <w:rsid w:val="00E16896"/>
    <w:rsid w:val="00E264E3"/>
    <w:rsid w:val="00E546BE"/>
    <w:rsid w:val="00E560A3"/>
    <w:rsid w:val="00E63178"/>
    <w:rsid w:val="00E71F0E"/>
    <w:rsid w:val="00E815CC"/>
    <w:rsid w:val="00E90B1C"/>
    <w:rsid w:val="00EB1D17"/>
    <w:rsid w:val="00EB48D8"/>
    <w:rsid w:val="00EB4CD9"/>
    <w:rsid w:val="00EB7438"/>
    <w:rsid w:val="00EC0303"/>
    <w:rsid w:val="00EC33D0"/>
    <w:rsid w:val="00ED3CA3"/>
    <w:rsid w:val="00ED469B"/>
    <w:rsid w:val="00ED5C76"/>
    <w:rsid w:val="00EE71A2"/>
    <w:rsid w:val="00EF69BD"/>
    <w:rsid w:val="00F0293A"/>
    <w:rsid w:val="00F115B3"/>
    <w:rsid w:val="00F21407"/>
    <w:rsid w:val="00F40D57"/>
    <w:rsid w:val="00F8501F"/>
    <w:rsid w:val="00F86999"/>
    <w:rsid w:val="00F876FB"/>
    <w:rsid w:val="00F9052F"/>
    <w:rsid w:val="00F931A1"/>
    <w:rsid w:val="00F93F41"/>
    <w:rsid w:val="00F97BA6"/>
    <w:rsid w:val="00FA39FD"/>
    <w:rsid w:val="00FA4330"/>
    <w:rsid w:val="00FE13CE"/>
    <w:rsid w:val="00FF5F4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26E5B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6999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rPr>
      <w:sz w:val="24"/>
      <w:lang w:val="de-DE"/>
    </w:rPr>
  </w:style>
  <w:style w:type="paragraph" w:styleId="berschrift1">
    <w:name w:val="heading 1"/>
    <w:basedOn w:val="Standard"/>
    <w:next w:val="Text1"/>
    <w:link w:val="berschrift1Zchn"/>
    <w:qFormat/>
    <w:rsid w:val="00277A5A"/>
    <w:pPr>
      <w:keepNext/>
      <w:tabs>
        <w:tab w:val="clear" w:pos="851"/>
      </w:tabs>
      <w:overflowPunct/>
      <w:autoSpaceDE/>
      <w:autoSpaceDN/>
      <w:adjustRightInd/>
      <w:spacing w:after="120" w:line="260" w:lineRule="atLeast"/>
      <w:textAlignment w:val="auto"/>
      <w:outlineLvl w:val="0"/>
    </w:pPr>
    <w:rPr>
      <w:rFonts w:ascii="Arial" w:hAnsi="Arial"/>
      <w:b/>
      <w:sz w:val="26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5D70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rsid w:val="00F86999"/>
    <w:pPr>
      <w:spacing w:before="0" w:line="240" w:lineRule="auto"/>
      <w:jc w:val="center"/>
    </w:pPr>
    <w:rPr>
      <w:sz w:val="22"/>
    </w:rPr>
  </w:style>
  <w:style w:type="paragraph" w:styleId="Kopfzeile">
    <w:name w:val="header"/>
    <w:basedOn w:val="Standard"/>
    <w:next w:val="Standard"/>
    <w:rsid w:val="00F86999"/>
    <w:pPr>
      <w:spacing w:before="0"/>
    </w:pPr>
  </w:style>
  <w:style w:type="paragraph" w:styleId="Sprechblasentext">
    <w:name w:val="Balloon Text"/>
    <w:basedOn w:val="Standard"/>
    <w:semiHidden/>
    <w:rsid w:val="0063511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76C0D"/>
  </w:style>
  <w:style w:type="paragraph" w:customStyle="1" w:styleId="Text1">
    <w:name w:val="Text1"/>
    <w:basedOn w:val="Standard"/>
    <w:rsid w:val="00860DCA"/>
    <w:pPr>
      <w:tabs>
        <w:tab w:val="clear" w:pos="851"/>
      </w:tabs>
      <w:overflowPunct/>
      <w:autoSpaceDE/>
      <w:autoSpaceDN/>
      <w:adjustRightInd/>
      <w:spacing w:before="0" w:line="260" w:lineRule="atLeast"/>
      <w:textAlignment w:val="auto"/>
    </w:pPr>
    <w:rPr>
      <w:rFonts w:ascii="Arial" w:hAnsi="Arial"/>
      <w:sz w:val="20"/>
      <w:lang w:val="de-CH"/>
    </w:rPr>
  </w:style>
  <w:style w:type="character" w:customStyle="1" w:styleId="berschrift1Zchn">
    <w:name w:val="Überschrift 1 Zchn"/>
    <w:link w:val="berschrift1"/>
    <w:rsid w:val="00277A5A"/>
    <w:rPr>
      <w:rFonts w:ascii="Arial" w:hAnsi="Arial"/>
      <w:b/>
      <w:sz w:val="26"/>
    </w:rPr>
  </w:style>
  <w:style w:type="character" w:customStyle="1" w:styleId="berschrift2Zchn">
    <w:name w:val="Überschrift 2 Zchn"/>
    <w:link w:val="berschrift2"/>
    <w:uiPriority w:val="9"/>
    <w:semiHidden/>
    <w:rsid w:val="00735D70"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character" w:styleId="Kommentarzeichen">
    <w:name w:val="annotation reference"/>
    <w:uiPriority w:val="99"/>
    <w:semiHidden/>
    <w:unhideWhenUsed/>
    <w:rsid w:val="007763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63B2"/>
    <w:rPr>
      <w:sz w:val="20"/>
    </w:rPr>
  </w:style>
  <w:style w:type="character" w:customStyle="1" w:styleId="KommentartextZchn">
    <w:name w:val="Kommentartext Zchn"/>
    <w:link w:val="Kommentartext"/>
    <w:uiPriority w:val="99"/>
    <w:rsid w:val="007763B2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63B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763B2"/>
    <w:rPr>
      <w:b/>
      <w:bCs/>
      <w:lang w:val="de-DE"/>
    </w:rPr>
  </w:style>
  <w:style w:type="paragraph" w:styleId="Listenabsatz">
    <w:name w:val="List Paragraph"/>
    <w:basedOn w:val="Standard"/>
    <w:uiPriority w:val="34"/>
    <w:qFormat/>
    <w:rsid w:val="004911E2"/>
    <w:pPr>
      <w:tabs>
        <w:tab w:val="clear" w:pos="851"/>
      </w:tabs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szCs w:val="24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15CC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E815CC"/>
    <w:rPr>
      <w:lang w:val="de-DE"/>
    </w:rPr>
  </w:style>
  <w:style w:type="character" w:styleId="Funotenzeichen">
    <w:name w:val="footnote reference"/>
    <w:uiPriority w:val="99"/>
    <w:semiHidden/>
    <w:unhideWhenUsed/>
    <w:rsid w:val="00E815CC"/>
    <w:rPr>
      <w:vertAlign w:val="superscript"/>
    </w:rPr>
  </w:style>
  <w:style w:type="character" w:styleId="Hyperlink">
    <w:name w:val="Hyperlink"/>
    <w:aliases w:val="LLV_Hyperlink"/>
    <w:rsid w:val="00E81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20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636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2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6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4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143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250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678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a-li.li/de/fma/datenschutzerklarung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2166-79D8-46A9-805B-EB64C8F4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5057</CharactersWithSpaces>
  <SharedDoc>false</SharedDoc>
  <HLinks>
    <vt:vector size="6" baseType="variant"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https://www.fma-li.li/de/fma/datenschutzerklarung.html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2020-11-11T14:58:00Z</dcterms:created>
  <dcterms:modified xsi:type="dcterms:W3CDTF">2023-10-23T14:07:00Z</dcterms:modified>
</cp:coreProperties>
</file>